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wmf" ContentType="image/x-w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685C7BC">
      <w:pPr>
        <w:spacing w:line="360" w:lineRule="auto"/>
        <w:jc w:val="center"/>
        <w:rPr>
          <w:rFonts w:hint="eastAsia"/>
          <w:sz w:val="28"/>
          <w:szCs w:val="28"/>
        </w:rPr>
      </w:pPr>
      <w:bookmarkStart w:id="0" w:name="_Toc12810"/>
      <w:bookmarkStart w:id="1" w:name="_Toc20865"/>
    </w:p>
    <w:p w14:paraId="53271A58">
      <w:pPr>
        <w:spacing w:line="360" w:lineRule="auto"/>
        <w:jc w:val="center"/>
        <w:rPr>
          <w:rFonts w:hint="eastAsia"/>
          <w:sz w:val="28"/>
          <w:szCs w:val="28"/>
        </w:rPr>
      </w:pPr>
    </w:p>
    <w:p w14:paraId="106E7EFE">
      <w:pPr>
        <w:adjustRightInd w:val="0"/>
        <w:snapToGrid w:val="0"/>
        <w:jc w:val="center"/>
        <w:outlineLvl w:val="0"/>
        <w:rPr>
          <w:rFonts w:eastAsia="方正小标宋_GBK"/>
          <w:bCs/>
          <w:kern w:val="21"/>
          <w:sz w:val="72"/>
          <w:szCs w:val="72"/>
        </w:rPr>
      </w:pPr>
      <w:bookmarkStart w:id="2" w:name="_Toc22077"/>
      <w:bookmarkStart w:id="3" w:name="_Toc27050"/>
      <w:bookmarkStart w:id="4" w:name="_Toc31467"/>
      <w:r>
        <w:rPr>
          <w:rFonts w:eastAsia="方正小标宋_GBK"/>
          <w:bCs/>
          <w:kern w:val="21"/>
          <w:sz w:val="72"/>
          <w:szCs w:val="72"/>
        </w:rPr>
        <w:t>建设项目环境影响报告表</w:t>
      </w:r>
      <w:bookmarkEnd w:id="2"/>
      <w:bookmarkEnd w:id="3"/>
      <w:bookmarkEnd w:id="4"/>
    </w:p>
    <w:p w14:paraId="7A4357D9">
      <w:pPr>
        <w:adjustRightInd w:val="0"/>
        <w:snapToGrid w:val="0"/>
        <w:spacing w:before="249" w:beforeLines="80"/>
        <w:jc w:val="center"/>
        <w:rPr>
          <w:rFonts w:eastAsia="楷体_GB2312"/>
          <w:bCs/>
          <w:sz w:val="48"/>
          <w:szCs w:val="48"/>
        </w:rPr>
      </w:pPr>
      <w:r>
        <w:rPr>
          <w:rFonts w:eastAsia="楷体_GB2312"/>
          <w:bCs/>
          <w:sz w:val="48"/>
          <w:szCs w:val="48"/>
        </w:rPr>
        <w:t>（污染影响类）</w:t>
      </w:r>
    </w:p>
    <w:p w14:paraId="1E92C5DF">
      <w:pPr>
        <w:jc w:val="center"/>
        <w:rPr>
          <w:b/>
          <w:bCs/>
          <w:sz w:val="32"/>
        </w:rPr>
      </w:pPr>
    </w:p>
    <w:p w14:paraId="5BA1F993">
      <w:pPr>
        <w:jc w:val="center"/>
        <w:rPr>
          <w:b/>
          <w:bCs/>
          <w:sz w:val="32"/>
        </w:rPr>
      </w:pPr>
    </w:p>
    <w:p w14:paraId="26241DA1">
      <w:pPr>
        <w:jc w:val="center"/>
        <w:rPr>
          <w:b/>
          <w:bCs/>
          <w:sz w:val="32"/>
        </w:rPr>
      </w:pPr>
    </w:p>
    <w:p w14:paraId="16D7E837">
      <w:pPr>
        <w:jc w:val="center"/>
        <w:rPr>
          <w:b/>
          <w:bCs/>
          <w:sz w:val="32"/>
        </w:rPr>
      </w:pPr>
    </w:p>
    <w:p w14:paraId="4AAFDEE3">
      <w:pPr>
        <w:jc w:val="center"/>
        <w:rPr>
          <w:b/>
          <w:bCs/>
          <w:sz w:val="32"/>
        </w:rPr>
      </w:pPr>
    </w:p>
    <w:p w14:paraId="168CFE86">
      <w:pPr>
        <w:spacing w:line="360" w:lineRule="auto"/>
        <w:ind w:left="1807" w:hanging="1807" w:hangingChars="500"/>
        <w:jc w:val="left"/>
        <w:rPr>
          <w:rFonts w:eastAsia="仿宋"/>
          <w:b/>
          <w:sz w:val="36"/>
          <w:szCs w:val="36"/>
        </w:rPr>
      </w:pPr>
      <w:r>
        <w:rPr>
          <w:rFonts w:eastAsia="仿宋"/>
          <w:b/>
          <w:bCs/>
          <w:sz w:val="36"/>
          <w:szCs w:val="36"/>
        </w:rPr>
        <w:t>项目名称</w:t>
      </w:r>
      <w:r>
        <w:rPr>
          <w:rFonts w:hint="eastAsia" w:eastAsia="仿宋"/>
          <w:b/>
          <w:bCs/>
          <w:sz w:val="36"/>
          <w:szCs w:val="36"/>
        </w:rPr>
        <w:t>：</w:t>
      </w:r>
      <w:r>
        <w:rPr>
          <w:rFonts w:hint="eastAsia" w:eastAsia="仿宋"/>
          <w:b/>
          <w:bCs/>
          <w:sz w:val="36"/>
          <w:szCs w:val="36"/>
          <w:u w:val="single"/>
          <w:lang w:eastAsia="zh-CN"/>
        </w:rPr>
        <w:t>河南星能智源能源有限公司年产3500吨次小薪材系列产品综合利用建设项目</w:t>
      </w:r>
      <w:r>
        <w:rPr>
          <w:rFonts w:hint="eastAsia" w:eastAsia="仿宋"/>
          <w:b/>
          <w:bCs/>
          <w:sz w:val="36"/>
          <w:szCs w:val="36"/>
          <w:u w:val="single"/>
        </w:rPr>
        <w:t xml:space="preserve"> </w:t>
      </w:r>
    </w:p>
    <w:p w14:paraId="4C9AE648">
      <w:pPr>
        <w:spacing w:line="360" w:lineRule="auto"/>
        <w:ind w:left="3050" w:hanging="3050" w:hangingChars="844"/>
        <w:rPr>
          <w:rFonts w:eastAsia="仿宋"/>
          <w:bCs/>
          <w:sz w:val="36"/>
          <w:szCs w:val="36"/>
          <w:u w:val="single"/>
        </w:rPr>
      </w:pPr>
      <w:r>
        <w:rPr>
          <w:rFonts w:eastAsia="仿宋"/>
          <w:b/>
          <w:bCs/>
          <w:sz w:val="36"/>
          <w:szCs w:val="36"/>
        </w:rPr>
        <w:t>建设单位（盖章）：</w:t>
      </w:r>
      <w:r>
        <w:rPr>
          <w:rFonts w:eastAsia="仿宋"/>
          <w:b/>
          <w:sz w:val="36"/>
          <w:szCs w:val="36"/>
          <w:u w:val="single"/>
        </w:rPr>
        <w:t xml:space="preserve"> </w:t>
      </w:r>
      <w:r>
        <w:rPr>
          <w:rFonts w:hint="eastAsia" w:eastAsia="仿宋"/>
          <w:b/>
          <w:sz w:val="36"/>
          <w:szCs w:val="36"/>
          <w:u w:val="single"/>
        </w:rPr>
        <w:t xml:space="preserve"> </w:t>
      </w:r>
      <w:r>
        <w:rPr>
          <w:rFonts w:hint="eastAsia" w:eastAsia="仿宋"/>
          <w:b/>
          <w:sz w:val="36"/>
          <w:szCs w:val="36"/>
          <w:u w:val="single"/>
          <w:lang w:val="en-US" w:eastAsia="zh-CN"/>
        </w:rPr>
        <w:t xml:space="preserve">     </w:t>
      </w:r>
      <w:r>
        <w:rPr>
          <w:rFonts w:hint="eastAsia" w:eastAsia="仿宋"/>
          <w:b/>
          <w:sz w:val="36"/>
          <w:szCs w:val="36"/>
          <w:u w:val="single"/>
          <w:lang w:eastAsia="zh-CN"/>
        </w:rPr>
        <w:t>河南星能智源能源有限公司</w:t>
      </w:r>
      <w:r>
        <w:rPr>
          <w:rFonts w:hint="eastAsia" w:eastAsia="仿宋"/>
          <w:b/>
          <w:sz w:val="36"/>
          <w:szCs w:val="36"/>
          <w:u w:val="single"/>
          <w:lang w:val="en-US" w:eastAsia="zh-CN"/>
        </w:rPr>
        <w:t xml:space="preserve">    </w:t>
      </w:r>
      <w:r>
        <w:rPr>
          <w:rFonts w:hint="eastAsia" w:eastAsia="仿宋"/>
          <w:b/>
          <w:sz w:val="36"/>
          <w:szCs w:val="36"/>
          <w:u w:val="single"/>
        </w:rPr>
        <w:t xml:space="preserve">  </w:t>
      </w:r>
    </w:p>
    <w:p w14:paraId="12B638EE">
      <w:pPr>
        <w:spacing w:line="360" w:lineRule="auto"/>
        <w:ind w:left="3050" w:hanging="3050" w:hangingChars="844"/>
        <w:rPr>
          <w:rFonts w:eastAsia="仿宋"/>
          <w:b/>
          <w:sz w:val="36"/>
          <w:szCs w:val="36"/>
        </w:rPr>
      </w:pPr>
      <w:r>
        <w:rPr>
          <w:rFonts w:eastAsia="仿宋"/>
          <w:b/>
          <w:bCs/>
          <w:sz w:val="36"/>
          <w:szCs w:val="36"/>
        </w:rPr>
        <w:t>编制日期：</w:t>
      </w:r>
      <w:r>
        <w:rPr>
          <w:rFonts w:eastAsia="仿宋"/>
          <w:b/>
          <w:sz w:val="36"/>
          <w:szCs w:val="36"/>
          <w:u w:val="single"/>
        </w:rPr>
        <w:t xml:space="preserve">            </w:t>
      </w:r>
      <w:r>
        <w:rPr>
          <w:rFonts w:hint="eastAsia" w:eastAsia="仿宋"/>
          <w:b/>
          <w:sz w:val="36"/>
          <w:szCs w:val="36"/>
          <w:u w:val="single"/>
        </w:rPr>
        <w:t xml:space="preserve">    二零二五</w:t>
      </w:r>
      <w:r>
        <w:rPr>
          <w:rFonts w:eastAsia="仿宋"/>
          <w:b/>
          <w:sz w:val="36"/>
          <w:szCs w:val="36"/>
          <w:u w:val="single"/>
        </w:rPr>
        <w:t>年</w:t>
      </w:r>
      <w:r>
        <w:rPr>
          <w:rFonts w:hint="eastAsia" w:eastAsia="仿宋"/>
          <w:b/>
          <w:sz w:val="36"/>
          <w:szCs w:val="36"/>
          <w:u w:val="single"/>
          <w:lang w:val="en-US" w:eastAsia="zh-CN"/>
        </w:rPr>
        <w:t>七</w:t>
      </w:r>
      <w:r>
        <w:rPr>
          <w:rFonts w:eastAsia="仿宋"/>
          <w:b/>
          <w:sz w:val="36"/>
          <w:szCs w:val="36"/>
          <w:u w:val="single"/>
        </w:rPr>
        <w:t>月</w:t>
      </w:r>
      <w:r>
        <w:rPr>
          <w:rFonts w:hint="eastAsia" w:eastAsia="仿宋"/>
          <w:b/>
          <w:sz w:val="36"/>
          <w:szCs w:val="36"/>
          <w:u w:val="single"/>
        </w:rPr>
        <w:t xml:space="preserve">    </w:t>
      </w:r>
      <w:r>
        <w:rPr>
          <w:rFonts w:eastAsia="仿宋"/>
          <w:b/>
          <w:sz w:val="36"/>
          <w:szCs w:val="36"/>
          <w:u w:val="single"/>
        </w:rPr>
        <w:t xml:space="preserve">           </w:t>
      </w:r>
    </w:p>
    <w:p w14:paraId="7F4786DB">
      <w:pPr>
        <w:spacing w:line="360" w:lineRule="auto"/>
        <w:jc w:val="center"/>
        <w:rPr>
          <w:bCs/>
          <w:sz w:val="32"/>
        </w:rPr>
      </w:pPr>
    </w:p>
    <w:p w14:paraId="11AE6CBD">
      <w:pPr>
        <w:jc w:val="center"/>
        <w:rPr>
          <w:b/>
          <w:bCs/>
          <w:sz w:val="32"/>
        </w:rPr>
      </w:pPr>
    </w:p>
    <w:p w14:paraId="1D1A8D7D">
      <w:pPr>
        <w:jc w:val="center"/>
        <w:rPr>
          <w:b/>
          <w:bCs/>
          <w:sz w:val="32"/>
        </w:rPr>
      </w:pPr>
    </w:p>
    <w:p w14:paraId="15F3A3B9">
      <w:pPr>
        <w:jc w:val="center"/>
        <w:rPr>
          <w:b/>
          <w:bCs/>
          <w:sz w:val="32"/>
        </w:rPr>
      </w:pPr>
    </w:p>
    <w:p w14:paraId="5DB4E912">
      <w:pPr>
        <w:jc w:val="center"/>
        <w:rPr>
          <w:rFonts w:eastAsia="楷体_GB2312"/>
          <w:sz w:val="36"/>
          <w:szCs w:val="36"/>
        </w:rPr>
      </w:pPr>
    </w:p>
    <w:p w14:paraId="7538C85A">
      <w:pPr>
        <w:jc w:val="center"/>
        <w:rPr>
          <w:rFonts w:eastAsia="楷体_GB2312"/>
          <w:sz w:val="36"/>
          <w:szCs w:val="36"/>
        </w:rPr>
      </w:pPr>
    </w:p>
    <w:p w14:paraId="7035377F">
      <w:pPr>
        <w:pStyle w:val="27"/>
        <w:jc w:val="center"/>
        <w:outlineLvl w:val="0"/>
        <w:rPr>
          <w:rFonts w:hint="eastAsia" w:eastAsia="楷体_GB2312"/>
          <w:sz w:val="36"/>
          <w:szCs w:val="36"/>
        </w:rPr>
      </w:pPr>
      <w:bookmarkStart w:id="5" w:name="_Toc8612"/>
      <w:bookmarkStart w:id="6" w:name="_Toc13371"/>
      <w:r>
        <w:rPr>
          <w:rFonts w:eastAsia="楷体_GB2312"/>
          <w:sz w:val="36"/>
          <w:szCs w:val="36"/>
        </w:rPr>
        <w:t>中华人民共和国生态环境部制</w:t>
      </w:r>
      <w:bookmarkEnd w:id="5"/>
      <w:bookmarkEnd w:id="6"/>
    </w:p>
    <w:p w14:paraId="574687F2">
      <w:pPr>
        <w:pStyle w:val="27"/>
        <w:jc w:val="center"/>
        <w:outlineLvl w:val="0"/>
        <w:rPr>
          <w:rFonts w:hint="eastAsia" w:eastAsia="楷体_GB2312"/>
          <w:sz w:val="36"/>
          <w:szCs w:val="36"/>
        </w:rPr>
        <w:sectPr>
          <w:headerReference r:id="rId3" w:type="first"/>
          <w:footerReference r:id="rId4" w:type="default"/>
          <w:pgSz w:w="11905" w:h="16838"/>
          <w:pgMar w:top="1440" w:right="1083" w:bottom="1440" w:left="1083" w:header="851" w:footer="992" w:gutter="0"/>
          <w:pgNumType w:start="1"/>
          <w:cols w:space="720" w:num="1"/>
          <w:docGrid w:type="lines" w:linePitch="312" w:charSpace="0"/>
        </w:sectPr>
      </w:pPr>
    </w:p>
    <w:p w14:paraId="51F6F449">
      <w:pPr>
        <w:pStyle w:val="3"/>
        <w:spacing w:before="120"/>
        <w:jc w:val="center"/>
        <w:rPr>
          <w:sz w:val="30"/>
          <w:szCs w:val="30"/>
        </w:rPr>
      </w:pPr>
      <w:r>
        <w:rPr>
          <w:sz w:val="30"/>
          <w:szCs w:val="30"/>
        </w:rPr>
        <w:t>一、建设项目基本情况</w:t>
      </w:r>
      <w:bookmarkEnd w:id="0"/>
      <w:bookmarkEnd w:id="1"/>
    </w:p>
    <w:tbl>
      <w:tblPr>
        <w:tblStyle w:val="29"/>
        <w:tblW w:w="4999"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1406"/>
        <w:gridCol w:w="2598"/>
        <w:gridCol w:w="2297"/>
        <w:gridCol w:w="3463"/>
      </w:tblGrid>
      <w:tr w14:paraId="49B9393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720" w:type="pct"/>
            <w:noWrap w:val="0"/>
            <w:tcMar>
              <w:top w:w="16" w:type="dxa"/>
              <w:left w:w="16" w:type="dxa"/>
              <w:right w:w="16" w:type="dxa"/>
            </w:tcMar>
            <w:vAlign w:val="center"/>
          </w:tcPr>
          <w:p w14:paraId="05BEC982">
            <w:pPr>
              <w:adjustRightInd w:val="0"/>
              <w:snapToGrid w:val="0"/>
              <w:jc w:val="center"/>
              <w:rPr>
                <w:color w:val="000000"/>
                <w:sz w:val="24"/>
              </w:rPr>
            </w:pPr>
            <w:r>
              <w:rPr>
                <w:color w:val="000000"/>
                <w:sz w:val="24"/>
              </w:rPr>
              <w:t>建设项目</w:t>
            </w:r>
          </w:p>
          <w:p w14:paraId="58AB0E4D">
            <w:pPr>
              <w:adjustRightInd w:val="0"/>
              <w:snapToGrid w:val="0"/>
              <w:jc w:val="center"/>
              <w:rPr>
                <w:color w:val="000000"/>
                <w:sz w:val="24"/>
              </w:rPr>
            </w:pPr>
            <w:r>
              <w:rPr>
                <w:color w:val="000000"/>
                <w:sz w:val="24"/>
              </w:rPr>
              <w:t>名称</w:t>
            </w:r>
          </w:p>
        </w:tc>
        <w:tc>
          <w:tcPr>
            <w:tcW w:w="4279" w:type="pct"/>
            <w:gridSpan w:val="3"/>
            <w:noWrap w:val="0"/>
            <w:vAlign w:val="center"/>
          </w:tcPr>
          <w:p w14:paraId="2FED502D">
            <w:pPr>
              <w:adjustRightInd w:val="0"/>
              <w:snapToGrid w:val="0"/>
              <w:jc w:val="center"/>
              <w:rPr>
                <w:color w:val="000000"/>
                <w:sz w:val="24"/>
              </w:rPr>
            </w:pPr>
            <w:r>
              <w:rPr>
                <w:rFonts w:hint="eastAsia"/>
                <w:color w:val="000000"/>
                <w:sz w:val="24"/>
                <w:lang w:eastAsia="zh-CN"/>
              </w:rPr>
              <w:t>河南星能智源能源有限公司年产3500吨次小薪材系列产品综合利用建设项目</w:t>
            </w:r>
          </w:p>
        </w:tc>
      </w:tr>
      <w:tr w14:paraId="3F3FD16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720" w:type="pct"/>
            <w:noWrap w:val="0"/>
            <w:tcMar>
              <w:top w:w="16" w:type="dxa"/>
              <w:left w:w="16" w:type="dxa"/>
              <w:right w:w="16" w:type="dxa"/>
            </w:tcMar>
            <w:vAlign w:val="center"/>
          </w:tcPr>
          <w:p w14:paraId="14A894A8">
            <w:pPr>
              <w:adjustRightInd w:val="0"/>
              <w:snapToGrid w:val="0"/>
              <w:jc w:val="center"/>
              <w:rPr>
                <w:color w:val="000000"/>
                <w:sz w:val="24"/>
              </w:rPr>
            </w:pPr>
            <w:r>
              <w:rPr>
                <w:color w:val="000000"/>
                <w:sz w:val="24"/>
              </w:rPr>
              <w:t>项目代码</w:t>
            </w:r>
          </w:p>
        </w:tc>
        <w:tc>
          <w:tcPr>
            <w:tcW w:w="4279" w:type="pct"/>
            <w:gridSpan w:val="3"/>
            <w:noWrap w:val="0"/>
            <w:vAlign w:val="center"/>
          </w:tcPr>
          <w:p w14:paraId="0A2CFC41">
            <w:pPr>
              <w:adjustRightInd w:val="0"/>
              <w:snapToGrid w:val="0"/>
              <w:jc w:val="center"/>
              <w:rPr>
                <w:color w:val="000000"/>
                <w:sz w:val="24"/>
              </w:rPr>
            </w:pPr>
            <w:r>
              <w:rPr>
                <w:rFonts w:hint="eastAsia"/>
                <w:color w:val="000000"/>
                <w:sz w:val="24"/>
              </w:rPr>
              <w:t>2507-411322-04-05-724863</w:t>
            </w:r>
          </w:p>
        </w:tc>
      </w:tr>
      <w:tr w14:paraId="6974948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720" w:type="pct"/>
            <w:noWrap w:val="0"/>
            <w:tcMar>
              <w:top w:w="16" w:type="dxa"/>
              <w:left w:w="16" w:type="dxa"/>
              <w:right w:w="16" w:type="dxa"/>
            </w:tcMar>
            <w:vAlign w:val="center"/>
          </w:tcPr>
          <w:p w14:paraId="78ECF2C1">
            <w:pPr>
              <w:adjustRightInd w:val="0"/>
              <w:snapToGrid w:val="0"/>
              <w:jc w:val="center"/>
              <w:rPr>
                <w:color w:val="000000"/>
                <w:sz w:val="24"/>
              </w:rPr>
            </w:pPr>
            <w:r>
              <w:rPr>
                <w:color w:val="000000"/>
                <w:sz w:val="24"/>
              </w:rPr>
              <w:t>建设单位</w:t>
            </w:r>
          </w:p>
          <w:p w14:paraId="0B5C8C98">
            <w:pPr>
              <w:adjustRightInd w:val="0"/>
              <w:snapToGrid w:val="0"/>
              <w:jc w:val="center"/>
              <w:rPr>
                <w:color w:val="000000"/>
                <w:sz w:val="24"/>
              </w:rPr>
            </w:pPr>
            <w:r>
              <w:rPr>
                <w:color w:val="000000"/>
                <w:sz w:val="24"/>
              </w:rPr>
              <w:t>联系人</w:t>
            </w:r>
          </w:p>
        </w:tc>
        <w:tc>
          <w:tcPr>
            <w:tcW w:w="1330" w:type="pct"/>
            <w:noWrap w:val="0"/>
            <w:vAlign w:val="center"/>
          </w:tcPr>
          <w:p w14:paraId="714AF3DE">
            <w:pPr>
              <w:adjustRightInd w:val="0"/>
              <w:snapToGrid w:val="0"/>
              <w:jc w:val="center"/>
              <w:rPr>
                <w:color w:val="000000"/>
                <w:sz w:val="24"/>
              </w:rPr>
            </w:pPr>
            <w:r>
              <w:rPr>
                <w:rFonts w:hint="eastAsia"/>
                <w:color w:val="000000"/>
                <w:sz w:val="24"/>
                <w:lang w:val="en-US" w:eastAsia="zh-CN"/>
              </w:rPr>
              <w:t>陈献</w:t>
            </w:r>
          </w:p>
        </w:tc>
        <w:tc>
          <w:tcPr>
            <w:tcW w:w="1176" w:type="pct"/>
            <w:noWrap w:val="0"/>
            <w:vAlign w:val="center"/>
          </w:tcPr>
          <w:p w14:paraId="3F571D1D">
            <w:pPr>
              <w:adjustRightInd w:val="0"/>
              <w:snapToGrid w:val="0"/>
              <w:jc w:val="center"/>
              <w:rPr>
                <w:color w:val="000000"/>
                <w:sz w:val="24"/>
              </w:rPr>
            </w:pPr>
            <w:r>
              <w:rPr>
                <w:color w:val="000000"/>
                <w:sz w:val="24"/>
              </w:rPr>
              <w:t>联系方式</w:t>
            </w:r>
          </w:p>
        </w:tc>
        <w:tc>
          <w:tcPr>
            <w:tcW w:w="1772" w:type="pct"/>
            <w:noWrap w:val="0"/>
            <w:vAlign w:val="center"/>
          </w:tcPr>
          <w:p w14:paraId="69251F10">
            <w:pPr>
              <w:adjustRightInd w:val="0"/>
              <w:snapToGrid w:val="0"/>
              <w:jc w:val="center"/>
              <w:rPr>
                <w:color w:val="000000"/>
                <w:sz w:val="24"/>
              </w:rPr>
            </w:pPr>
            <w:r>
              <w:rPr>
                <w:rFonts w:hint="eastAsia"/>
                <w:color w:val="000000"/>
                <w:sz w:val="24"/>
                <w:lang w:val="en-US" w:eastAsia="zh-CN"/>
              </w:rPr>
              <w:t>185*****555</w:t>
            </w:r>
          </w:p>
        </w:tc>
      </w:tr>
      <w:tr w14:paraId="38CE44B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15" w:hRule="atLeast"/>
          <w:jc w:val="center"/>
        </w:trPr>
        <w:tc>
          <w:tcPr>
            <w:tcW w:w="720" w:type="pct"/>
            <w:noWrap w:val="0"/>
            <w:tcMar>
              <w:top w:w="16" w:type="dxa"/>
              <w:left w:w="16" w:type="dxa"/>
              <w:right w:w="16" w:type="dxa"/>
            </w:tcMar>
            <w:vAlign w:val="center"/>
          </w:tcPr>
          <w:p w14:paraId="641A2383">
            <w:pPr>
              <w:adjustRightInd w:val="0"/>
              <w:snapToGrid w:val="0"/>
              <w:jc w:val="center"/>
              <w:rPr>
                <w:color w:val="000000"/>
                <w:sz w:val="24"/>
              </w:rPr>
            </w:pPr>
            <w:r>
              <w:rPr>
                <w:color w:val="000000"/>
                <w:sz w:val="24"/>
              </w:rPr>
              <w:t>建设地点</w:t>
            </w:r>
          </w:p>
        </w:tc>
        <w:tc>
          <w:tcPr>
            <w:tcW w:w="4279" w:type="pct"/>
            <w:gridSpan w:val="3"/>
            <w:noWrap w:val="0"/>
            <w:vAlign w:val="center"/>
          </w:tcPr>
          <w:p w14:paraId="3567E4D1">
            <w:pPr>
              <w:adjustRightInd w:val="0"/>
              <w:snapToGrid w:val="0"/>
              <w:jc w:val="center"/>
              <w:rPr>
                <w:rFonts w:hint="eastAsia" w:eastAsia="宋体"/>
                <w:color w:val="000000"/>
                <w:sz w:val="24"/>
                <w:lang w:eastAsia="zh-CN"/>
              </w:rPr>
            </w:pPr>
            <w:r>
              <w:rPr>
                <w:rFonts w:hint="eastAsia"/>
                <w:color w:val="000000"/>
                <w:sz w:val="24"/>
              </w:rPr>
              <w:t>南阳市方城县四里店镇小店村何家庄</w:t>
            </w:r>
          </w:p>
        </w:tc>
      </w:tr>
      <w:tr w14:paraId="0CD5D26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720" w:type="pct"/>
            <w:noWrap w:val="0"/>
            <w:tcMar>
              <w:top w:w="16" w:type="dxa"/>
              <w:left w:w="16" w:type="dxa"/>
              <w:right w:w="16" w:type="dxa"/>
            </w:tcMar>
            <w:vAlign w:val="center"/>
          </w:tcPr>
          <w:p w14:paraId="45256F34">
            <w:pPr>
              <w:adjustRightInd w:val="0"/>
              <w:snapToGrid w:val="0"/>
              <w:jc w:val="center"/>
              <w:rPr>
                <w:color w:val="000000"/>
                <w:sz w:val="24"/>
              </w:rPr>
            </w:pPr>
            <w:r>
              <w:rPr>
                <w:color w:val="000000"/>
                <w:sz w:val="24"/>
              </w:rPr>
              <w:t>地理坐标</w:t>
            </w:r>
          </w:p>
        </w:tc>
        <w:tc>
          <w:tcPr>
            <w:tcW w:w="4279" w:type="pct"/>
            <w:gridSpan w:val="3"/>
            <w:noWrap w:val="0"/>
            <w:vAlign w:val="center"/>
          </w:tcPr>
          <w:p w14:paraId="47B6486D">
            <w:pPr>
              <w:jc w:val="center"/>
              <w:rPr>
                <w:color w:val="000000"/>
                <w:sz w:val="24"/>
              </w:rPr>
            </w:pPr>
            <w:r>
              <w:rPr>
                <w:color w:val="000000"/>
                <w:sz w:val="24"/>
                <w:highlight w:val="none"/>
              </w:rPr>
              <w:t>（</w:t>
            </w:r>
            <w:r>
              <w:rPr>
                <w:rFonts w:hint="eastAsia"/>
                <w:color w:val="000000"/>
                <w:sz w:val="24"/>
                <w:highlight w:val="none"/>
                <w:u w:val="single"/>
              </w:rPr>
              <w:t>112</w:t>
            </w:r>
            <w:r>
              <w:rPr>
                <w:color w:val="000000"/>
                <w:sz w:val="24"/>
                <w:highlight w:val="none"/>
              </w:rPr>
              <w:t>度</w:t>
            </w:r>
            <w:r>
              <w:rPr>
                <w:rFonts w:hint="eastAsia"/>
                <w:color w:val="000000"/>
                <w:sz w:val="24"/>
                <w:highlight w:val="none"/>
                <w:u w:val="single"/>
              </w:rPr>
              <w:t>56</w:t>
            </w:r>
            <w:r>
              <w:rPr>
                <w:color w:val="000000"/>
                <w:sz w:val="24"/>
                <w:highlight w:val="none"/>
              </w:rPr>
              <w:t>分</w:t>
            </w:r>
            <w:r>
              <w:rPr>
                <w:rFonts w:hint="eastAsia"/>
                <w:color w:val="000000"/>
                <w:sz w:val="24"/>
                <w:highlight w:val="none"/>
                <w:u w:val="single"/>
              </w:rPr>
              <w:t>26.570</w:t>
            </w:r>
            <w:r>
              <w:rPr>
                <w:color w:val="000000"/>
                <w:sz w:val="24"/>
                <w:highlight w:val="none"/>
              </w:rPr>
              <w:t>秒，</w:t>
            </w:r>
            <w:r>
              <w:rPr>
                <w:color w:val="000000"/>
                <w:sz w:val="24"/>
                <w:highlight w:val="none"/>
                <w:u w:val="single"/>
              </w:rPr>
              <w:t>3</w:t>
            </w:r>
            <w:r>
              <w:rPr>
                <w:rFonts w:hint="eastAsia"/>
                <w:color w:val="000000"/>
                <w:sz w:val="24"/>
                <w:highlight w:val="none"/>
                <w:u w:val="single"/>
              </w:rPr>
              <w:t>3</w:t>
            </w:r>
            <w:r>
              <w:rPr>
                <w:color w:val="000000"/>
                <w:sz w:val="24"/>
                <w:highlight w:val="none"/>
              </w:rPr>
              <w:t>度</w:t>
            </w:r>
            <w:r>
              <w:rPr>
                <w:rFonts w:hint="eastAsia"/>
                <w:color w:val="000000"/>
                <w:sz w:val="24"/>
                <w:highlight w:val="none"/>
                <w:u w:val="single"/>
                <w:lang w:val="en-US" w:eastAsia="zh-CN"/>
              </w:rPr>
              <w:t>26</w:t>
            </w:r>
            <w:r>
              <w:rPr>
                <w:color w:val="000000"/>
                <w:sz w:val="24"/>
                <w:highlight w:val="none"/>
              </w:rPr>
              <w:t>分</w:t>
            </w:r>
            <w:r>
              <w:rPr>
                <w:rFonts w:hint="eastAsia"/>
                <w:color w:val="000000"/>
                <w:sz w:val="24"/>
                <w:highlight w:val="none"/>
                <w:u w:val="single"/>
              </w:rPr>
              <w:t>35.216</w:t>
            </w:r>
            <w:r>
              <w:rPr>
                <w:color w:val="000000"/>
                <w:sz w:val="24"/>
                <w:highlight w:val="none"/>
              </w:rPr>
              <w:t>秒）</w:t>
            </w:r>
          </w:p>
        </w:tc>
      </w:tr>
      <w:tr w14:paraId="7156243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720" w:type="pct"/>
            <w:noWrap w:val="0"/>
            <w:tcMar>
              <w:top w:w="16" w:type="dxa"/>
              <w:left w:w="16" w:type="dxa"/>
              <w:right w:w="16" w:type="dxa"/>
            </w:tcMar>
            <w:vAlign w:val="center"/>
          </w:tcPr>
          <w:p w14:paraId="365F2D32">
            <w:pPr>
              <w:adjustRightInd w:val="0"/>
              <w:snapToGrid w:val="0"/>
              <w:jc w:val="center"/>
              <w:rPr>
                <w:color w:val="000000"/>
                <w:sz w:val="24"/>
              </w:rPr>
            </w:pPr>
            <w:r>
              <w:rPr>
                <w:color w:val="000000"/>
                <w:sz w:val="24"/>
              </w:rPr>
              <w:t>国民经济行业类别</w:t>
            </w:r>
          </w:p>
        </w:tc>
        <w:tc>
          <w:tcPr>
            <w:tcW w:w="1330" w:type="pct"/>
            <w:noWrap w:val="0"/>
            <w:vAlign w:val="center"/>
          </w:tcPr>
          <w:p w14:paraId="2E2B3688">
            <w:pPr>
              <w:adjustRightInd w:val="0"/>
              <w:snapToGrid w:val="0"/>
              <w:rPr>
                <w:rFonts w:hint="default"/>
                <w:color w:val="000000"/>
                <w:sz w:val="24"/>
              </w:rPr>
            </w:pPr>
            <w:r>
              <w:rPr>
                <w:rFonts w:hint="default"/>
                <w:color w:val="000000"/>
                <w:sz w:val="24"/>
              </w:rPr>
              <w:t>C2542生物质致密成型燃料加工</w:t>
            </w:r>
          </w:p>
          <w:p w14:paraId="42AD2571">
            <w:pPr>
              <w:adjustRightInd w:val="0"/>
              <w:snapToGrid w:val="0"/>
              <w:rPr>
                <w:rFonts w:hint="default"/>
                <w:color w:val="000000"/>
                <w:sz w:val="24"/>
              </w:rPr>
            </w:pP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C4220非金属废料和碎屑加工处理</w:t>
            </w:r>
          </w:p>
        </w:tc>
        <w:tc>
          <w:tcPr>
            <w:tcW w:w="1176" w:type="pct"/>
            <w:noWrap w:val="0"/>
            <w:vAlign w:val="center"/>
          </w:tcPr>
          <w:p w14:paraId="37B3237D">
            <w:pPr>
              <w:adjustRightInd w:val="0"/>
              <w:snapToGrid w:val="0"/>
              <w:jc w:val="center"/>
              <w:rPr>
                <w:color w:val="000000"/>
                <w:sz w:val="24"/>
              </w:rPr>
            </w:pPr>
            <w:bookmarkStart w:id="7" w:name="_Hlk49843745"/>
            <w:r>
              <w:rPr>
                <w:color w:val="000000"/>
                <w:sz w:val="24"/>
              </w:rPr>
              <w:t>建设项目行业类别</w:t>
            </w:r>
            <w:bookmarkEnd w:id="7"/>
          </w:p>
        </w:tc>
        <w:tc>
          <w:tcPr>
            <w:tcW w:w="1772" w:type="pct"/>
            <w:noWrap w:val="0"/>
            <w:vAlign w:val="center"/>
          </w:tcPr>
          <w:p w14:paraId="01DABEA7">
            <w:pPr>
              <w:adjustRightInd w:val="0"/>
              <w:snapToGrid w:val="0"/>
              <w:rPr>
                <w:rFonts w:hint="eastAsia"/>
                <w:color w:val="000000"/>
                <w:sz w:val="24"/>
                <w:lang w:val="en-US" w:eastAsia="zh-CN"/>
              </w:rPr>
            </w:pPr>
            <w:r>
              <w:rPr>
                <w:rFonts w:hint="eastAsia"/>
                <w:color w:val="000000"/>
                <w:sz w:val="24"/>
                <w:lang w:val="en-US" w:eastAsia="zh-CN"/>
              </w:rPr>
              <w:t>二十二、石油、煤炭及其他燃料加工业25—43、生物质燃料加工254</w:t>
            </w:r>
          </w:p>
          <w:p w14:paraId="21AE5F59">
            <w:pPr>
              <w:adjustRightInd w:val="0"/>
              <w:snapToGrid w:val="0"/>
              <w:rPr>
                <w:rFonts w:hint="eastAsia"/>
                <w:color w:val="000000"/>
                <w:sz w:val="24"/>
                <w:lang w:val="en-US" w:eastAsia="zh-CN"/>
              </w:rPr>
            </w:pPr>
            <w:r>
              <w:rPr>
                <w:rFonts w:hint="eastAsia"/>
                <w:color w:val="000000"/>
                <w:sz w:val="24"/>
                <w:lang w:val="en-US" w:eastAsia="zh-CN"/>
              </w:rPr>
              <w:t>三十九、废弃资源综合利用业42—85、非金属废料和碎屑加工处理422</w:t>
            </w:r>
          </w:p>
        </w:tc>
      </w:tr>
      <w:tr w14:paraId="507A246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720" w:type="pct"/>
            <w:noWrap w:val="0"/>
            <w:tcMar>
              <w:top w:w="16" w:type="dxa"/>
              <w:left w:w="16" w:type="dxa"/>
              <w:right w:w="16" w:type="dxa"/>
            </w:tcMar>
            <w:vAlign w:val="center"/>
          </w:tcPr>
          <w:p w14:paraId="10D636F7">
            <w:pPr>
              <w:adjustRightInd w:val="0"/>
              <w:snapToGrid w:val="0"/>
              <w:jc w:val="center"/>
              <w:rPr>
                <w:color w:val="000000"/>
                <w:sz w:val="24"/>
              </w:rPr>
            </w:pPr>
            <w:r>
              <w:rPr>
                <w:color w:val="000000"/>
                <w:sz w:val="24"/>
              </w:rPr>
              <w:t>建设性质</w:t>
            </w:r>
          </w:p>
        </w:tc>
        <w:tc>
          <w:tcPr>
            <w:tcW w:w="1330" w:type="pct"/>
            <w:noWrap w:val="0"/>
            <w:vAlign w:val="center"/>
          </w:tcPr>
          <w:p w14:paraId="733DC7DD">
            <w:pPr>
              <w:jc w:val="left"/>
              <w:rPr>
                <w:color w:val="000000"/>
                <w:sz w:val="24"/>
              </w:rPr>
            </w:pPr>
            <w:r>
              <w:rPr>
                <w:rFonts w:hint="eastAsia"/>
                <w:color w:val="000000"/>
                <w:sz w:val="24"/>
                <w:lang w:eastAsia="zh-CN"/>
              </w:rPr>
              <w:t>☑</w:t>
            </w:r>
            <w:r>
              <w:rPr>
                <w:color w:val="000000"/>
                <w:sz w:val="24"/>
              </w:rPr>
              <w:t>新建（迁建）</w:t>
            </w:r>
          </w:p>
          <w:p w14:paraId="214BA872">
            <w:pPr>
              <w:jc w:val="left"/>
              <w:rPr>
                <w:color w:val="000000"/>
                <w:sz w:val="24"/>
              </w:rPr>
            </w:pPr>
            <w:r>
              <w:rPr>
                <w:rFonts w:hint="eastAsia"/>
                <w:color w:val="000000"/>
                <w:sz w:val="24"/>
                <w:lang w:eastAsia="zh-CN"/>
              </w:rPr>
              <w:t>□</w:t>
            </w:r>
            <w:r>
              <w:rPr>
                <w:color w:val="000000"/>
                <w:sz w:val="24"/>
              </w:rPr>
              <w:t>改建</w:t>
            </w:r>
          </w:p>
          <w:p w14:paraId="300CCA4E">
            <w:pPr>
              <w:jc w:val="left"/>
              <w:rPr>
                <w:color w:val="000000"/>
                <w:sz w:val="24"/>
              </w:rPr>
            </w:pPr>
            <w:r>
              <w:rPr>
                <w:rFonts w:hint="eastAsia"/>
                <w:color w:val="000000"/>
                <w:sz w:val="24"/>
              </w:rPr>
              <w:t>□</w:t>
            </w:r>
            <w:r>
              <w:rPr>
                <w:color w:val="000000"/>
                <w:sz w:val="24"/>
              </w:rPr>
              <w:t>扩建</w:t>
            </w:r>
          </w:p>
          <w:p w14:paraId="2B03CC31">
            <w:pPr>
              <w:jc w:val="left"/>
              <w:rPr>
                <w:color w:val="000000"/>
                <w:sz w:val="24"/>
              </w:rPr>
            </w:pPr>
            <w:r>
              <w:rPr>
                <w:rFonts w:hint="eastAsia"/>
                <w:color w:val="000000"/>
                <w:sz w:val="24"/>
              </w:rPr>
              <w:t>□</w:t>
            </w:r>
            <w:r>
              <w:rPr>
                <w:color w:val="000000"/>
                <w:sz w:val="24"/>
              </w:rPr>
              <w:t>技术改造</w:t>
            </w:r>
          </w:p>
        </w:tc>
        <w:tc>
          <w:tcPr>
            <w:tcW w:w="1176" w:type="pct"/>
            <w:noWrap w:val="0"/>
            <w:vAlign w:val="center"/>
          </w:tcPr>
          <w:p w14:paraId="0A8004C1">
            <w:pPr>
              <w:adjustRightInd w:val="0"/>
              <w:snapToGrid w:val="0"/>
              <w:jc w:val="center"/>
              <w:rPr>
                <w:color w:val="000000"/>
                <w:sz w:val="24"/>
              </w:rPr>
            </w:pPr>
            <w:r>
              <w:rPr>
                <w:color w:val="000000"/>
                <w:sz w:val="24"/>
              </w:rPr>
              <w:t>建设项目申报情形</w:t>
            </w:r>
          </w:p>
        </w:tc>
        <w:tc>
          <w:tcPr>
            <w:tcW w:w="1772" w:type="pct"/>
            <w:noWrap w:val="0"/>
            <w:vAlign w:val="center"/>
          </w:tcPr>
          <w:p w14:paraId="7604AB3F">
            <w:pPr>
              <w:jc w:val="left"/>
              <w:rPr>
                <w:color w:val="000000"/>
                <w:sz w:val="24"/>
              </w:rPr>
            </w:pPr>
            <w:r>
              <w:rPr>
                <w:rFonts w:hint="eastAsia"/>
                <w:color w:val="000000"/>
                <w:sz w:val="24"/>
              </w:rPr>
              <w:t>☑</w:t>
            </w:r>
            <w:r>
              <w:rPr>
                <w:color w:val="000000"/>
                <w:sz w:val="24"/>
              </w:rPr>
              <w:t>首次申报项目</w:t>
            </w:r>
          </w:p>
          <w:p w14:paraId="48EEC847">
            <w:pPr>
              <w:jc w:val="left"/>
              <w:rPr>
                <w:color w:val="000000"/>
                <w:sz w:val="24"/>
              </w:rPr>
            </w:pPr>
            <w:r>
              <w:rPr>
                <w:rFonts w:hint="eastAsia"/>
                <w:color w:val="000000"/>
                <w:sz w:val="24"/>
              </w:rPr>
              <w:t>□</w:t>
            </w:r>
            <w:r>
              <w:rPr>
                <w:color w:val="000000"/>
                <w:sz w:val="24"/>
              </w:rPr>
              <w:t>不予批准后再次申报项目</w:t>
            </w:r>
          </w:p>
          <w:p w14:paraId="3AC61BA1">
            <w:pPr>
              <w:jc w:val="left"/>
              <w:rPr>
                <w:color w:val="000000"/>
                <w:sz w:val="24"/>
              </w:rPr>
            </w:pPr>
            <w:r>
              <w:rPr>
                <w:rFonts w:hint="eastAsia"/>
                <w:color w:val="000000"/>
                <w:sz w:val="24"/>
              </w:rPr>
              <w:t>□</w:t>
            </w:r>
            <w:r>
              <w:rPr>
                <w:color w:val="000000"/>
                <w:sz w:val="24"/>
              </w:rPr>
              <w:t>超五年重新审核项目</w:t>
            </w:r>
          </w:p>
          <w:p w14:paraId="34BC0521">
            <w:pPr>
              <w:jc w:val="left"/>
              <w:rPr>
                <w:color w:val="000000"/>
                <w:sz w:val="24"/>
              </w:rPr>
            </w:pPr>
            <w:r>
              <w:rPr>
                <w:rFonts w:hint="eastAsia"/>
                <w:color w:val="000000"/>
                <w:sz w:val="24"/>
              </w:rPr>
              <w:t>□</w:t>
            </w:r>
            <w:r>
              <w:rPr>
                <w:color w:val="000000"/>
                <w:sz w:val="24"/>
              </w:rPr>
              <w:t>重大变动重新报批项目</w:t>
            </w:r>
          </w:p>
        </w:tc>
      </w:tr>
      <w:tr w14:paraId="16EABAE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720" w:type="pct"/>
            <w:noWrap w:val="0"/>
            <w:tcMar>
              <w:top w:w="16" w:type="dxa"/>
              <w:left w:w="16" w:type="dxa"/>
              <w:right w:w="16" w:type="dxa"/>
            </w:tcMar>
            <w:vAlign w:val="center"/>
          </w:tcPr>
          <w:p w14:paraId="4FB6698C">
            <w:pPr>
              <w:adjustRightInd w:val="0"/>
              <w:snapToGrid w:val="0"/>
              <w:jc w:val="center"/>
              <w:rPr>
                <w:color w:val="000000"/>
                <w:sz w:val="24"/>
              </w:rPr>
            </w:pPr>
            <w:r>
              <w:rPr>
                <w:color w:val="000000"/>
                <w:sz w:val="24"/>
              </w:rPr>
              <w:t>项目审批（核准/备案）部门</w:t>
            </w:r>
          </w:p>
        </w:tc>
        <w:tc>
          <w:tcPr>
            <w:tcW w:w="1330" w:type="pct"/>
            <w:noWrap w:val="0"/>
            <w:vAlign w:val="center"/>
          </w:tcPr>
          <w:p w14:paraId="3E6A8121">
            <w:pPr>
              <w:adjustRightInd w:val="0"/>
              <w:snapToGrid w:val="0"/>
              <w:jc w:val="center"/>
              <w:rPr>
                <w:color w:val="000000"/>
                <w:sz w:val="24"/>
              </w:rPr>
            </w:pPr>
            <w:r>
              <w:rPr>
                <w:rFonts w:hint="eastAsia"/>
                <w:color w:val="000000"/>
                <w:sz w:val="24"/>
                <w:lang w:val="en-US" w:eastAsia="zh-CN"/>
              </w:rPr>
              <w:t>方城县</w:t>
            </w:r>
            <w:r>
              <w:rPr>
                <w:rFonts w:hint="eastAsia"/>
                <w:color w:val="000000"/>
                <w:sz w:val="24"/>
              </w:rPr>
              <w:t>发展和改革委员会</w:t>
            </w:r>
          </w:p>
        </w:tc>
        <w:tc>
          <w:tcPr>
            <w:tcW w:w="1176" w:type="pct"/>
            <w:noWrap w:val="0"/>
            <w:vAlign w:val="center"/>
          </w:tcPr>
          <w:p w14:paraId="4D650B24">
            <w:pPr>
              <w:adjustRightInd w:val="0"/>
              <w:snapToGrid w:val="0"/>
              <w:jc w:val="center"/>
              <w:rPr>
                <w:color w:val="000000"/>
                <w:sz w:val="24"/>
              </w:rPr>
            </w:pPr>
            <w:r>
              <w:rPr>
                <w:color w:val="000000"/>
                <w:sz w:val="24"/>
              </w:rPr>
              <w:t>项目审批（核准/备案）文号</w:t>
            </w:r>
          </w:p>
        </w:tc>
        <w:tc>
          <w:tcPr>
            <w:tcW w:w="1772" w:type="pct"/>
            <w:noWrap w:val="0"/>
            <w:vAlign w:val="center"/>
          </w:tcPr>
          <w:p w14:paraId="3CB4EEBB">
            <w:pPr>
              <w:adjustRightInd w:val="0"/>
              <w:snapToGrid w:val="0"/>
              <w:jc w:val="center"/>
              <w:rPr>
                <w:color w:val="000000"/>
                <w:sz w:val="24"/>
              </w:rPr>
            </w:pPr>
            <w:r>
              <w:rPr>
                <w:rFonts w:hint="eastAsia"/>
                <w:color w:val="000000"/>
                <w:sz w:val="24"/>
              </w:rPr>
              <w:t>2507-411322-04-05-724863</w:t>
            </w:r>
          </w:p>
        </w:tc>
      </w:tr>
      <w:tr w14:paraId="7934AF7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720" w:type="pct"/>
            <w:noWrap w:val="0"/>
            <w:tcMar>
              <w:top w:w="16" w:type="dxa"/>
              <w:left w:w="16" w:type="dxa"/>
              <w:right w:w="16" w:type="dxa"/>
            </w:tcMar>
            <w:vAlign w:val="center"/>
          </w:tcPr>
          <w:p w14:paraId="6B735B5D">
            <w:pPr>
              <w:adjustRightInd w:val="0"/>
              <w:snapToGrid w:val="0"/>
              <w:jc w:val="center"/>
              <w:rPr>
                <w:color w:val="000000"/>
                <w:sz w:val="24"/>
              </w:rPr>
            </w:pPr>
            <w:r>
              <w:rPr>
                <w:color w:val="000000"/>
                <w:sz w:val="24"/>
              </w:rPr>
              <w:t>总投资</w:t>
            </w:r>
          </w:p>
          <w:p w14:paraId="545CB61D">
            <w:pPr>
              <w:adjustRightInd w:val="0"/>
              <w:snapToGrid w:val="0"/>
              <w:jc w:val="center"/>
              <w:rPr>
                <w:color w:val="000000"/>
                <w:sz w:val="24"/>
              </w:rPr>
            </w:pPr>
            <w:r>
              <w:rPr>
                <w:color w:val="000000"/>
                <w:sz w:val="24"/>
              </w:rPr>
              <w:t>（万元）</w:t>
            </w:r>
          </w:p>
        </w:tc>
        <w:tc>
          <w:tcPr>
            <w:tcW w:w="1330" w:type="pct"/>
            <w:noWrap w:val="0"/>
            <w:vAlign w:val="center"/>
          </w:tcPr>
          <w:p w14:paraId="625E3404">
            <w:pPr>
              <w:adjustRightInd w:val="0"/>
              <w:snapToGrid w:val="0"/>
              <w:jc w:val="center"/>
              <w:rPr>
                <w:rFonts w:hint="default"/>
                <w:color w:val="000000"/>
                <w:sz w:val="24"/>
                <w:lang w:val="en-US"/>
              </w:rPr>
            </w:pPr>
            <w:r>
              <w:rPr>
                <w:rFonts w:hint="eastAsia"/>
                <w:color w:val="000000"/>
                <w:sz w:val="24"/>
                <w:lang w:val="en-US" w:eastAsia="zh-CN"/>
              </w:rPr>
              <w:t>1000</w:t>
            </w:r>
          </w:p>
        </w:tc>
        <w:tc>
          <w:tcPr>
            <w:tcW w:w="1176" w:type="pct"/>
            <w:noWrap w:val="0"/>
            <w:tcMar>
              <w:top w:w="16" w:type="dxa"/>
              <w:left w:w="16" w:type="dxa"/>
              <w:right w:w="16" w:type="dxa"/>
            </w:tcMar>
            <w:vAlign w:val="center"/>
          </w:tcPr>
          <w:p w14:paraId="72DF705C">
            <w:pPr>
              <w:adjustRightInd w:val="0"/>
              <w:snapToGrid w:val="0"/>
              <w:jc w:val="center"/>
              <w:rPr>
                <w:color w:val="000000"/>
                <w:sz w:val="24"/>
              </w:rPr>
            </w:pPr>
            <w:r>
              <w:rPr>
                <w:color w:val="000000"/>
                <w:sz w:val="24"/>
              </w:rPr>
              <w:t>环保投资（万元）</w:t>
            </w:r>
          </w:p>
        </w:tc>
        <w:tc>
          <w:tcPr>
            <w:tcW w:w="1772" w:type="pct"/>
            <w:noWrap w:val="0"/>
            <w:vAlign w:val="center"/>
          </w:tcPr>
          <w:p w14:paraId="3A82D13D">
            <w:pPr>
              <w:adjustRightInd w:val="0"/>
              <w:snapToGrid w:val="0"/>
              <w:jc w:val="center"/>
              <w:rPr>
                <w:rFonts w:hint="default" w:eastAsia="宋体"/>
                <w:color w:val="000000"/>
                <w:sz w:val="24"/>
                <w:lang w:val="en-US" w:eastAsia="zh-CN"/>
              </w:rPr>
            </w:pPr>
            <w:r>
              <w:rPr>
                <w:rFonts w:hint="eastAsia"/>
                <w:color w:val="000000"/>
                <w:sz w:val="24"/>
                <w:lang w:val="en-US" w:eastAsia="zh-CN"/>
              </w:rPr>
              <w:t>89</w:t>
            </w:r>
          </w:p>
        </w:tc>
      </w:tr>
      <w:tr w14:paraId="7D9D1F0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720" w:type="pct"/>
            <w:noWrap w:val="0"/>
            <w:tcMar>
              <w:top w:w="16" w:type="dxa"/>
              <w:left w:w="16" w:type="dxa"/>
              <w:right w:w="16" w:type="dxa"/>
            </w:tcMar>
            <w:vAlign w:val="center"/>
          </w:tcPr>
          <w:p w14:paraId="227DE142">
            <w:pPr>
              <w:adjustRightInd w:val="0"/>
              <w:snapToGrid w:val="0"/>
              <w:jc w:val="center"/>
              <w:rPr>
                <w:color w:val="000000"/>
                <w:sz w:val="24"/>
              </w:rPr>
            </w:pPr>
            <w:r>
              <w:rPr>
                <w:color w:val="000000"/>
                <w:sz w:val="24"/>
              </w:rPr>
              <w:t>环保投资占比（%）</w:t>
            </w:r>
          </w:p>
        </w:tc>
        <w:tc>
          <w:tcPr>
            <w:tcW w:w="1330" w:type="pct"/>
            <w:noWrap w:val="0"/>
            <w:vAlign w:val="center"/>
          </w:tcPr>
          <w:p w14:paraId="7599BCFD">
            <w:pPr>
              <w:adjustRightInd w:val="0"/>
              <w:snapToGrid w:val="0"/>
              <w:jc w:val="center"/>
              <w:rPr>
                <w:rFonts w:hint="default" w:eastAsia="宋体"/>
                <w:color w:val="000000"/>
                <w:sz w:val="24"/>
                <w:lang w:val="en-US" w:eastAsia="zh-CN"/>
              </w:rPr>
            </w:pPr>
            <w:r>
              <w:rPr>
                <w:rFonts w:hint="eastAsia"/>
                <w:color w:val="000000"/>
                <w:sz w:val="24"/>
                <w:lang w:val="en-US" w:eastAsia="zh-CN"/>
              </w:rPr>
              <w:t>8.9</w:t>
            </w:r>
          </w:p>
        </w:tc>
        <w:tc>
          <w:tcPr>
            <w:tcW w:w="1176" w:type="pct"/>
            <w:noWrap w:val="0"/>
            <w:tcMar>
              <w:top w:w="16" w:type="dxa"/>
              <w:left w:w="16" w:type="dxa"/>
              <w:right w:w="16" w:type="dxa"/>
            </w:tcMar>
            <w:vAlign w:val="center"/>
          </w:tcPr>
          <w:p w14:paraId="1247AFDC">
            <w:pPr>
              <w:adjustRightInd w:val="0"/>
              <w:snapToGrid w:val="0"/>
              <w:jc w:val="center"/>
              <w:rPr>
                <w:color w:val="000000"/>
                <w:sz w:val="24"/>
              </w:rPr>
            </w:pPr>
            <w:r>
              <w:rPr>
                <w:color w:val="000000"/>
                <w:sz w:val="24"/>
              </w:rPr>
              <w:t>施工工期</w:t>
            </w:r>
          </w:p>
        </w:tc>
        <w:tc>
          <w:tcPr>
            <w:tcW w:w="1772" w:type="pct"/>
            <w:noWrap w:val="0"/>
            <w:vAlign w:val="center"/>
          </w:tcPr>
          <w:p w14:paraId="02F66994">
            <w:pPr>
              <w:adjustRightInd w:val="0"/>
              <w:snapToGrid w:val="0"/>
              <w:jc w:val="center"/>
              <w:rPr>
                <w:color w:val="000000"/>
                <w:sz w:val="24"/>
              </w:rPr>
            </w:pPr>
            <w:r>
              <w:rPr>
                <w:rFonts w:hint="eastAsia"/>
                <w:color w:val="000000"/>
                <w:sz w:val="24"/>
                <w:lang w:val="en-US" w:eastAsia="zh-CN"/>
              </w:rPr>
              <w:t>3</w:t>
            </w:r>
            <w:r>
              <w:rPr>
                <w:rFonts w:hint="eastAsia"/>
                <w:color w:val="000000"/>
                <w:sz w:val="24"/>
              </w:rPr>
              <w:t>个月</w:t>
            </w:r>
          </w:p>
        </w:tc>
      </w:tr>
      <w:tr w14:paraId="60B302C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720" w:type="pct"/>
            <w:noWrap w:val="0"/>
            <w:tcMar>
              <w:top w:w="16" w:type="dxa"/>
              <w:left w:w="16" w:type="dxa"/>
              <w:right w:w="16" w:type="dxa"/>
            </w:tcMar>
            <w:vAlign w:val="center"/>
          </w:tcPr>
          <w:p w14:paraId="709AF079">
            <w:pPr>
              <w:adjustRightInd w:val="0"/>
              <w:snapToGrid w:val="0"/>
              <w:jc w:val="center"/>
              <w:rPr>
                <w:color w:val="000000"/>
                <w:sz w:val="24"/>
              </w:rPr>
            </w:pPr>
            <w:r>
              <w:rPr>
                <w:color w:val="000000"/>
                <w:sz w:val="24"/>
              </w:rPr>
              <w:t>是否开工</w:t>
            </w:r>
          </w:p>
          <w:p w14:paraId="7E906EFD">
            <w:pPr>
              <w:adjustRightInd w:val="0"/>
              <w:snapToGrid w:val="0"/>
              <w:jc w:val="center"/>
              <w:rPr>
                <w:color w:val="000000"/>
                <w:sz w:val="24"/>
              </w:rPr>
            </w:pPr>
            <w:r>
              <w:rPr>
                <w:color w:val="000000"/>
                <w:sz w:val="24"/>
              </w:rPr>
              <w:t>建设</w:t>
            </w:r>
          </w:p>
        </w:tc>
        <w:tc>
          <w:tcPr>
            <w:tcW w:w="1330" w:type="pct"/>
            <w:noWrap w:val="0"/>
            <w:vAlign w:val="center"/>
          </w:tcPr>
          <w:p w14:paraId="0CD10387">
            <w:pPr>
              <w:adjustRightInd w:val="0"/>
              <w:snapToGrid w:val="0"/>
              <w:rPr>
                <w:color w:val="000000"/>
                <w:sz w:val="24"/>
              </w:rPr>
            </w:pPr>
            <w:r>
              <w:rPr>
                <w:rFonts w:hint="eastAsia"/>
                <w:color w:val="000000"/>
                <w:sz w:val="24"/>
              </w:rPr>
              <w:t>☑</w:t>
            </w:r>
            <w:r>
              <w:rPr>
                <w:color w:val="000000"/>
                <w:sz w:val="24"/>
              </w:rPr>
              <w:t>否</w:t>
            </w:r>
          </w:p>
          <w:p w14:paraId="4C5981FB">
            <w:pPr>
              <w:adjustRightInd w:val="0"/>
              <w:snapToGrid w:val="0"/>
              <w:rPr>
                <w:color w:val="000000"/>
                <w:sz w:val="24"/>
              </w:rPr>
            </w:pPr>
            <w:r>
              <w:rPr>
                <w:rFonts w:hint="eastAsia"/>
                <w:color w:val="000000"/>
                <w:sz w:val="24"/>
              </w:rPr>
              <w:t>□</w:t>
            </w:r>
            <w:r>
              <w:rPr>
                <w:color w:val="000000"/>
                <w:sz w:val="24"/>
              </w:rPr>
              <w:t>是：</w:t>
            </w:r>
            <w:r>
              <w:rPr>
                <w:color w:val="000000"/>
                <w:sz w:val="24"/>
                <w:u w:val="single"/>
              </w:rPr>
              <w:t xml:space="preserve">          </w:t>
            </w:r>
          </w:p>
        </w:tc>
        <w:tc>
          <w:tcPr>
            <w:tcW w:w="1176" w:type="pct"/>
            <w:noWrap w:val="0"/>
            <w:tcMar>
              <w:top w:w="16" w:type="dxa"/>
              <w:left w:w="16" w:type="dxa"/>
              <w:right w:w="16" w:type="dxa"/>
            </w:tcMar>
            <w:vAlign w:val="center"/>
          </w:tcPr>
          <w:p w14:paraId="5D2ECEC1">
            <w:pPr>
              <w:adjustRightInd w:val="0"/>
              <w:snapToGrid w:val="0"/>
              <w:jc w:val="center"/>
              <w:rPr>
                <w:color w:val="000000"/>
                <w:sz w:val="24"/>
              </w:rPr>
            </w:pPr>
            <w:r>
              <w:rPr>
                <w:color w:val="000000"/>
                <w:spacing w:val="-6"/>
                <w:sz w:val="24"/>
              </w:rPr>
              <w:t>用地面积（m</w:t>
            </w:r>
            <w:r>
              <w:rPr>
                <w:color w:val="000000"/>
                <w:spacing w:val="-6"/>
                <w:sz w:val="24"/>
                <w:vertAlign w:val="superscript"/>
              </w:rPr>
              <w:t>2</w:t>
            </w:r>
            <w:r>
              <w:rPr>
                <w:color w:val="000000"/>
                <w:spacing w:val="-6"/>
                <w:sz w:val="24"/>
              </w:rPr>
              <w:t>）</w:t>
            </w:r>
          </w:p>
        </w:tc>
        <w:tc>
          <w:tcPr>
            <w:tcW w:w="1772" w:type="pct"/>
            <w:noWrap w:val="0"/>
            <w:vAlign w:val="center"/>
          </w:tcPr>
          <w:p w14:paraId="1F5A0BED">
            <w:pPr>
              <w:adjustRightInd w:val="0"/>
              <w:snapToGrid w:val="0"/>
              <w:jc w:val="center"/>
              <w:rPr>
                <w:rFonts w:hint="default" w:eastAsia="宋体"/>
                <w:color w:val="000000"/>
                <w:sz w:val="24"/>
                <w:lang w:val="en-US" w:eastAsia="zh-CN"/>
              </w:rPr>
            </w:pPr>
            <w:r>
              <w:rPr>
                <w:rFonts w:hint="eastAsia"/>
                <w:color w:val="000000"/>
                <w:sz w:val="24"/>
                <w:lang w:val="en-US" w:eastAsia="zh-CN"/>
              </w:rPr>
              <w:t>17000</w:t>
            </w:r>
          </w:p>
        </w:tc>
      </w:tr>
      <w:tr w14:paraId="1000AEA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20" w:type="pct"/>
            <w:noWrap w:val="0"/>
            <w:vAlign w:val="center"/>
          </w:tcPr>
          <w:p w14:paraId="028F1943">
            <w:pPr>
              <w:autoSpaceDE w:val="0"/>
              <w:autoSpaceDN w:val="0"/>
              <w:adjustRightInd w:val="0"/>
              <w:snapToGrid w:val="0"/>
              <w:jc w:val="center"/>
              <w:rPr>
                <w:color w:val="000000"/>
                <w:kern w:val="0"/>
                <w:sz w:val="24"/>
              </w:rPr>
            </w:pPr>
            <w:r>
              <w:rPr>
                <w:color w:val="000000"/>
                <w:kern w:val="0"/>
                <w:sz w:val="24"/>
              </w:rPr>
              <w:t>专项评价设置情况</w:t>
            </w:r>
          </w:p>
        </w:tc>
        <w:tc>
          <w:tcPr>
            <w:tcW w:w="4279" w:type="pct"/>
            <w:gridSpan w:val="3"/>
            <w:noWrap w:val="0"/>
            <w:vAlign w:val="center"/>
          </w:tcPr>
          <w:p w14:paraId="32D4D145">
            <w:pPr>
              <w:autoSpaceDE w:val="0"/>
              <w:autoSpaceDN w:val="0"/>
              <w:adjustRightInd w:val="0"/>
              <w:snapToGrid w:val="0"/>
              <w:jc w:val="center"/>
              <w:rPr>
                <w:color w:val="000000"/>
                <w:kern w:val="0"/>
                <w:sz w:val="24"/>
              </w:rPr>
            </w:pPr>
            <w:r>
              <w:rPr>
                <w:rFonts w:hint="default" w:ascii="Times New Roman" w:hAnsi="Times New Roman" w:eastAsia="宋体" w:cs="Times New Roman"/>
                <w:b w:val="0"/>
                <w:bCs w:val="0"/>
                <w:color w:val="auto"/>
                <w:kern w:val="0"/>
                <w:sz w:val="24"/>
                <w:szCs w:val="24"/>
                <w:highlight w:val="none"/>
                <w:u w:val="none" w:color="auto"/>
                <w:lang w:val="en-US" w:eastAsia="zh-CN"/>
              </w:rPr>
              <w:t>无</w:t>
            </w:r>
          </w:p>
        </w:tc>
      </w:tr>
      <w:tr w14:paraId="151FF18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20" w:type="pct"/>
            <w:noWrap w:val="0"/>
            <w:vAlign w:val="center"/>
          </w:tcPr>
          <w:p w14:paraId="3BF254FB">
            <w:pPr>
              <w:autoSpaceDE w:val="0"/>
              <w:autoSpaceDN w:val="0"/>
              <w:adjustRightInd w:val="0"/>
              <w:snapToGrid w:val="0"/>
              <w:jc w:val="center"/>
              <w:rPr>
                <w:color w:val="000000"/>
                <w:kern w:val="0"/>
                <w:sz w:val="24"/>
              </w:rPr>
            </w:pPr>
            <w:r>
              <w:rPr>
                <w:color w:val="000000"/>
                <w:sz w:val="24"/>
              </w:rPr>
              <w:t>规划情况</w:t>
            </w:r>
          </w:p>
        </w:tc>
        <w:tc>
          <w:tcPr>
            <w:tcW w:w="4279" w:type="pct"/>
            <w:gridSpan w:val="3"/>
            <w:noWrap w:val="0"/>
            <w:vAlign w:val="center"/>
          </w:tcPr>
          <w:p w14:paraId="51F31DE6">
            <w:pPr>
              <w:pStyle w:val="8"/>
              <w:spacing w:before="0" w:beforeAutospacing="0" w:line="360" w:lineRule="auto"/>
              <w:ind w:left="0" w:leftChars="0" w:right="0" w:rightChars="0" w:firstLine="0" w:firstLineChars="0"/>
              <w:jc w:val="center"/>
              <w:rPr>
                <w:color w:val="000000"/>
                <w:sz w:val="24"/>
              </w:rPr>
            </w:pPr>
            <w:r>
              <w:rPr>
                <w:rFonts w:hint="default" w:ascii="Times New Roman" w:hAnsi="Times New Roman" w:eastAsia="宋体" w:cs="Times New Roman"/>
                <w:b w:val="0"/>
                <w:bCs w:val="0"/>
                <w:color w:val="auto"/>
                <w:kern w:val="0"/>
                <w:sz w:val="24"/>
                <w:szCs w:val="24"/>
                <w:highlight w:val="none"/>
                <w:u w:val="none" w:color="auto"/>
                <w:lang w:val="en-US" w:eastAsia="zh-CN"/>
              </w:rPr>
              <w:t>/</w:t>
            </w:r>
          </w:p>
        </w:tc>
      </w:tr>
      <w:tr w14:paraId="203C356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20" w:type="pct"/>
            <w:noWrap w:val="0"/>
            <w:vAlign w:val="center"/>
          </w:tcPr>
          <w:p w14:paraId="3DC931D4">
            <w:pPr>
              <w:adjustRightInd w:val="0"/>
              <w:snapToGrid w:val="0"/>
              <w:jc w:val="center"/>
              <w:rPr>
                <w:color w:val="000000"/>
                <w:kern w:val="0"/>
                <w:sz w:val="24"/>
              </w:rPr>
            </w:pPr>
            <w:r>
              <w:rPr>
                <w:color w:val="000000"/>
                <w:sz w:val="24"/>
              </w:rPr>
              <w:t>规划环境影响评价情况</w:t>
            </w:r>
          </w:p>
        </w:tc>
        <w:tc>
          <w:tcPr>
            <w:tcW w:w="4279" w:type="pct"/>
            <w:gridSpan w:val="3"/>
            <w:noWrap w:val="0"/>
            <w:vAlign w:val="center"/>
          </w:tcPr>
          <w:p w14:paraId="2123268E">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360" w:lineRule="auto"/>
              <w:ind w:left="0" w:leftChars="0" w:right="0" w:rightChars="0"/>
              <w:jc w:val="center"/>
              <w:textAlignment w:val="auto"/>
              <w:rPr>
                <w:color w:val="000000"/>
                <w:sz w:val="24"/>
              </w:rPr>
            </w:pPr>
            <w:r>
              <w:rPr>
                <w:rFonts w:hint="default" w:ascii="Times New Roman" w:hAnsi="Times New Roman" w:eastAsia="宋体" w:cs="Times New Roman"/>
                <w:b w:val="0"/>
                <w:bCs w:val="0"/>
                <w:color w:val="auto"/>
                <w:kern w:val="0"/>
                <w:sz w:val="24"/>
                <w:szCs w:val="24"/>
                <w:highlight w:val="none"/>
                <w:u w:val="none" w:color="auto"/>
                <w:lang w:val="en-US" w:eastAsia="zh-CN"/>
              </w:rPr>
              <w:t>/</w:t>
            </w:r>
          </w:p>
        </w:tc>
      </w:tr>
      <w:tr w14:paraId="0379426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20" w:type="pct"/>
            <w:noWrap w:val="0"/>
            <w:vAlign w:val="center"/>
          </w:tcPr>
          <w:p w14:paraId="49A6CCA3">
            <w:pPr>
              <w:autoSpaceDE w:val="0"/>
              <w:autoSpaceDN w:val="0"/>
              <w:adjustRightInd w:val="0"/>
              <w:snapToGrid w:val="0"/>
              <w:jc w:val="center"/>
              <w:rPr>
                <w:color w:val="000000"/>
                <w:kern w:val="0"/>
                <w:sz w:val="24"/>
              </w:rPr>
            </w:pPr>
            <w:r>
              <w:rPr>
                <w:color w:val="000000"/>
                <w:kern w:val="0"/>
                <w:sz w:val="24"/>
              </w:rPr>
              <w:t>规划及规划环境影响评价符合性分析</w:t>
            </w:r>
          </w:p>
        </w:tc>
        <w:tc>
          <w:tcPr>
            <w:tcW w:w="4279" w:type="pct"/>
            <w:gridSpan w:val="3"/>
            <w:noWrap w:val="0"/>
            <w:vAlign w:val="center"/>
          </w:tcPr>
          <w:p w14:paraId="74C8DA44">
            <w:pPr>
              <w:widowControl/>
              <w:spacing w:line="360" w:lineRule="auto"/>
              <w:jc w:val="center"/>
              <w:rPr>
                <w:rFonts w:hint="eastAsia" w:eastAsia="宋体"/>
                <w:lang w:val="en-US" w:eastAsia="zh-CN"/>
              </w:rPr>
            </w:pPr>
            <w:r>
              <w:rPr>
                <w:rFonts w:hint="eastAsia"/>
                <w:lang w:val="en-US" w:eastAsia="zh-CN"/>
              </w:rPr>
              <w:t>/</w:t>
            </w:r>
          </w:p>
        </w:tc>
      </w:tr>
      <w:tr w14:paraId="66ED104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20" w:type="pct"/>
            <w:noWrap w:val="0"/>
            <w:vAlign w:val="center"/>
          </w:tcPr>
          <w:p w14:paraId="1FA44793">
            <w:pPr>
              <w:autoSpaceDE w:val="0"/>
              <w:autoSpaceDN w:val="0"/>
              <w:adjustRightInd w:val="0"/>
              <w:snapToGrid w:val="0"/>
              <w:jc w:val="center"/>
              <w:rPr>
                <w:color w:val="000000"/>
                <w:kern w:val="0"/>
                <w:sz w:val="24"/>
              </w:rPr>
            </w:pPr>
            <w:r>
              <w:rPr>
                <w:color w:val="000000"/>
                <w:kern w:val="0"/>
                <w:sz w:val="24"/>
              </w:rPr>
              <w:t>其他符合性分析</w:t>
            </w:r>
          </w:p>
        </w:tc>
        <w:tc>
          <w:tcPr>
            <w:tcW w:w="4279" w:type="pct"/>
            <w:gridSpan w:val="3"/>
            <w:noWrap w:val="0"/>
            <w:vAlign w:val="center"/>
          </w:tcPr>
          <w:p w14:paraId="431E0FA1">
            <w:pPr>
              <w:tabs>
                <w:tab w:val="left" w:pos="1081"/>
              </w:tabs>
              <w:adjustRightInd w:val="0"/>
              <w:snapToGrid w:val="0"/>
              <w:spacing w:line="360" w:lineRule="auto"/>
              <w:ind w:firstLine="482" w:firstLineChars="200"/>
              <w:rPr>
                <w:b/>
                <w:bCs/>
                <w:color w:val="000000"/>
                <w:kern w:val="0"/>
                <w:sz w:val="24"/>
                <w:lang w:bidi="ar"/>
              </w:rPr>
            </w:pPr>
            <w:r>
              <w:rPr>
                <w:b/>
                <w:bCs/>
                <w:color w:val="000000"/>
                <w:kern w:val="0"/>
                <w:sz w:val="24"/>
                <w:lang w:bidi="ar"/>
              </w:rPr>
              <w:t>1</w:t>
            </w:r>
            <w:r>
              <w:rPr>
                <w:rFonts w:hint="eastAsia"/>
                <w:b/>
                <w:bCs/>
                <w:color w:val="000000"/>
                <w:kern w:val="0"/>
                <w:sz w:val="24"/>
                <w:lang w:eastAsia="zh-CN" w:bidi="ar"/>
              </w:rPr>
              <w:t>、</w:t>
            </w:r>
            <w:r>
              <w:rPr>
                <w:b/>
                <w:bCs/>
                <w:color w:val="000000"/>
                <w:kern w:val="0"/>
                <w:sz w:val="24"/>
                <w:lang w:bidi="ar"/>
              </w:rPr>
              <w:t>产业政策符合性</w:t>
            </w:r>
          </w:p>
          <w:p w14:paraId="304C9C91">
            <w:pPr>
              <w:spacing w:line="360" w:lineRule="auto"/>
              <w:ind w:firstLine="480" w:firstLineChars="200"/>
              <w:rPr>
                <w:sz w:val="24"/>
              </w:rPr>
            </w:pPr>
            <w:r>
              <w:rPr>
                <w:rFonts w:hint="default"/>
                <w:sz w:val="24"/>
              </w:rPr>
              <w:t>经比对《产业结构调整指导目录（2024年本）》，本项目不属于淘汰类和限制类，属于鼓励类</w:t>
            </w:r>
            <w:r>
              <w:rPr>
                <w:rFonts w:hint="eastAsia"/>
                <w:sz w:val="24"/>
                <w:lang w:eastAsia="zh-CN"/>
              </w:rPr>
              <w:t>“</w:t>
            </w:r>
            <w:r>
              <w:rPr>
                <w:rFonts w:hint="eastAsia"/>
                <w:sz w:val="24"/>
                <w:lang w:val="en-US" w:eastAsia="zh-CN"/>
              </w:rPr>
              <w:t>一、农林牧渔业”</w:t>
            </w:r>
            <w:r>
              <w:rPr>
                <w:rFonts w:hint="eastAsia"/>
                <w:sz w:val="24"/>
                <w:lang w:eastAsia="zh-CN"/>
              </w:rPr>
              <w:t>：“</w:t>
            </w:r>
            <w:r>
              <w:rPr>
                <w:rFonts w:hint="eastAsia"/>
                <w:sz w:val="24"/>
                <w:lang w:val="en-US" w:eastAsia="zh-CN"/>
              </w:rPr>
              <w:t>17.可再生资源综合利用”</w:t>
            </w:r>
            <w:r>
              <w:rPr>
                <w:rFonts w:hint="default"/>
                <w:sz w:val="24"/>
              </w:rPr>
              <w:t>，属于鼓励类；且项目生产工艺、设备及产品不属于《河南省部分工业行业淘汰落后生产工艺装备和产品目录（2019年本）》中的限制类和淘汰类；项目已取得</w:t>
            </w:r>
            <w:r>
              <w:rPr>
                <w:rFonts w:hint="default"/>
                <w:sz w:val="24"/>
                <w:lang w:val="en-US" w:eastAsia="zh-CN"/>
              </w:rPr>
              <w:t>方城县</w:t>
            </w:r>
            <w:r>
              <w:rPr>
                <w:rFonts w:hint="default"/>
                <w:sz w:val="24"/>
              </w:rPr>
              <w:t>发展和改革委员会出具的备案证明，项目代码：2507-411322-04-05-724863（见附件），因此，本项目建设符合国家当前产业政策的要求。</w:t>
            </w:r>
          </w:p>
          <w:p w14:paraId="0FFEF543">
            <w:pPr>
              <w:tabs>
                <w:tab w:val="left" w:pos="1081"/>
              </w:tabs>
              <w:adjustRightInd w:val="0"/>
              <w:snapToGrid w:val="0"/>
              <w:spacing w:line="360" w:lineRule="auto"/>
              <w:ind w:firstLine="482" w:firstLineChars="200"/>
              <w:rPr>
                <w:b/>
                <w:sz w:val="24"/>
              </w:rPr>
            </w:pPr>
            <w:r>
              <w:rPr>
                <w:b/>
                <w:sz w:val="24"/>
              </w:rPr>
              <w:t>2、项目建设与相关规划的符合性</w:t>
            </w:r>
          </w:p>
          <w:p w14:paraId="5F190F91">
            <w:pPr>
              <w:tabs>
                <w:tab w:val="left" w:pos="1081"/>
              </w:tabs>
              <w:adjustRightInd w:val="0"/>
              <w:snapToGrid w:val="0"/>
              <w:spacing w:line="360" w:lineRule="auto"/>
              <w:ind w:firstLine="482" w:firstLineChars="200"/>
              <w:rPr>
                <w:b/>
                <w:kern w:val="0"/>
                <w:sz w:val="24"/>
              </w:rPr>
            </w:pPr>
            <w:r>
              <w:rPr>
                <w:b/>
                <w:kern w:val="0"/>
                <w:sz w:val="24"/>
              </w:rPr>
              <w:t>2.1项目建设与</w:t>
            </w:r>
            <w:r>
              <w:rPr>
                <w:rFonts w:hint="eastAsia"/>
                <w:b/>
                <w:kern w:val="0"/>
                <w:sz w:val="24"/>
              </w:rPr>
              <w:t>《方城县国土空间总体规划（2021—2035年）》</w:t>
            </w:r>
            <w:r>
              <w:rPr>
                <w:b/>
                <w:sz w:val="24"/>
              </w:rPr>
              <w:t>的相符性</w:t>
            </w:r>
          </w:p>
          <w:p w14:paraId="37654683">
            <w:pPr>
              <w:tabs>
                <w:tab w:val="left" w:pos="1081"/>
              </w:tabs>
              <w:adjustRightInd w:val="0"/>
              <w:snapToGrid w:val="0"/>
              <w:spacing w:line="360" w:lineRule="auto"/>
              <w:ind w:firstLine="480" w:firstLineChars="200"/>
              <w:rPr>
                <w:bCs/>
                <w:sz w:val="24"/>
              </w:rPr>
            </w:pPr>
            <w:r>
              <w:rPr>
                <w:bCs/>
                <w:sz w:val="24"/>
                <w:lang w:val="zh-CN"/>
              </w:rPr>
              <w:t>2.1</w:t>
            </w:r>
            <w:r>
              <w:rPr>
                <w:bCs/>
                <w:sz w:val="24"/>
              </w:rPr>
              <w:t>.1</w:t>
            </w:r>
            <w:r>
              <w:rPr>
                <w:rFonts w:hint="eastAsia"/>
                <w:bCs/>
                <w:sz w:val="24"/>
              </w:rPr>
              <w:t>《方城县国土空间总体规划（2021—2035年）》</w:t>
            </w:r>
            <w:r>
              <w:rPr>
                <w:bCs/>
                <w:sz w:val="24"/>
              </w:rPr>
              <w:t>规划内容</w:t>
            </w:r>
          </w:p>
          <w:p w14:paraId="2F46E93E">
            <w:pPr>
              <w:tabs>
                <w:tab w:val="left" w:pos="1081"/>
              </w:tabs>
              <w:adjustRightInd w:val="0"/>
              <w:snapToGrid w:val="0"/>
              <w:spacing w:line="360" w:lineRule="auto"/>
              <w:ind w:firstLine="480" w:firstLineChars="200"/>
              <w:rPr>
                <w:rFonts w:hint="eastAsia"/>
                <w:bCs/>
                <w:sz w:val="24"/>
              </w:rPr>
            </w:pPr>
            <w:r>
              <w:rPr>
                <w:rFonts w:hint="eastAsia"/>
                <w:bCs/>
                <w:sz w:val="24"/>
              </w:rPr>
              <w:t>（1）规划期限</w:t>
            </w:r>
          </w:p>
          <w:p w14:paraId="586547AA">
            <w:pPr>
              <w:tabs>
                <w:tab w:val="left" w:pos="1081"/>
              </w:tabs>
              <w:adjustRightInd w:val="0"/>
              <w:snapToGrid w:val="0"/>
              <w:spacing w:line="360" w:lineRule="auto"/>
              <w:ind w:firstLine="480" w:firstLineChars="200"/>
              <w:rPr>
                <w:rFonts w:hint="eastAsia"/>
                <w:bCs/>
                <w:sz w:val="24"/>
              </w:rPr>
            </w:pPr>
            <w:r>
              <w:rPr>
                <w:rFonts w:hint="eastAsia"/>
                <w:bCs/>
                <w:sz w:val="24"/>
              </w:rPr>
              <w:t>规划基期年为2020年，期限为2021至2035年，近期到2025 年，远景展望至2050年。</w:t>
            </w:r>
          </w:p>
          <w:p w14:paraId="2516A9EB">
            <w:pPr>
              <w:tabs>
                <w:tab w:val="left" w:pos="1081"/>
              </w:tabs>
              <w:adjustRightInd w:val="0"/>
              <w:snapToGrid w:val="0"/>
              <w:spacing w:line="360" w:lineRule="auto"/>
              <w:ind w:firstLine="480" w:firstLineChars="200"/>
              <w:rPr>
                <w:rFonts w:hint="eastAsia"/>
                <w:bCs/>
                <w:sz w:val="24"/>
              </w:rPr>
            </w:pPr>
            <w:r>
              <w:rPr>
                <w:rFonts w:hint="eastAsia"/>
                <w:bCs/>
                <w:sz w:val="24"/>
              </w:rPr>
              <w:t>（2）规划范围</w:t>
            </w:r>
          </w:p>
          <w:p w14:paraId="35AD7005">
            <w:pPr>
              <w:tabs>
                <w:tab w:val="left" w:pos="1081"/>
              </w:tabs>
              <w:adjustRightInd w:val="0"/>
              <w:snapToGrid w:val="0"/>
              <w:spacing w:line="360" w:lineRule="auto"/>
              <w:ind w:firstLine="480" w:firstLineChars="200"/>
              <w:rPr>
                <w:rFonts w:hint="eastAsia"/>
                <w:bCs/>
                <w:sz w:val="24"/>
              </w:rPr>
            </w:pPr>
            <w:r>
              <w:rPr>
                <w:rFonts w:hint="eastAsia"/>
                <w:bCs/>
                <w:sz w:val="24"/>
              </w:rPr>
              <w:t>规划范围为行政辖区内的全部国土空间，分为县域规划和中心城区规划两个层级。</w:t>
            </w:r>
          </w:p>
          <w:p w14:paraId="409D4CBE">
            <w:pPr>
              <w:tabs>
                <w:tab w:val="left" w:pos="1081"/>
              </w:tabs>
              <w:adjustRightInd w:val="0"/>
              <w:snapToGrid w:val="0"/>
              <w:spacing w:line="360" w:lineRule="auto"/>
              <w:ind w:firstLine="480" w:firstLineChars="200"/>
              <w:rPr>
                <w:rFonts w:hint="eastAsia" w:eastAsia="宋体"/>
                <w:bCs/>
                <w:sz w:val="24"/>
                <w:lang w:eastAsia="zh-CN"/>
              </w:rPr>
            </w:pPr>
            <w:r>
              <w:rPr>
                <w:rFonts w:hint="eastAsia"/>
                <w:bCs/>
                <w:sz w:val="24"/>
              </w:rPr>
              <w:t>县域规划为整个县域行政区，共涉及土地总面积2543.21平方公里，包括释之办事处、凤瑞办事处2个街道办，独树镇、博望镇、拐河镇、小史店镇、赵河镇、广阳镇、杨楼镇、券桥镇、清河镇、四里店镇、古庄店镇、杨集镇、柳河镇、二郎庙镇14个镇，袁店回族乡、方城大寺国有林场和河南中南机械厂。（拟将释之办事处和凤瑞办事处全部、券桥、清河、二郎庙、古庄店、杨集部分区域，行政区划调整为释之办事处、凤瑞办事处、广安办事处和赭阳办事处）</w:t>
            </w:r>
            <w:r>
              <w:rPr>
                <w:rFonts w:hint="eastAsia"/>
                <w:bCs/>
                <w:sz w:val="24"/>
                <w:lang w:eastAsia="zh-CN"/>
              </w:rPr>
              <w:t>。</w:t>
            </w:r>
          </w:p>
          <w:p w14:paraId="49BE695A">
            <w:pPr>
              <w:tabs>
                <w:tab w:val="left" w:pos="1081"/>
              </w:tabs>
              <w:adjustRightInd w:val="0"/>
              <w:snapToGrid w:val="0"/>
              <w:spacing w:line="360" w:lineRule="auto"/>
              <w:ind w:firstLine="480" w:firstLineChars="200"/>
              <w:rPr>
                <w:rFonts w:hint="eastAsia"/>
                <w:bCs/>
                <w:sz w:val="24"/>
              </w:rPr>
            </w:pPr>
            <w:r>
              <w:rPr>
                <w:rFonts w:hint="eastAsia"/>
                <w:bCs/>
                <w:sz w:val="24"/>
              </w:rPr>
              <w:t>中心城区规划为233省道改线、234国道改线、兰南高速以及天津路围合区域，包含释之办事处、凤瑞办事处以及清河镇、杨集镇、券桥镇、古庄店镇、二郎庙镇部分区域，中心城区规划范围面积65.31平方公里。城市性质：郑宛门户城市，南阳市副中心城市，以装备制造和新材料为主导产业的宜居宜业宜游宜养的公园城市。</w:t>
            </w:r>
          </w:p>
          <w:p w14:paraId="4C446B61">
            <w:pPr>
              <w:tabs>
                <w:tab w:val="left" w:pos="1081"/>
              </w:tabs>
              <w:adjustRightInd w:val="0"/>
              <w:snapToGrid w:val="0"/>
              <w:spacing w:line="360" w:lineRule="auto"/>
              <w:ind w:firstLine="480" w:firstLineChars="200"/>
              <w:rPr>
                <w:rFonts w:hint="eastAsia"/>
                <w:bCs/>
                <w:sz w:val="24"/>
              </w:rPr>
            </w:pPr>
            <w:r>
              <w:rPr>
                <w:rFonts w:hint="eastAsia"/>
                <w:bCs/>
                <w:sz w:val="24"/>
              </w:rPr>
              <w:t>（3）城市性质</w:t>
            </w:r>
          </w:p>
          <w:p w14:paraId="2B91CC3F">
            <w:pPr>
              <w:tabs>
                <w:tab w:val="left" w:pos="1081"/>
              </w:tabs>
              <w:adjustRightInd w:val="0"/>
              <w:snapToGrid w:val="0"/>
              <w:spacing w:line="360" w:lineRule="auto"/>
              <w:ind w:firstLine="480" w:firstLineChars="200"/>
              <w:rPr>
                <w:rFonts w:hint="eastAsia"/>
                <w:bCs/>
                <w:sz w:val="24"/>
              </w:rPr>
            </w:pPr>
            <w:r>
              <w:rPr>
                <w:rFonts w:hint="eastAsia"/>
                <w:bCs/>
                <w:sz w:val="24"/>
              </w:rPr>
              <w:t>南阳市域副中心城市、郑宛门户城市、以装备制造和新材料为主导的先进制造业基地、国家园林县城。</w:t>
            </w:r>
          </w:p>
          <w:p w14:paraId="648983DC">
            <w:pPr>
              <w:tabs>
                <w:tab w:val="left" w:pos="1081"/>
              </w:tabs>
              <w:adjustRightInd w:val="0"/>
              <w:snapToGrid w:val="0"/>
              <w:spacing w:line="360" w:lineRule="auto"/>
              <w:ind w:firstLine="480" w:firstLineChars="200"/>
              <w:rPr>
                <w:rFonts w:hint="eastAsia"/>
                <w:bCs/>
                <w:sz w:val="24"/>
              </w:rPr>
            </w:pPr>
            <w:r>
              <w:rPr>
                <w:rFonts w:hint="eastAsia"/>
                <w:bCs/>
                <w:sz w:val="24"/>
              </w:rPr>
              <w:t>（4）近期国土空间保护开发目标</w:t>
            </w:r>
          </w:p>
          <w:p w14:paraId="16C48C1B">
            <w:pPr>
              <w:tabs>
                <w:tab w:val="left" w:pos="1081"/>
              </w:tabs>
              <w:adjustRightInd w:val="0"/>
              <w:snapToGrid w:val="0"/>
              <w:spacing w:line="360" w:lineRule="auto"/>
              <w:ind w:firstLine="480" w:firstLineChars="200"/>
              <w:rPr>
                <w:rFonts w:hint="eastAsia"/>
                <w:bCs/>
                <w:sz w:val="24"/>
              </w:rPr>
            </w:pPr>
            <w:r>
              <w:rPr>
                <w:rFonts w:hint="eastAsia"/>
                <w:bCs/>
                <w:sz w:val="24"/>
              </w:rPr>
              <w:t>至2025年，国土空间保护开发明显协调，“三生”空间深度融合，生态空间和农业空间得到有效保护，人口继续向城镇地区集聚，城乡格局得到优化，城乡统筹得到发展。文化和旅游深度融合，县域软实力和吸引力得到明显提升。金刚石、轴承、生物动保等战略新兴产业集群初步形成，各类创新机构、高新技术企业、科技企业孵化器等产业创新平台明显增加。</w:t>
            </w:r>
          </w:p>
          <w:p w14:paraId="5A042290">
            <w:pPr>
              <w:tabs>
                <w:tab w:val="left" w:pos="1081"/>
              </w:tabs>
              <w:adjustRightInd w:val="0"/>
              <w:snapToGrid w:val="0"/>
              <w:spacing w:line="360" w:lineRule="auto"/>
              <w:ind w:firstLine="480" w:firstLineChars="200"/>
              <w:rPr>
                <w:rFonts w:hint="eastAsia"/>
                <w:bCs/>
                <w:sz w:val="24"/>
              </w:rPr>
            </w:pPr>
            <w:r>
              <w:rPr>
                <w:rFonts w:hint="eastAsia"/>
                <w:bCs/>
                <w:sz w:val="24"/>
              </w:rPr>
              <w:t>（5）主体功能分区</w:t>
            </w:r>
          </w:p>
          <w:p w14:paraId="6F86A43A">
            <w:pPr>
              <w:tabs>
                <w:tab w:val="left" w:pos="1081"/>
              </w:tabs>
              <w:adjustRightInd w:val="0"/>
              <w:snapToGrid w:val="0"/>
              <w:spacing w:line="360" w:lineRule="auto"/>
              <w:ind w:firstLine="480" w:firstLineChars="200"/>
              <w:rPr>
                <w:rFonts w:hint="eastAsia"/>
                <w:bCs/>
                <w:sz w:val="24"/>
              </w:rPr>
            </w:pPr>
            <w:r>
              <w:rPr>
                <w:rFonts w:hint="eastAsia"/>
                <w:bCs/>
                <w:sz w:val="24"/>
              </w:rPr>
              <w:t>落实河南省、南阳市国土空间总体规划中方城县“国家级农产品主产区”和各乡（镇）主体功能区战略定位。</w:t>
            </w:r>
          </w:p>
          <w:p w14:paraId="64D596C9">
            <w:pPr>
              <w:tabs>
                <w:tab w:val="left" w:pos="1081"/>
              </w:tabs>
              <w:adjustRightInd w:val="0"/>
              <w:snapToGrid w:val="0"/>
              <w:spacing w:line="360" w:lineRule="auto"/>
              <w:ind w:firstLine="480" w:firstLineChars="200"/>
              <w:rPr>
                <w:rFonts w:hint="eastAsia"/>
                <w:bCs/>
                <w:sz w:val="24"/>
              </w:rPr>
            </w:pPr>
            <w:r>
              <w:rPr>
                <w:rFonts w:hint="eastAsia"/>
                <w:bCs/>
                <w:sz w:val="24"/>
              </w:rPr>
              <w:t>农产品主产区：独树镇、博望镇、小史店镇、赵河镇、杨楼镇、券桥镇、清河镇、古庄店镇、杨集镇、柳河镇、袁店回族乡。</w:t>
            </w:r>
          </w:p>
          <w:p w14:paraId="4E57F4B7">
            <w:pPr>
              <w:tabs>
                <w:tab w:val="left" w:pos="1081"/>
              </w:tabs>
              <w:adjustRightInd w:val="0"/>
              <w:snapToGrid w:val="0"/>
              <w:spacing w:line="360" w:lineRule="auto"/>
              <w:ind w:firstLine="480" w:firstLineChars="200"/>
              <w:rPr>
                <w:rFonts w:hint="eastAsia"/>
                <w:bCs/>
                <w:sz w:val="24"/>
              </w:rPr>
            </w:pPr>
            <w:r>
              <w:rPr>
                <w:rFonts w:hint="eastAsia"/>
                <w:bCs/>
                <w:sz w:val="24"/>
              </w:rPr>
              <w:t>重点生态功能区：四里店镇、拐河镇、方城大寺林场。</w:t>
            </w:r>
          </w:p>
          <w:p w14:paraId="7E0CDB06">
            <w:pPr>
              <w:tabs>
                <w:tab w:val="left" w:pos="1081"/>
              </w:tabs>
              <w:adjustRightInd w:val="0"/>
              <w:snapToGrid w:val="0"/>
              <w:spacing w:line="360" w:lineRule="auto"/>
              <w:ind w:firstLine="480" w:firstLineChars="200"/>
              <w:rPr>
                <w:rFonts w:hint="eastAsia"/>
                <w:bCs/>
                <w:sz w:val="24"/>
              </w:rPr>
            </w:pPr>
            <w:r>
              <w:rPr>
                <w:rFonts w:hint="eastAsia"/>
                <w:bCs/>
                <w:sz w:val="24"/>
              </w:rPr>
              <w:t>城市化地区：凤瑞街道、释之街道、广阳镇、二郎庙镇。</w:t>
            </w:r>
          </w:p>
          <w:p w14:paraId="3778C7D4">
            <w:pPr>
              <w:tabs>
                <w:tab w:val="left" w:pos="1081"/>
              </w:tabs>
              <w:adjustRightInd w:val="0"/>
              <w:snapToGrid w:val="0"/>
              <w:spacing w:line="360" w:lineRule="auto"/>
              <w:ind w:firstLine="480" w:firstLineChars="200"/>
              <w:rPr>
                <w:rFonts w:hint="eastAsia"/>
                <w:bCs/>
                <w:sz w:val="24"/>
              </w:rPr>
            </w:pPr>
            <w:r>
              <w:rPr>
                <w:rFonts w:hint="eastAsia"/>
                <w:bCs/>
                <w:sz w:val="24"/>
              </w:rPr>
              <w:t>（6）国土空间总体格局</w:t>
            </w:r>
          </w:p>
          <w:p w14:paraId="33B41EF0">
            <w:pPr>
              <w:tabs>
                <w:tab w:val="left" w:pos="1081"/>
              </w:tabs>
              <w:adjustRightInd w:val="0"/>
              <w:snapToGrid w:val="0"/>
              <w:spacing w:line="360" w:lineRule="auto"/>
              <w:ind w:firstLine="480" w:firstLineChars="200"/>
              <w:rPr>
                <w:rFonts w:hint="eastAsia"/>
                <w:bCs/>
                <w:sz w:val="24"/>
              </w:rPr>
            </w:pPr>
            <w:r>
              <w:rPr>
                <w:rFonts w:hint="eastAsia"/>
                <w:bCs/>
                <w:sz w:val="24"/>
              </w:rPr>
              <w:t>全域构建“一主一副、两轴三区”的国土空间总体格局。</w:t>
            </w:r>
          </w:p>
          <w:p w14:paraId="04EA07F0">
            <w:pPr>
              <w:tabs>
                <w:tab w:val="left" w:pos="1081"/>
              </w:tabs>
              <w:adjustRightInd w:val="0"/>
              <w:snapToGrid w:val="0"/>
              <w:spacing w:line="360" w:lineRule="auto"/>
              <w:ind w:firstLine="480" w:firstLineChars="200"/>
              <w:rPr>
                <w:rFonts w:hint="eastAsia"/>
                <w:bCs/>
                <w:sz w:val="24"/>
              </w:rPr>
            </w:pPr>
            <w:r>
              <w:rPr>
                <w:rFonts w:hint="eastAsia"/>
                <w:bCs/>
                <w:sz w:val="24"/>
              </w:rPr>
              <w:t>一主：坚持核心引领，一体联动，筑牢中心城区县域中心地位，加强资源要素向城区集聚，打造产业集聚、功能复合的县域发展中心。</w:t>
            </w:r>
          </w:p>
          <w:p w14:paraId="76B63332">
            <w:pPr>
              <w:tabs>
                <w:tab w:val="left" w:pos="1081"/>
              </w:tabs>
              <w:adjustRightInd w:val="0"/>
              <w:snapToGrid w:val="0"/>
              <w:spacing w:line="360" w:lineRule="auto"/>
              <w:ind w:firstLine="480" w:firstLineChars="200"/>
              <w:rPr>
                <w:rFonts w:hint="eastAsia"/>
                <w:bCs/>
                <w:sz w:val="24"/>
              </w:rPr>
            </w:pPr>
            <w:r>
              <w:rPr>
                <w:rFonts w:hint="eastAsia"/>
                <w:bCs/>
                <w:sz w:val="24"/>
              </w:rPr>
              <w:t>一副：支持广阳镇建设县域副中心，做强做大超硬材料产业集群，实现广阳小城市和超硬材料产业园区融合发展，形成对接南阳市辖区，辐射县域西部区域中心。</w:t>
            </w:r>
          </w:p>
          <w:p w14:paraId="49CE03A5">
            <w:pPr>
              <w:tabs>
                <w:tab w:val="left" w:pos="1081"/>
              </w:tabs>
              <w:adjustRightInd w:val="0"/>
              <w:snapToGrid w:val="0"/>
              <w:spacing w:line="360" w:lineRule="auto"/>
              <w:ind w:firstLine="480" w:firstLineChars="200"/>
              <w:rPr>
                <w:rFonts w:hint="eastAsia"/>
                <w:bCs/>
                <w:sz w:val="24"/>
              </w:rPr>
            </w:pPr>
            <w:r>
              <w:rPr>
                <w:rFonts w:hint="eastAsia"/>
                <w:bCs/>
                <w:sz w:val="24"/>
              </w:rPr>
              <w:t>两轴：以兰南高速、国道234和省道103为依托，构建县域东西向发展轴，以方枣高速、方汝高速和省道233为依托，构建县域南北向发展轴，推动公共服务资源向轴线聚拢。</w:t>
            </w:r>
          </w:p>
          <w:p w14:paraId="5521EE2B">
            <w:pPr>
              <w:tabs>
                <w:tab w:val="left" w:pos="1081"/>
              </w:tabs>
              <w:adjustRightInd w:val="0"/>
              <w:snapToGrid w:val="0"/>
              <w:spacing w:line="360" w:lineRule="auto"/>
              <w:ind w:firstLine="480" w:firstLineChars="200"/>
              <w:rPr>
                <w:rFonts w:hint="eastAsia"/>
                <w:bCs/>
                <w:sz w:val="24"/>
              </w:rPr>
            </w:pPr>
            <w:r>
              <w:rPr>
                <w:rFonts w:hint="eastAsia"/>
                <w:bCs/>
                <w:sz w:val="24"/>
              </w:rPr>
              <w:t>三区：围绕北部伏牛山和南部桐柏山建设两个生态涵养区，推动区域生态环境治理，中部围绕绿色高效农业形成现代农业示范区。</w:t>
            </w:r>
          </w:p>
          <w:p w14:paraId="4CDCCFF6">
            <w:pPr>
              <w:tabs>
                <w:tab w:val="left" w:pos="1081"/>
              </w:tabs>
              <w:adjustRightInd w:val="0"/>
              <w:snapToGrid w:val="0"/>
              <w:spacing w:line="360" w:lineRule="auto"/>
              <w:ind w:firstLine="480" w:firstLineChars="200"/>
              <w:rPr>
                <w:bCs/>
                <w:sz w:val="24"/>
              </w:rPr>
            </w:pPr>
            <w:r>
              <w:rPr>
                <w:bCs/>
                <w:sz w:val="24"/>
              </w:rPr>
              <w:t>2.1.2项目建设与</w:t>
            </w:r>
            <w:r>
              <w:rPr>
                <w:rFonts w:hint="eastAsia"/>
                <w:bCs/>
                <w:sz w:val="24"/>
              </w:rPr>
              <w:t>方城县国土空间总体规划</w:t>
            </w:r>
            <w:r>
              <w:rPr>
                <w:bCs/>
                <w:sz w:val="24"/>
              </w:rPr>
              <w:t>的相符性分析</w:t>
            </w:r>
          </w:p>
          <w:p w14:paraId="3224CFF1">
            <w:pPr>
              <w:adjustRightInd w:val="0"/>
              <w:snapToGrid w:val="0"/>
              <w:spacing w:line="360" w:lineRule="auto"/>
              <w:ind w:firstLine="480" w:firstLineChars="200"/>
              <w:textAlignment w:val="baseline"/>
              <w:rPr>
                <w:sz w:val="24"/>
              </w:rPr>
            </w:pPr>
            <w:r>
              <w:rPr>
                <w:sz w:val="24"/>
              </w:rPr>
              <w:t>本项目位于</w:t>
            </w:r>
            <w:r>
              <w:rPr>
                <w:rFonts w:hint="eastAsia"/>
                <w:sz w:val="24"/>
              </w:rPr>
              <w:t>南阳市方城县四里店镇小店村何家庄</w:t>
            </w:r>
            <w:r>
              <w:rPr>
                <w:sz w:val="24"/>
              </w:rPr>
              <w:t>，</w:t>
            </w:r>
            <w:r>
              <w:rPr>
                <w:bCs/>
                <w:sz w:val="24"/>
              </w:rPr>
              <w:t>经对比</w:t>
            </w:r>
            <w:r>
              <w:rPr>
                <w:rFonts w:hint="eastAsia"/>
                <w:bCs/>
                <w:sz w:val="24"/>
              </w:rPr>
              <w:t>《方城县国土空间总体规划（2021—2035年）》</w:t>
            </w:r>
            <w:r>
              <w:rPr>
                <w:bCs/>
                <w:sz w:val="24"/>
              </w:rPr>
              <w:t>，本项目位于</w:t>
            </w:r>
            <w:r>
              <w:rPr>
                <w:rFonts w:hint="eastAsia"/>
                <w:bCs/>
                <w:sz w:val="24"/>
              </w:rPr>
              <w:t>方城县国土空间总体规划</w:t>
            </w:r>
            <w:r>
              <w:rPr>
                <w:bCs/>
                <w:sz w:val="24"/>
              </w:rPr>
              <w:t>范围中</w:t>
            </w:r>
            <w:r>
              <w:rPr>
                <w:rFonts w:hint="eastAsia"/>
                <w:bCs/>
                <w:sz w:val="24"/>
                <w:lang w:eastAsia="zh-CN"/>
              </w:rPr>
              <w:t>“重点生态功能区</w:t>
            </w:r>
            <w:r>
              <w:rPr>
                <w:rFonts w:hint="eastAsia"/>
                <w:bCs/>
                <w:sz w:val="24"/>
                <w:lang w:val="en-US" w:eastAsia="zh-CN"/>
              </w:rPr>
              <w:t>”中的“四里店镇”</w:t>
            </w:r>
            <w:r>
              <w:rPr>
                <w:sz w:val="24"/>
              </w:rPr>
              <w:t>，根据</w:t>
            </w:r>
            <w:r>
              <w:rPr>
                <w:rFonts w:hint="eastAsia"/>
                <w:sz w:val="24"/>
                <w:highlight w:val="none"/>
                <w:lang w:val="en-US" w:eastAsia="zh-CN"/>
              </w:rPr>
              <w:t>方城县四里店镇自然资源所</w:t>
            </w:r>
            <w:r>
              <w:rPr>
                <w:sz w:val="24"/>
              </w:rPr>
              <w:t>出具的证明，该项目用地性质为建设用地，项目建设符合</w:t>
            </w:r>
            <w:r>
              <w:rPr>
                <w:rFonts w:hint="eastAsia"/>
                <w:bCs/>
                <w:sz w:val="24"/>
              </w:rPr>
              <w:t>方城县国土空间总体规划</w:t>
            </w:r>
            <w:r>
              <w:rPr>
                <w:sz w:val="24"/>
              </w:rPr>
              <w:t>要求。</w:t>
            </w:r>
          </w:p>
          <w:p w14:paraId="77ECD0D1">
            <w:pPr>
              <w:pStyle w:val="41"/>
              <w:adjustRightInd w:val="0"/>
              <w:snapToGrid w:val="0"/>
              <w:spacing w:before="0"/>
              <w:ind w:firstLineChars="200"/>
              <w:rPr>
                <w:b/>
                <w:bCs/>
              </w:rPr>
            </w:pPr>
            <w:r>
              <w:rPr>
                <w:b/>
                <w:bCs/>
              </w:rPr>
              <w:t>2.</w:t>
            </w:r>
            <w:r>
              <w:rPr>
                <w:rFonts w:hint="eastAsia"/>
                <w:b/>
                <w:bCs/>
                <w:lang w:val="en-US" w:eastAsia="zh-CN"/>
              </w:rPr>
              <w:t>2</w:t>
            </w:r>
            <w:r>
              <w:rPr>
                <w:b/>
                <w:bCs/>
              </w:rPr>
              <w:t>项目建设与</w:t>
            </w:r>
            <w:r>
              <w:rPr>
                <w:rFonts w:hint="eastAsia"/>
                <w:b/>
                <w:bCs/>
              </w:rPr>
              <w:t>方城县乡镇级集中式饮用水水源保护区</w:t>
            </w:r>
            <w:r>
              <w:rPr>
                <w:b/>
                <w:bCs/>
              </w:rPr>
              <w:t>规划的相符性</w:t>
            </w:r>
          </w:p>
          <w:p w14:paraId="5DDA71DB">
            <w:pPr>
              <w:adjustRightInd w:val="0"/>
              <w:snapToGrid w:val="0"/>
              <w:spacing w:line="360" w:lineRule="auto"/>
              <w:ind w:firstLine="480" w:firstLineChars="200"/>
              <w:rPr>
                <w:sz w:val="24"/>
              </w:rPr>
            </w:pPr>
            <w:r>
              <w:rPr>
                <w:sz w:val="24"/>
              </w:rPr>
              <w:t>2.</w:t>
            </w:r>
            <w:r>
              <w:rPr>
                <w:rFonts w:hint="eastAsia"/>
                <w:sz w:val="24"/>
                <w:lang w:val="en-US" w:eastAsia="zh-CN"/>
              </w:rPr>
              <w:t>2</w:t>
            </w:r>
            <w:r>
              <w:rPr>
                <w:sz w:val="24"/>
              </w:rPr>
              <w:t>.1</w:t>
            </w:r>
            <w:r>
              <w:rPr>
                <w:rFonts w:hint="eastAsia"/>
                <w:sz w:val="24"/>
              </w:rPr>
              <w:t>方城县乡镇级集中式饮用水水源保护区</w:t>
            </w:r>
            <w:r>
              <w:rPr>
                <w:sz w:val="24"/>
              </w:rPr>
              <w:t>规划内容</w:t>
            </w:r>
          </w:p>
          <w:p w14:paraId="455405BD">
            <w:pPr>
              <w:adjustRightInd w:val="0"/>
              <w:snapToGrid w:val="0"/>
              <w:spacing w:line="360" w:lineRule="auto"/>
              <w:ind w:firstLine="480" w:firstLineChars="200"/>
              <w:rPr>
                <w:rFonts w:hint="eastAsia"/>
                <w:sz w:val="24"/>
              </w:rPr>
            </w:pPr>
            <w:r>
              <w:rPr>
                <w:rFonts w:hint="eastAsia"/>
                <w:sz w:val="24"/>
              </w:rPr>
              <w:t>根据河南省人民政府《关于印发河南省乡镇集中式饮用水水源保护区划的通知》（豫政办〔2016〕23号），方城县乡镇级集中式饮用水源地及保护区划分情况如下：</w:t>
            </w:r>
          </w:p>
          <w:p w14:paraId="2A8BF06D">
            <w:pPr>
              <w:adjustRightInd w:val="0"/>
              <w:snapToGrid w:val="0"/>
              <w:spacing w:line="360" w:lineRule="auto"/>
              <w:ind w:firstLine="480" w:firstLineChars="200"/>
              <w:rPr>
                <w:rFonts w:hint="eastAsia" w:eastAsia="宋体"/>
                <w:sz w:val="24"/>
                <w:lang w:eastAsia="zh-CN"/>
              </w:rPr>
            </w:pPr>
            <w:r>
              <w:rPr>
                <w:rFonts w:hint="eastAsia"/>
                <w:sz w:val="24"/>
              </w:rPr>
              <w:t>方城县小史店镇河西水厂地下水井群</w:t>
            </w:r>
            <w:r>
              <w:rPr>
                <w:rFonts w:hint="eastAsia"/>
                <w:sz w:val="24"/>
                <w:lang w:eastAsia="zh-CN"/>
              </w:rPr>
              <w:t>（</w:t>
            </w:r>
            <w:r>
              <w:rPr>
                <w:rFonts w:hint="eastAsia"/>
                <w:sz w:val="24"/>
              </w:rPr>
              <w:t>共4眼井</w:t>
            </w:r>
            <w:r>
              <w:rPr>
                <w:rFonts w:hint="eastAsia"/>
                <w:sz w:val="24"/>
                <w:lang w:eastAsia="zh-CN"/>
              </w:rPr>
              <w:t>）</w:t>
            </w:r>
          </w:p>
          <w:p w14:paraId="6417764E">
            <w:pPr>
              <w:adjustRightInd w:val="0"/>
              <w:snapToGrid w:val="0"/>
              <w:spacing w:line="360" w:lineRule="auto"/>
              <w:ind w:firstLine="480" w:firstLineChars="200"/>
              <w:rPr>
                <w:rFonts w:hint="eastAsia"/>
                <w:sz w:val="24"/>
              </w:rPr>
            </w:pPr>
            <w:r>
              <w:rPr>
                <w:rFonts w:hint="eastAsia"/>
                <w:sz w:val="24"/>
              </w:rPr>
              <w:t>一级保护区范围</w:t>
            </w:r>
            <w:r>
              <w:rPr>
                <w:rFonts w:hint="eastAsia"/>
                <w:sz w:val="24"/>
                <w:lang w:eastAsia="zh-CN"/>
              </w:rPr>
              <w:t>：</w:t>
            </w:r>
            <w:r>
              <w:rPr>
                <w:rFonts w:hint="eastAsia"/>
                <w:sz w:val="24"/>
              </w:rPr>
              <w:t>1</w:t>
            </w:r>
            <w:r>
              <w:rPr>
                <w:rFonts w:hint="eastAsia"/>
                <w:sz w:val="24"/>
                <w:lang w:val="en-US" w:eastAsia="zh-CN"/>
              </w:rPr>
              <w:t>~</w:t>
            </w:r>
            <w:r>
              <w:rPr>
                <w:rFonts w:hint="eastAsia"/>
                <w:sz w:val="24"/>
              </w:rPr>
              <w:t>3号取水井外围50米的区域</w:t>
            </w:r>
            <w:r>
              <w:rPr>
                <w:rFonts w:hint="eastAsia"/>
                <w:sz w:val="24"/>
                <w:lang w:eastAsia="zh-CN"/>
              </w:rPr>
              <w:t>，</w:t>
            </w:r>
            <w:r>
              <w:rPr>
                <w:rFonts w:hint="eastAsia"/>
                <w:sz w:val="24"/>
              </w:rPr>
              <w:t>桂河4号取水井上游1000米至下游100米河堤内及两侧各50米的区域。</w:t>
            </w:r>
          </w:p>
          <w:p w14:paraId="3FB122CD">
            <w:pPr>
              <w:adjustRightInd w:val="0"/>
              <w:snapToGrid w:val="0"/>
              <w:spacing w:line="360" w:lineRule="auto"/>
              <w:ind w:firstLine="480" w:firstLineChars="200"/>
              <w:rPr>
                <w:rFonts w:hint="eastAsia"/>
                <w:sz w:val="24"/>
              </w:rPr>
            </w:pPr>
            <w:r>
              <w:rPr>
                <w:rFonts w:hint="eastAsia"/>
                <w:sz w:val="24"/>
              </w:rPr>
              <w:t>二级保护区范围：一级保护区外，桂河上游2000米至下游200米河堤内及左岸1000米、右岸1300米的区域。</w:t>
            </w:r>
          </w:p>
          <w:p w14:paraId="6D98DB2E">
            <w:pPr>
              <w:adjustRightInd w:val="0"/>
              <w:snapToGrid w:val="0"/>
              <w:spacing w:line="360" w:lineRule="auto"/>
              <w:ind w:firstLine="480" w:firstLineChars="200"/>
              <w:rPr>
                <w:rFonts w:hint="eastAsia"/>
                <w:sz w:val="24"/>
              </w:rPr>
            </w:pPr>
            <w:r>
              <w:rPr>
                <w:rFonts w:hint="eastAsia"/>
                <w:sz w:val="24"/>
              </w:rPr>
              <w:t>2019年12月，方城县人民政府新划定14个乡镇级集中式饮用水水源保护区，距离本次项目较近的饮用水源保护区分布如下：</w:t>
            </w:r>
          </w:p>
          <w:p w14:paraId="705F1680">
            <w:pPr>
              <w:adjustRightInd w:val="0"/>
              <w:snapToGrid w:val="0"/>
              <w:spacing w:line="360" w:lineRule="auto"/>
              <w:ind w:firstLine="480" w:firstLineChars="200"/>
              <w:rPr>
                <w:rFonts w:hint="eastAsia" w:eastAsia="宋体"/>
                <w:sz w:val="24"/>
                <w:lang w:eastAsia="zh-CN"/>
              </w:rPr>
            </w:pPr>
            <w:r>
              <w:rPr>
                <w:sz w:val="24"/>
              </w:rPr>
              <w:t>四里店镇自来水厂地下水井群</w:t>
            </w:r>
            <w:r>
              <w:rPr>
                <w:rFonts w:hint="eastAsia"/>
                <w:sz w:val="24"/>
                <w:lang w:eastAsia="zh-CN"/>
              </w:rPr>
              <w:t>（</w:t>
            </w:r>
            <w:r>
              <w:rPr>
                <w:rFonts w:hint="eastAsia"/>
                <w:sz w:val="24"/>
              </w:rPr>
              <w:t>共1眼井</w:t>
            </w:r>
            <w:r>
              <w:rPr>
                <w:rFonts w:hint="eastAsia"/>
                <w:sz w:val="24"/>
                <w:lang w:eastAsia="zh-CN"/>
              </w:rPr>
              <w:t>）</w:t>
            </w:r>
          </w:p>
          <w:p w14:paraId="2F50F0DB">
            <w:pPr>
              <w:adjustRightInd w:val="0"/>
              <w:snapToGrid w:val="0"/>
              <w:spacing w:line="360" w:lineRule="auto"/>
              <w:ind w:firstLine="480" w:firstLineChars="200"/>
              <w:rPr>
                <w:sz w:val="24"/>
              </w:rPr>
            </w:pPr>
            <w:r>
              <w:rPr>
                <w:rFonts w:hint="eastAsia"/>
                <w:sz w:val="24"/>
              </w:rPr>
              <w:t>一级保护区</w:t>
            </w:r>
            <w:r>
              <w:rPr>
                <w:rFonts w:hint="eastAsia"/>
                <w:sz w:val="24"/>
                <w:lang w:eastAsia="zh-CN"/>
              </w:rPr>
              <w:t>：</w:t>
            </w:r>
            <w:r>
              <w:rPr>
                <w:rFonts w:hint="eastAsia"/>
                <w:sz w:val="24"/>
              </w:rPr>
              <w:t>以水源井为中心，向外距离50米为半径的区域。</w:t>
            </w:r>
          </w:p>
          <w:p w14:paraId="58C5C04A">
            <w:pPr>
              <w:pStyle w:val="41"/>
              <w:adjustRightInd w:val="0"/>
              <w:snapToGrid w:val="0"/>
              <w:spacing w:before="0"/>
              <w:ind w:firstLine="480" w:firstLineChars="200"/>
            </w:pPr>
            <w:r>
              <w:t>2.</w:t>
            </w:r>
            <w:r>
              <w:rPr>
                <w:rFonts w:hint="eastAsia"/>
                <w:lang w:val="en-US" w:eastAsia="zh-CN"/>
              </w:rPr>
              <w:t>2</w:t>
            </w:r>
            <w:r>
              <w:t>.2项目建设与</w:t>
            </w:r>
            <w:r>
              <w:rPr>
                <w:rFonts w:hint="eastAsia"/>
              </w:rPr>
              <w:t>方城县乡镇级集中式饮用水水源保护区</w:t>
            </w:r>
            <w:r>
              <w:t>规划的相符性分析</w:t>
            </w:r>
          </w:p>
          <w:p w14:paraId="0B1099EE">
            <w:pPr>
              <w:pStyle w:val="41"/>
              <w:adjustRightInd w:val="0"/>
              <w:snapToGrid w:val="0"/>
              <w:spacing w:before="0"/>
              <w:ind w:firstLine="480" w:firstLineChars="200"/>
            </w:pPr>
            <w:r>
              <w:rPr>
                <w:rFonts w:hint="eastAsia"/>
              </w:rPr>
              <w:t>本次项目位于南阳市方城县四里店镇小店村何家庄，</w:t>
            </w:r>
            <w:r>
              <w:rPr>
                <w:rFonts w:hint="eastAsia"/>
                <w:highlight w:val="none"/>
              </w:rPr>
              <w:t>厂址距小史店镇河西水厂地下水井一级保护区边界30km以上，距</w:t>
            </w:r>
            <w:r>
              <w:rPr>
                <w:sz w:val="24"/>
                <w:highlight w:val="none"/>
              </w:rPr>
              <w:t>四里店镇自来水厂地下水井群</w:t>
            </w:r>
            <w:r>
              <w:rPr>
                <w:rFonts w:hint="eastAsia"/>
                <w:highlight w:val="none"/>
              </w:rPr>
              <w:t>一级保护区边界</w:t>
            </w:r>
            <w:r>
              <w:rPr>
                <w:rFonts w:hint="eastAsia"/>
                <w:highlight w:val="none"/>
                <w:lang w:val="en-US" w:eastAsia="zh-CN"/>
              </w:rPr>
              <w:t>2</w:t>
            </w:r>
            <w:r>
              <w:rPr>
                <w:rFonts w:hint="eastAsia"/>
                <w:highlight w:val="none"/>
              </w:rPr>
              <w:t>km以上，不在方城县乡镇级集中式饮用水水源保护区范围内。</w:t>
            </w:r>
          </w:p>
          <w:p w14:paraId="0EA3271B">
            <w:pPr>
              <w:pStyle w:val="41"/>
              <w:adjustRightInd w:val="0"/>
              <w:snapToGrid w:val="0"/>
              <w:spacing w:before="0"/>
              <w:ind w:firstLine="482" w:firstLineChars="200"/>
              <w:rPr>
                <w:rFonts w:hint="eastAsia"/>
                <w:b/>
                <w:bCs/>
                <w:highlight w:val="none"/>
              </w:rPr>
            </w:pPr>
            <w:r>
              <w:rPr>
                <w:rFonts w:hint="eastAsia"/>
                <w:b/>
                <w:bCs/>
                <w:highlight w:val="none"/>
                <w:lang w:val="en-US" w:eastAsia="zh-CN"/>
              </w:rPr>
              <w:t>2.3</w:t>
            </w:r>
            <w:r>
              <w:rPr>
                <w:rFonts w:hint="eastAsia"/>
                <w:b/>
                <w:bCs/>
                <w:highlight w:val="none"/>
              </w:rPr>
              <w:t xml:space="preserve"> </w:t>
            </w:r>
            <w:r>
              <w:rPr>
                <w:b/>
                <w:bCs/>
              </w:rPr>
              <w:t>项目建设与</w:t>
            </w:r>
            <w:r>
              <w:rPr>
                <w:rFonts w:hint="eastAsia"/>
                <w:b/>
                <w:bCs/>
                <w:highlight w:val="none"/>
              </w:rPr>
              <w:t>方城县贺大庄地下水井群饮用水水源地保护区</w:t>
            </w:r>
            <w:r>
              <w:rPr>
                <w:b/>
                <w:bCs/>
              </w:rPr>
              <w:t>规划的相符性</w:t>
            </w:r>
          </w:p>
          <w:p w14:paraId="52AC0128">
            <w:pPr>
              <w:adjustRightInd w:val="0"/>
              <w:snapToGrid w:val="0"/>
              <w:spacing w:line="360" w:lineRule="auto"/>
              <w:ind w:firstLine="480" w:firstLineChars="200"/>
              <w:rPr>
                <w:rFonts w:hint="eastAsia"/>
                <w:highlight w:val="none"/>
              </w:rPr>
            </w:pPr>
            <w:r>
              <w:rPr>
                <w:sz w:val="24"/>
              </w:rPr>
              <w:t>2.</w:t>
            </w:r>
            <w:r>
              <w:rPr>
                <w:rFonts w:hint="eastAsia"/>
                <w:sz w:val="24"/>
                <w:lang w:val="en-US" w:eastAsia="zh-CN"/>
              </w:rPr>
              <w:t>3</w:t>
            </w:r>
            <w:r>
              <w:rPr>
                <w:sz w:val="24"/>
              </w:rPr>
              <w:t>.1</w:t>
            </w:r>
            <w:r>
              <w:rPr>
                <w:rFonts w:hint="eastAsia"/>
                <w:sz w:val="24"/>
              </w:rPr>
              <w:t>方城县贺大庄地下水井群饮用水水源地保护区</w:t>
            </w:r>
            <w:r>
              <w:rPr>
                <w:sz w:val="24"/>
              </w:rPr>
              <w:t>规划内容</w:t>
            </w:r>
          </w:p>
          <w:p w14:paraId="7ABE9EFD">
            <w:pPr>
              <w:pStyle w:val="41"/>
              <w:adjustRightInd w:val="0"/>
              <w:snapToGrid w:val="0"/>
              <w:spacing w:before="0"/>
              <w:ind w:firstLine="480" w:firstLineChars="200"/>
              <w:rPr>
                <w:rFonts w:hint="eastAsia"/>
                <w:highlight w:val="none"/>
              </w:rPr>
            </w:pPr>
            <w:r>
              <w:rPr>
                <w:rFonts w:hint="eastAsia"/>
                <w:highlight w:val="none"/>
              </w:rPr>
              <w:t>方城县贺大庄地下水井群饮用水水源地类型按含水介质类型属裂隙岩溶水，按埋藏条件属承压水类。方城县贺大庄地下水井群饮用水水源地一级保护区面积0.008km</w:t>
            </w:r>
            <w:r>
              <w:rPr>
                <w:rFonts w:hint="eastAsia"/>
                <w:highlight w:val="none"/>
                <w:vertAlign w:val="superscript"/>
              </w:rPr>
              <w:t>2</w:t>
            </w:r>
            <w:r>
              <w:rPr>
                <w:rFonts w:hint="eastAsia"/>
                <w:highlight w:val="none"/>
              </w:rPr>
              <w:t>。</w:t>
            </w:r>
          </w:p>
          <w:p w14:paraId="00F464A3">
            <w:pPr>
              <w:pStyle w:val="41"/>
              <w:adjustRightInd w:val="0"/>
              <w:snapToGrid w:val="0"/>
              <w:spacing w:before="0"/>
              <w:ind w:firstLine="480" w:firstLineChars="200"/>
              <w:rPr>
                <w:rFonts w:hint="eastAsia"/>
                <w:highlight w:val="none"/>
              </w:rPr>
            </w:pPr>
            <w:r>
              <w:rPr>
                <w:rFonts w:hint="eastAsia"/>
                <w:highlight w:val="none"/>
              </w:rPr>
              <w:t>一级保护区划分：以地下水取水井为中心</w:t>
            </w:r>
            <w:r>
              <w:rPr>
                <w:rFonts w:hint="eastAsia"/>
                <w:highlight w:val="none"/>
                <w:lang w:val="en-US" w:eastAsia="zh-CN"/>
              </w:rPr>
              <w:t>，</w:t>
            </w:r>
            <w:r>
              <w:rPr>
                <w:rFonts w:hint="eastAsia"/>
                <w:highlight w:val="none"/>
              </w:rPr>
              <w:t>100m为半径所圈定的范围为一级保护区。</w:t>
            </w:r>
          </w:p>
          <w:p w14:paraId="0C9E3E69">
            <w:pPr>
              <w:pStyle w:val="41"/>
              <w:adjustRightInd w:val="0"/>
              <w:snapToGrid w:val="0"/>
              <w:spacing w:before="0"/>
              <w:ind w:firstLine="480" w:firstLineChars="200"/>
              <w:rPr>
                <w:rFonts w:hint="eastAsia"/>
                <w:highlight w:val="none"/>
              </w:rPr>
            </w:pPr>
            <w:r>
              <w:rPr>
                <w:rFonts w:hint="eastAsia"/>
                <w:highlight w:val="none"/>
              </w:rPr>
              <w:t>二级保护区划分：不设二级保护区经比对，本次项目厂址距方城县贺大庄地下水井群饮用水水源地保护区南边界最近直线距离在10km以上，不在县城饮用水源保护区范围内。</w:t>
            </w:r>
          </w:p>
          <w:p w14:paraId="6CF86245">
            <w:pPr>
              <w:pStyle w:val="41"/>
              <w:adjustRightInd w:val="0"/>
              <w:snapToGrid w:val="0"/>
              <w:spacing w:before="0"/>
              <w:ind w:firstLine="480" w:firstLineChars="200"/>
              <w:rPr>
                <w:highlight w:val="yellow"/>
              </w:rPr>
            </w:pPr>
            <w:r>
              <w:rPr>
                <w:highlight w:val="none"/>
              </w:rPr>
              <w:t>2.</w:t>
            </w:r>
            <w:r>
              <w:rPr>
                <w:rFonts w:hint="eastAsia"/>
                <w:highlight w:val="none"/>
                <w:lang w:val="en-US" w:eastAsia="zh-CN"/>
              </w:rPr>
              <w:t>2</w:t>
            </w:r>
            <w:r>
              <w:rPr>
                <w:highlight w:val="none"/>
              </w:rPr>
              <w:t>.2项目建设与</w:t>
            </w:r>
            <w:r>
              <w:rPr>
                <w:rFonts w:hint="eastAsia"/>
                <w:sz w:val="24"/>
                <w:highlight w:val="none"/>
              </w:rPr>
              <w:t>方城县贺大庄地下水井群饮用水水源地保护区</w:t>
            </w:r>
            <w:r>
              <w:rPr>
                <w:highlight w:val="none"/>
              </w:rPr>
              <w:t>规划的相符性分析</w:t>
            </w:r>
          </w:p>
          <w:p w14:paraId="19E8D980">
            <w:pPr>
              <w:pStyle w:val="41"/>
              <w:adjustRightInd w:val="0"/>
              <w:snapToGrid w:val="0"/>
              <w:spacing w:before="0"/>
              <w:ind w:firstLine="480" w:firstLineChars="200"/>
              <w:rPr>
                <w:highlight w:val="yellow"/>
              </w:rPr>
            </w:pPr>
            <w:r>
              <w:rPr>
                <w:rFonts w:hint="default"/>
                <w:highlight w:val="none"/>
                <w:lang w:val="en-US" w:eastAsia="zh-CN"/>
              </w:rPr>
              <w:t>本项目位于南阳市方城县四里店镇小店村何家庄，厂址南距方城县贺大庄地下水井群饮用水水源地保护区边界约</w:t>
            </w:r>
            <w:r>
              <w:rPr>
                <w:rFonts w:hint="eastAsia"/>
                <w:highlight w:val="none"/>
                <w:lang w:val="en-US" w:eastAsia="zh-CN"/>
              </w:rPr>
              <w:t>9.4</w:t>
            </w:r>
            <w:r>
              <w:rPr>
                <w:rFonts w:hint="default"/>
                <w:highlight w:val="none"/>
                <w:lang w:val="en-US" w:eastAsia="zh-CN"/>
              </w:rPr>
              <w:t>km，不在方城县贺大庄地下水井群饮用水水源地保护区范围内，也不在该水源地地下水径流补给区。</w:t>
            </w:r>
          </w:p>
          <w:p w14:paraId="70336FE0">
            <w:pPr>
              <w:adjustRightInd w:val="0"/>
              <w:snapToGrid w:val="0"/>
              <w:spacing w:line="360" w:lineRule="auto"/>
              <w:ind w:firstLine="482" w:firstLineChars="200"/>
              <w:textAlignment w:val="baseline"/>
              <w:rPr>
                <w:b/>
                <w:bCs/>
                <w:sz w:val="24"/>
              </w:rPr>
            </w:pPr>
            <w:r>
              <w:rPr>
                <w:b/>
                <w:bCs/>
                <w:sz w:val="24"/>
              </w:rPr>
              <w:t>2.4项目建设与</w:t>
            </w:r>
            <w:r>
              <w:rPr>
                <w:rFonts w:hint="eastAsia"/>
                <w:b/>
                <w:bCs/>
                <w:sz w:val="24"/>
              </w:rPr>
              <w:t>南水北调中线工程总干渠水源保护区</w:t>
            </w:r>
            <w:r>
              <w:rPr>
                <w:b/>
                <w:bCs/>
                <w:sz w:val="24"/>
              </w:rPr>
              <w:t>的相符性</w:t>
            </w:r>
          </w:p>
          <w:p w14:paraId="0D55E07A">
            <w:pPr>
              <w:adjustRightInd w:val="0"/>
              <w:snapToGrid w:val="0"/>
              <w:spacing w:line="360" w:lineRule="auto"/>
              <w:ind w:firstLine="480" w:firstLineChars="200"/>
              <w:rPr>
                <w:rFonts w:hint="eastAsia"/>
                <w:sz w:val="24"/>
              </w:rPr>
            </w:pPr>
            <w:r>
              <w:rPr>
                <w:rFonts w:hint="eastAsia"/>
                <w:sz w:val="24"/>
              </w:rPr>
              <w:t>根据《河南省南水北调中线工程建设领导小组办公室、河南省环境保护厅、河南省水利厅、河南省国土资源厅关于印发南水北调中线一期工程总干渠（河南段）两侧饮用水源保护区划的通知》（豫调办[2018]56号），文件内容如下：</w:t>
            </w:r>
          </w:p>
          <w:p w14:paraId="225918F6">
            <w:pPr>
              <w:adjustRightInd w:val="0"/>
              <w:snapToGrid w:val="0"/>
              <w:spacing w:line="360" w:lineRule="auto"/>
              <w:ind w:firstLine="480" w:firstLineChars="200"/>
              <w:rPr>
                <w:rFonts w:hint="eastAsia"/>
                <w:sz w:val="24"/>
              </w:rPr>
            </w:pPr>
            <w:r>
              <w:rPr>
                <w:rFonts w:hint="eastAsia"/>
                <w:sz w:val="24"/>
              </w:rPr>
              <w:t>（一）保护区涉及行政区范围：</w:t>
            </w:r>
          </w:p>
          <w:p w14:paraId="7758FE23">
            <w:pPr>
              <w:adjustRightInd w:val="0"/>
              <w:snapToGrid w:val="0"/>
              <w:spacing w:line="360" w:lineRule="auto"/>
              <w:ind w:firstLine="480" w:firstLineChars="200"/>
              <w:rPr>
                <w:rFonts w:hint="eastAsia"/>
                <w:sz w:val="24"/>
              </w:rPr>
            </w:pPr>
            <w:r>
              <w:rPr>
                <w:rFonts w:hint="eastAsia"/>
                <w:sz w:val="24"/>
              </w:rPr>
              <w:t>南水北调中线一期工程总干渠（河南段）两侧饮用水源保护区涉及南阳市、平顶山市、许昌市、郑州市、焦作市、新乡市、鹤壁市、安阳市8 个省辖市和邓州市。</w:t>
            </w:r>
          </w:p>
          <w:p w14:paraId="7561CD10">
            <w:pPr>
              <w:adjustRightInd w:val="0"/>
              <w:snapToGrid w:val="0"/>
              <w:spacing w:line="360" w:lineRule="auto"/>
              <w:ind w:firstLine="480" w:firstLineChars="200"/>
              <w:rPr>
                <w:rFonts w:hint="eastAsia"/>
                <w:sz w:val="24"/>
              </w:rPr>
            </w:pPr>
            <w:r>
              <w:rPr>
                <w:rFonts w:hint="eastAsia"/>
                <w:sz w:val="24"/>
              </w:rPr>
              <w:t>（二）总干渠两侧饮用水水源保护区划范围</w:t>
            </w:r>
          </w:p>
          <w:p w14:paraId="09B1817B">
            <w:pPr>
              <w:adjustRightInd w:val="0"/>
              <w:snapToGrid w:val="0"/>
              <w:spacing w:line="360" w:lineRule="auto"/>
              <w:ind w:firstLine="480" w:firstLineChars="200"/>
              <w:rPr>
                <w:rFonts w:hint="eastAsia"/>
                <w:sz w:val="24"/>
              </w:rPr>
            </w:pPr>
            <w:r>
              <w:rPr>
                <w:rFonts w:hint="eastAsia"/>
                <w:sz w:val="24"/>
              </w:rPr>
              <w:t>南水北调中线一期工程总干渠在河南省境内的工程类型分为建筑物段和总干渠明渠段。</w:t>
            </w:r>
          </w:p>
          <w:p w14:paraId="008E650B">
            <w:pPr>
              <w:adjustRightInd w:val="0"/>
              <w:snapToGrid w:val="0"/>
              <w:spacing w:line="360" w:lineRule="auto"/>
              <w:ind w:firstLine="480" w:firstLineChars="200"/>
              <w:rPr>
                <w:rFonts w:hint="eastAsia"/>
                <w:sz w:val="24"/>
              </w:rPr>
            </w:pPr>
            <w:r>
              <w:rPr>
                <w:rFonts w:hint="eastAsia"/>
                <w:sz w:val="24"/>
              </w:rPr>
              <w:t>（1）建筑物段（渡槽、倒虹吸、暗涵、隧洞）一级保护区范围：自总干渠管理范围边线（防护栏网）外延50米，不设二级保护区。</w:t>
            </w:r>
          </w:p>
          <w:p w14:paraId="24509C4A">
            <w:pPr>
              <w:adjustRightInd w:val="0"/>
              <w:snapToGrid w:val="0"/>
              <w:spacing w:line="360" w:lineRule="auto"/>
              <w:ind w:firstLine="480" w:firstLineChars="200"/>
              <w:rPr>
                <w:rFonts w:hint="eastAsia"/>
                <w:sz w:val="24"/>
              </w:rPr>
            </w:pPr>
            <w:r>
              <w:rPr>
                <w:rFonts w:hint="eastAsia"/>
                <w:sz w:val="24"/>
              </w:rPr>
              <w:t>（2）总干渠明渠段：根据地下水水位与总干渠渠底高程的关系，分为以下几种类型：</w:t>
            </w:r>
          </w:p>
          <w:p w14:paraId="5509F0BC">
            <w:pPr>
              <w:adjustRightInd w:val="0"/>
              <w:snapToGrid w:val="0"/>
              <w:spacing w:line="360" w:lineRule="auto"/>
              <w:ind w:firstLine="480" w:firstLineChars="200"/>
              <w:rPr>
                <w:rFonts w:hint="eastAsia"/>
                <w:sz w:val="24"/>
              </w:rPr>
            </w:pPr>
            <w:r>
              <w:rPr>
                <w:rFonts w:hint="eastAsia"/>
                <w:sz w:val="24"/>
              </w:rPr>
              <w:t>①地下水水位低于总干渠渠底的渠段</w:t>
            </w:r>
          </w:p>
          <w:p w14:paraId="701B1B04">
            <w:pPr>
              <w:adjustRightInd w:val="0"/>
              <w:snapToGrid w:val="0"/>
              <w:spacing w:line="360" w:lineRule="auto"/>
              <w:ind w:firstLine="480" w:firstLineChars="200"/>
              <w:rPr>
                <w:rFonts w:hint="eastAsia"/>
                <w:sz w:val="24"/>
              </w:rPr>
            </w:pPr>
            <w:r>
              <w:rPr>
                <w:rFonts w:hint="eastAsia"/>
                <w:sz w:val="24"/>
              </w:rPr>
              <w:t>一级保护区范围自总干渠管理范围边线（防护栏网）外延50米；</w:t>
            </w:r>
          </w:p>
          <w:p w14:paraId="63B7E665">
            <w:pPr>
              <w:adjustRightInd w:val="0"/>
              <w:snapToGrid w:val="0"/>
              <w:spacing w:line="360" w:lineRule="auto"/>
              <w:ind w:firstLine="480" w:firstLineChars="200"/>
              <w:rPr>
                <w:rFonts w:hint="eastAsia"/>
                <w:sz w:val="24"/>
              </w:rPr>
            </w:pPr>
            <w:r>
              <w:rPr>
                <w:rFonts w:hint="eastAsia"/>
                <w:sz w:val="24"/>
              </w:rPr>
              <w:t>二级保护区范围自一级保护区边线外延150米。</w:t>
            </w:r>
          </w:p>
          <w:p w14:paraId="0380979F">
            <w:pPr>
              <w:adjustRightInd w:val="0"/>
              <w:snapToGrid w:val="0"/>
              <w:spacing w:line="360" w:lineRule="auto"/>
              <w:ind w:firstLine="480" w:firstLineChars="200"/>
              <w:rPr>
                <w:rFonts w:hint="eastAsia"/>
                <w:sz w:val="24"/>
              </w:rPr>
            </w:pPr>
            <w:r>
              <w:rPr>
                <w:rFonts w:hint="eastAsia"/>
                <w:sz w:val="24"/>
              </w:rPr>
              <w:t>②地下水水位高于总干渠渠底的渠段</w:t>
            </w:r>
          </w:p>
          <w:p w14:paraId="17B74407">
            <w:pPr>
              <w:adjustRightInd w:val="0"/>
              <w:snapToGrid w:val="0"/>
              <w:spacing w:line="360" w:lineRule="auto"/>
              <w:ind w:firstLine="480" w:firstLineChars="200"/>
              <w:rPr>
                <w:rFonts w:hint="eastAsia"/>
                <w:sz w:val="24"/>
              </w:rPr>
            </w:pPr>
            <w:r>
              <w:rPr>
                <w:rFonts w:hint="eastAsia"/>
                <w:sz w:val="24"/>
              </w:rPr>
              <w:t>微~弱透水性地层</w:t>
            </w:r>
          </w:p>
          <w:p w14:paraId="2D724C55">
            <w:pPr>
              <w:adjustRightInd w:val="0"/>
              <w:snapToGrid w:val="0"/>
              <w:spacing w:line="360" w:lineRule="auto"/>
              <w:ind w:firstLine="480" w:firstLineChars="200"/>
              <w:rPr>
                <w:rFonts w:hint="eastAsia"/>
                <w:sz w:val="24"/>
              </w:rPr>
            </w:pPr>
            <w:r>
              <w:rPr>
                <w:rFonts w:hint="eastAsia"/>
                <w:sz w:val="24"/>
              </w:rPr>
              <w:t>一级保护区范围自总干渠管理范围边线（防护栏网）外延50米；</w:t>
            </w:r>
          </w:p>
          <w:p w14:paraId="0E5E6CE9">
            <w:pPr>
              <w:adjustRightInd w:val="0"/>
              <w:snapToGrid w:val="0"/>
              <w:spacing w:line="360" w:lineRule="auto"/>
              <w:ind w:firstLine="480" w:firstLineChars="200"/>
              <w:rPr>
                <w:rFonts w:hint="eastAsia"/>
                <w:sz w:val="24"/>
              </w:rPr>
            </w:pPr>
            <w:r>
              <w:rPr>
                <w:rFonts w:hint="eastAsia"/>
                <w:sz w:val="24"/>
              </w:rPr>
              <w:t>二级保护区范围自一级保护区边线外延500米。</w:t>
            </w:r>
          </w:p>
          <w:p w14:paraId="5E158E33">
            <w:pPr>
              <w:adjustRightInd w:val="0"/>
              <w:snapToGrid w:val="0"/>
              <w:spacing w:line="360" w:lineRule="auto"/>
              <w:ind w:firstLine="480" w:firstLineChars="200"/>
              <w:rPr>
                <w:rFonts w:hint="eastAsia"/>
                <w:sz w:val="24"/>
              </w:rPr>
            </w:pPr>
            <w:r>
              <w:rPr>
                <w:rFonts w:hint="eastAsia"/>
                <w:sz w:val="24"/>
              </w:rPr>
              <w:t>弱~中等透水性地层</w:t>
            </w:r>
          </w:p>
          <w:p w14:paraId="0ED64963">
            <w:pPr>
              <w:adjustRightInd w:val="0"/>
              <w:snapToGrid w:val="0"/>
              <w:spacing w:line="360" w:lineRule="auto"/>
              <w:ind w:firstLine="480" w:firstLineChars="200"/>
              <w:rPr>
                <w:rFonts w:hint="eastAsia"/>
                <w:sz w:val="24"/>
              </w:rPr>
            </w:pPr>
            <w:r>
              <w:rPr>
                <w:rFonts w:hint="eastAsia"/>
                <w:sz w:val="24"/>
              </w:rPr>
              <w:t>一级保护区范围自总干渠管理范围边线（防护栏网）外延100米；</w:t>
            </w:r>
          </w:p>
          <w:p w14:paraId="09E410C9">
            <w:pPr>
              <w:adjustRightInd w:val="0"/>
              <w:snapToGrid w:val="0"/>
              <w:spacing w:line="360" w:lineRule="auto"/>
              <w:ind w:firstLine="480" w:firstLineChars="200"/>
              <w:rPr>
                <w:rFonts w:hint="eastAsia"/>
                <w:sz w:val="24"/>
              </w:rPr>
            </w:pPr>
            <w:r>
              <w:rPr>
                <w:rFonts w:hint="eastAsia"/>
                <w:sz w:val="24"/>
              </w:rPr>
              <w:t>二级保护区范围自一级保护区边线外延1000米。</w:t>
            </w:r>
          </w:p>
          <w:p w14:paraId="219D6968">
            <w:pPr>
              <w:adjustRightInd w:val="0"/>
              <w:snapToGrid w:val="0"/>
              <w:spacing w:line="360" w:lineRule="auto"/>
              <w:ind w:firstLine="480" w:firstLineChars="200"/>
              <w:rPr>
                <w:rFonts w:hint="eastAsia"/>
                <w:sz w:val="24"/>
              </w:rPr>
            </w:pPr>
            <w:r>
              <w:rPr>
                <w:rFonts w:hint="eastAsia"/>
                <w:sz w:val="24"/>
              </w:rPr>
              <w:t>强透水性地层</w:t>
            </w:r>
          </w:p>
          <w:p w14:paraId="05DEA332">
            <w:pPr>
              <w:adjustRightInd w:val="0"/>
              <w:snapToGrid w:val="0"/>
              <w:spacing w:line="360" w:lineRule="auto"/>
              <w:ind w:firstLine="480" w:firstLineChars="200"/>
              <w:rPr>
                <w:rFonts w:hint="eastAsia"/>
                <w:sz w:val="24"/>
              </w:rPr>
            </w:pPr>
            <w:r>
              <w:rPr>
                <w:rFonts w:hint="eastAsia"/>
                <w:sz w:val="24"/>
              </w:rPr>
              <w:t>一级保护区范围自总干渠管理范围边线（防护栏网）外延200米；</w:t>
            </w:r>
          </w:p>
          <w:p w14:paraId="371862F1">
            <w:pPr>
              <w:adjustRightInd w:val="0"/>
              <w:snapToGrid w:val="0"/>
              <w:spacing w:line="360" w:lineRule="auto"/>
              <w:ind w:firstLine="480" w:firstLineChars="200"/>
              <w:rPr>
                <w:sz w:val="24"/>
              </w:rPr>
            </w:pPr>
            <w:r>
              <w:rPr>
                <w:rFonts w:hint="eastAsia"/>
                <w:sz w:val="24"/>
              </w:rPr>
              <w:t>二级保护区范围自一级保护区边线外延2000米、1500米。</w:t>
            </w:r>
          </w:p>
          <w:p w14:paraId="2EF25D06">
            <w:pPr>
              <w:adjustRightInd w:val="0"/>
              <w:snapToGrid w:val="0"/>
              <w:spacing w:line="360" w:lineRule="auto"/>
              <w:ind w:firstLine="480" w:firstLineChars="200"/>
              <w:rPr>
                <w:sz w:val="24"/>
              </w:rPr>
            </w:pPr>
            <w:r>
              <w:rPr>
                <w:sz w:val="24"/>
              </w:rPr>
              <w:t>（三）监督与管理</w:t>
            </w:r>
          </w:p>
          <w:p w14:paraId="67DB6F8E">
            <w:pPr>
              <w:adjustRightInd w:val="0"/>
              <w:snapToGrid w:val="0"/>
              <w:spacing w:line="360" w:lineRule="auto"/>
              <w:ind w:firstLine="480" w:firstLineChars="200"/>
              <w:rPr>
                <w:sz w:val="24"/>
              </w:rPr>
            </w:pPr>
            <w:r>
              <w:rPr>
                <w:sz w:val="24"/>
              </w:rPr>
              <w:t>南水北调中线一期工程总干渠（河南段）两侧饮用水水源保护区所在地各级政府要按照有关法律法规加强饮用水水源环境监督管理工作。</w:t>
            </w:r>
          </w:p>
          <w:p w14:paraId="145CC176">
            <w:pPr>
              <w:adjustRightInd w:val="0"/>
              <w:snapToGrid w:val="0"/>
              <w:spacing w:line="360" w:lineRule="auto"/>
              <w:ind w:firstLine="480" w:firstLineChars="200"/>
              <w:rPr>
                <w:sz w:val="24"/>
              </w:rPr>
            </w:pPr>
            <w:r>
              <w:rPr>
                <w:sz w:val="24"/>
              </w:rPr>
              <w:t>①在饮用水水源保护区内，禁止设置排污口；禁止使用剧毒和高残留农药，不得滥用化肥；禁止利用渗坑、渗井、裂隙等排放污水和其他有害废弃物；禁止利用储水层孔隙、裂隙及废弃矿坑储存石油、放射性物质、有毒化学品、农药等。</w:t>
            </w:r>
          </w:p>
          <w:p w14:paraId="3DCE9A78">
            <w:pPr>
              <w:adjustRightInd w:val="0"/>
              <w:snapToGrid w:val="0"/>
              <w:spacing w:line="360" w:lineRule="auto"/>
              <w:ind w:firstLine="480" w:firstLineChars="200"/>
              <w:rPr>
                <w:sz w:val="24"/>
              </w:rPr>
            </w:pPr>
            <w:r>
              <w:rPr>
                <w:sz w:val="24"/>
              </w:rPr>
              <w:t>②在一级保护区内，禁止新建、改建、扩建与供水设施和保护水源无关的建设项目。</w:t>
            </w:r>
          </w:p>
          <w:p w14:paraId="426C4591">
            <w:pPr>
              <w:adjustRightInd w:val="0"/>
              <w:snapToGrid w:val="0"/>
              <w:spacing w:line="360" w:lineRule="auto"/>
              <w:ind w:firstLine="480" w:firstLineChars="200"/>
              <w:rPr>
                <w:sz w:val="24"/>
              </w:rPr>
            </w:pPr>
            <w:r>
              <w:rPr>
                <w:sz w:val="24"/>
              </w:rPr>
              <w:t>③在二级保护区内，禁止新建、改建、扩建排放污染物的建设项目。</w:t>
            </w:r>
          </w:p>
          <w:p w14:paraId="23868F71">
            <w:pPr>
              <w:tabs>
                <w:tab w:val="left" w:pos="1081"/>
              </w:tabs>
              <w:adjustRightInd w:val="0"/>
              <w:snapToGrid w:val="0"/>
              <w:spacing w:line="360" w:lineRule="auto"/>
              <w:ind w:firstLine="480" w:firstLineChars="200"/>
              <w:rPr>
                <w:bCs/>
                <w:kern w:val="0"/>
                <w:sz w:val="24"/>
              </w:rPr>
            </w:pPr>
            <w:r>
              <w:rPr>
                <w:bCs/>
                <w:kern w:val="0"/>
                <w:sz w:val="24"/>
              </w:rPr>
              <w:t>2.4.1项目建设与</w:t>
            </w:r>
            <w:r>
              <w:rPr>
                <w:rFonts w:hint="eastAsia"/>
                <w:bCs/>
                <w:kern w:val="0"/>
                <w:sz w:val="24"/>
              </w:rPr>
              <w:t>南水北调中线工程总干渠水源保护区</w:t>
            </w:r>
            <w:r>
              <w:rPr>
                <w:bCs/>
                <w:kern w:val="0"/>
                <w:sz w:val="24"/>
              </w:rPr>
              <w:t>规划的相符性分析</w:t>
            </w:r>
          </w:p>
          <w:p w14:paraId="4A1AA30C">
            <w:pPr>
              <w:tabs>
                <w:tab w:val="left" w:pos="1081"/>
              </w:tabs>
              <w:adjustRightInd w:val="0"/>
              <w:snapToGrid w:val="0"/>
              <w:spacing w:line="360" w:lineRule="auto"/>
              <w:ind w:firstLine="480" w:firstLineChars="200"/>
              <w:rPr>
                <w:sz w:val="24"/>
                <w:szCs w:val="24"/>
                <w:highlight w:val="yellow"/>
              </w:rPr>
            </w:pPr>
            <w:r>
              <w:rPr>
                <w:sz w:val="24"/>
              </w:rPr>
              <w:t>本</w:t>
            </w:r>
            <w:r>
              <w:rPr>
                <w:color w:val="000000" w:themeColor="text1"/>
                <w:sz w:val="24"/>
                <w14:textFill>
                  <w14:solidFill>
                    <w14:schemeClr w14:val="tx1"/>
                  </w14:solidFill>
                </w14:textFill>
              </w:rPr>
              <w:t>项目位于</w:t>
            </w:r>
            <w:r>
              <w:rPr>
                <w:rFonts w:hint="eastAsia"/>
                <w:color w:val="000000" w:themeColor="text1"/>
                <w:sz w:val="24"/>
                <w14:textFill>
                  <w14:solidFill>
                    <w14:schemeClr w14:val="tx1"/>
                  </w14:solidFill>
                </w14:textFill>
              </w:rPr>
              <w:t>南阳市方城县四里店镇小店村何家庄</w:t>
            </w:r>
            <w:r>
              <w:rPr>
                <w:color w:val="000000" w:themeColor="text1"/>
                <w:sz w:val="24"/>
                <w14:textFill>
                  <w14:solidFill>
                    <w14:schemeClr w14:val="tx1"/>
                  </w14:solidFill>
                </w14:textFill>
              </w:rPr>
              <w:t>，距离干渠最近桩号为TS</w:t>
            </w:r>
            <w:r>
              <w:rPr>
                <w:rFonts w:hint="eastAsia"/>
                <w:color w:val="000000" w:themeColor="text1"/>
                <w:sz w:val="24"/>
                <w:lang w:val="en-US" w:eastAsia="zh-CN"/>
                <w14:textFill>
                  <w14:solidFill>
                    <w14:schemeClr w14:val="tx1"/>
                  </w14:solidFill>
                </w14:textFill>
              </w:rPr>
              <w:t>157</w:t>
            </w:r>
            <w:r>
              <w:rPr>
                <w:color w:val="000000" w:themeColor="text1"/>
                <w:sz w:val="24"/>
                <w14:textFill>
                  <w14:solidFill>
                    <w14:schemeClr w14:val="tx1"/>
                  </w14:solidFill>
                </w14:textFill>
              </w:rPr>
              <w:t>+000，该段干渠保护区范围为一级保护区宽度100m，二级保护区宽度1000m，项目距离总干渠管理范围边线（防护栏网）的距离约</w:t>
            </w:r>
            <w:r>
              <w:rPr>
                <w:rFonts w:hint="eastAsia"/>
                <w:color w:val="000000" w:themeColor="text1"/>
                <w:sz w:val="24"/>
                <w:lang w:val="en-US" w:eastAsia="zh-CN"/>
                <w14:textFill>
                  <w14:solidFill>
                    <w14:schemeClr w14:val="tx1"/>
                  </w14:solidFill>
                </w14:textFill>
              </w:rPr>
              <w:t>25.59</w:t>
            </w:r>
            <w:r>
              <w:rPr>
                <w:color w:val="000000" w:themeColor="text1"/>
                <w:sz w:val="24"/>
                <w14:textFill>
                  <w14:solidFill>
                    <w14:schemeClr w14:val="tx1"/>
                  </w14:solidFill>
                </w14:textFill>
              </w:rPr>
              <w:t>km，距离南水北调二级保护区边界为</w:t>
            </w:r>
            <w:r>
              <w:rPr>
                <w:rFonts w:hint="eastAsia"/>
                <w:color w:val="000000" w:themeColor="text1"/>
                <w:sz w:val="24"/>
                <w:lang w:val="en-US" w:eastAsia="zh-CN"/>
                <w14:textFill>
                  <w14:solidFill>
                    <w14:schemeClr w14:val="tx1"/>
                  </w14:solidFill>
                </w14:textFill>
              </w:rPr>
              <w:t>24.59k</w:t>
            </w:r>
            <w:r>
              <w:rPr>
                <w:color w:val="000000" w:themeColor="text1"/>
                <w:sz w:val="24"/>
                <w14:textFill>
                  <w14:solidFill>
                    <w14:schemeClr w14:val="tx1"/>
                  </w14:solidFill>
                </w14:textFill>
              </w:rPr>
              <w:t>m。经对照南水北调中线工程总干渠两侧水源保护区规划图</w:t>
            </w:r>
            <w:r>
              <w:rPr>
                <w:sz w:val="24"/>
              </w:rPr>
              <w:t>，项目选址不在其两侧水源保护区范围内，</w:t>
            </w:r>
            <w:r>
              <w:rPr>
                <w:sz w:val="24"/>
                <w:szCs w:val="24"/>
                <w:highlight w:val="none"/>
              </w:rPr>
              <w:t>且</w:t>
            </w:r>
            <w:r>
              <w:rPr>
                <w:rFonts w:hint="eastAsia"/>
                <w:sz w:val="24"/>
                <w:szCs w:val="24"/>
                <w:highlight w:val="none"/>
                <w:lang w:val="en-US" w:eastAsia="zh-CN"/>
              </w:rPr>
              <w:t>本项目</w:t>
            </w:r>
            <w:r>
              <w:rPr>
                <w:rFonts w:hint="default" w:ascii="Times New Roman" w:hAnsi="Times New Roman" w:eastAsia="宋体" w:cs="Times New Roman"/>
                <w:color w:val="auto"/>
                <w:sz w:val="24"/>
                <w:szCs w:val="24"/>
                <w:highlight w:val="none"/>
                <w:u w:val="none" w:color="auto"/>
              </w:rPr>
              <w:t>生活污水经经化粪池（容积</w:t>
            </w:r>
            <w:r>
              <w:rPr>
                <w:rFonts w:hint="eastAsia" w:cs="Times New Roman"/>
                <w:color w:val="auto"/>
                <w:sz w:val="24"/>
                <w:szCs w:val="24"/>
                <w:highlight w:val="none"/>
                <w:u w:val="none" w:color="auto"/>
                <w:lang w:val="en-US" w:eastAsia="zh-CN"/>
              </w:rPr>
              <w:t>10</w:t>
            </w:r>
            <w:r>
              <w:rPr>
                <w:rFonts w:hint="default" w:ascii="Times New Roman" w:hAnsi="Times New Roman" w:eastAsia="宋体" w:cs="Times New Roman"/>
                <w:color w:val="auto"/>
                <w:sz w:val="24"/>
                <w:szCs w:val="24"/>
                <w:highlight w:val="none"/>
                <w:u w:val="none" w:color="auto"/>
              </w:rPr>
              <w:t>m</w:t>
            </w:r>
            <w:r>
              <w:rPr>
                <w:rFonts w:hint="default" w:ascii="Times New Roman" w:hAnsi="Times New Roman" w:eastAsia="宋体" w:cs="Times New Roman"/>
                <w:color w:val="auto"/>
                <w:sz w:val="24"/>
                <w:szCs w:val="24"/>
                <w:highlight w:val="none"/>
                <w:u w:val="none" w:color="auto"/>
                <w:vertAlign w:val="superscript"/>
              </w:rPr>
              <w:t>3</w:t>
            </w:r>
            <w:r>
              <w:rPr>
                <w:rFonts w:hint="default" w:ascii="Times New Roman" w:hAnsi="Times New Roman" w:eastAsia="宋体" w:cs="Times New Roman"/>
                <w:color w:val="auto"/>
                <w:sz w:val="24"/>
                <w:szCs w:val="24"/>
                <w:highlight w:val="none"/>
                <w:u w:val="none" w:color="auto"/>
              </w:rPr>
              <w:t>，三防措施）处理后用于周边农田的施肥</w:t>
            </w:r>
            <w:r>
              <w:rPr>
                <w:sz w:val="24"/>
                <w:szCs w:val="24"/>
                <w:highlight w:val="none"/>
              </w:rPr>
              <w:t>；因此项目建设不会对南水北调干渠水源水质产生不良影响。</w:t>
            </w:r>
          </w:p>
          <w:p w14:paraId="6062065F">
            <w:pPr>
              <w:pStyle w:val="43"/>
              <w:snapToGrid w:val="0"/>
              <w:ind w:firstLine="482" w:firstLineChars="200"/>
              <w:rPr>
                <w:rFonts w:ascii="Times New Roman"/>
                <w:b/>
              </w:rPr>
            </w:pPr>
            <w:r>
              <w:rPr>
                <w:rFonts w:ascii="Times New Roman"/>
                <w:b/>
              </w:rPr>
              <w:t>3、项目与相关规范的符合性</w:t>
            </w:r>
          </w:p>
          <w:p w14:paraId="4AA0A630">
            <w:pPr>
              <w:adjustRightInd w:val="0"/>
              <w:snapToGrid w:val="0"/>
              <w:spacing w:line="360" w:lineRule="auto"/>
              <w:ind w:firstLine="482" w:firstLineChars="200"/>
              <w:rPr>
                <w:b/>
                <w:bCs/>
                <w:color w:val="000000"/>
                <w:sz w:val="24"/>
              </w:rPr>
            </w:pPr>
            <w:r>
              <w:rPr>
                <w:rFonts w:hint="eastAsia"/>
                <w:b/>
                <w:bCs/>
                <w:color w:val="000000"/>
                <w:sz w:val="24"/>
              </w:rPr>
              <w:t>3.1</w:t>
            </w:r>
            <w:r>
              <w:rPr>
                <w:b/>
                <w:bCs/>
                <w:color w:val="000000"/>
                <w:sz w:val="24"/>
              </w:rPr>
              <w:t>项目与</w:t>
            </w:r>
            <w:r>
              <w:rPr>
                <w:rFonts w:hint="eastAsia"/>
                <w:b/>
                <w:bCs/>
                <w:color w:val="000000"/>
                <w:sz w:val="24"/>
              </w:rPr>
              <w:t>南阳市生态环境保护委员会办公室关于印发《南阳市2025年蓝天保卫战实施方案》《南阳市2025年碧水保卫战实施方案》《南阳市2025年净土保卫战实施方案》《南阳市2025年柴油货车污染治理攻坚战实施方案》的通知</w:t>
            </w:r>
          </w:p>
          <w:p w14:paraId="6D4DBD78">
            <w:pPr>
              <w:adjustRightInd w:val="0"/>
              <w:snapToGrid w:val="0"/>
              <w:spacing w:line="360" w:lineRule="auto"/>
              <w:ind w:firstLine="480" w:firstLineChars="200"/>
              <w:rPr>
                <w:color w:val="000000"/>
                <w:sz w:val="24"/>
              </w:rPr>
            </w:pPr>
            <w:r>
              <w:rPr>
                <w:color w:val="000000"/>
                <w:kern w:val="0"/>
                <w:sz w:val="24"/>
                <w:lang w:bidi="ar"/>
              </w:rPr>
              <w:t>202</w:t>
            </w:r>
            <w:r>
              <w:rPr>
                <w:rFonts w:hint="eastAsia"/>
                <w:color w:val="000000"/>
                <w:kern w:val="0"/>
                <w:sz w:val="24"/>
                <w:lang w:bidi="ar"/>
              </w:rPr>
              <w:t>5</w:t>
            </w:r>
            <w:r>
              <w:rPr>
                <w:color w:val="000000"/>
                <w:kern w:val="0"/>
                <w:sz w:val="24"/>
                <w:lang w:bidi="ar"/>
              </w:rPr>
              <w:t>年</w:t>
            </w:r>
            <w:r>
              <w:rPr>
                <w:rFonts w:hint="eastAsia"/>
                <w:color w:val="000000"/>
                <w:kern w:val="0"/>
                <w:sz w:val="24"/>
                <w:lang w:bidi="ar"/>
              </w:rPr>
              <w:t>5</w:t>
            </w:r>
            <w:r>
              <w:rPr>
                <w:color w:val="000000"/>
                <w:kern w:val="0"/>
                <w:sz w:val="24"/>
                <w:lang w:bidi="ar"/>
              </w:rPr>
              <w:t>月</w:t>
            </w:r>
            <w:r>
              <w:rPr>
                <w:rFonts w:hint="eastAsia"/>
                <w:color w:val="000000"/>
                <w:kern w:val="0"/>
                <w:sz w:val="24"/>
                <w:lang w:bidi="ar"/>
              </w:rPr>
              <w:t>30</w:t>
            </w:r>
            <w:r>
              <w:rPr>
                <w:color w:val="000000"/>
                <w:kern w:val="0"/>
                <w:sz w:val="24"/>
                <w:lang w:bidi="ar"/>
              </w:rPr>
              <w:t>日，</w:t>
            </w:r>
            <w:r>
              <w:rPr>
                <w:rFonts w:hint="eastAsia"/>
                <w:color w:val="000000"/>
                <w:sz w:val="24"/>
              </w:rPr>
              <w:t>南阳市生态环境保护委员会办公室关于印发《南阳市2025年蓝天保卫战实施方案》《南阳市2025年碧水保卫战实施方案》《南阳市2025年净土保卫战实施方案》《南阳市2025年柴油货车污染治理攻坚战实施方案》的通知</w:t>
            </w:r>
            <w:r>
              <w:rPr>
                <w:rFonts w:hint="eastAsia"/>
                <w:color w:val="000000"/>
                <w:kern w:val="0"/>
                <w:sz w:val="24"/>
                <w:lang w:bidi="ar"/>
              </w:rPr>
              <w:t>（宛环委办〔2025〕5号）</w:t>
            </w:r>
            <w:r>
              <w:rPr>
                <w:color w:val="000000"/>
                <w:kern w:val="0"/>
                <w:sz w:val="24"/>
                <w:lang w:bidi="ar"/>
              </w:rPr>
              <w:t>。与该文件中涉及本项目情况的相关内容对比及相符性分析见下表。</w:t>
            </w:r>
          </w:p>
          <w:p w14:paraId="73FE47B1">
            <w:pPr>
              <w:adjustRightInd w:val="0"/>
              <w:snapToGrid w:val="0"/>
              <w:spacing w:line="360" w:lineRule="auto"/>
              <w:jc w:val="center"/>
              <w:rPr>
                <w:b/>
                <w:bCs/>
                <w:color w:val="000000"/>
                <w:sz w:val="24"/>
              </w:rPr>
            </w:pPr>
            <w:r>
              <w:rPr>
                <w:b/>
                <w:bCs/>
                <w:color w:val="000000"/>
                <w:sz w:val="24"/>
              </w:rPr>
              <w:t>表</w:t>
            </w:r>
            <w:r>
              <w:rPr>
                <w:rFonts w:hint="eastAsia"/>
                <w:b/>
                <w:bCs/>
                <w:color w:val="000000"/>
                <w:sz w:val="24"/>
              </w:rPr>
              <w:t>1-</w:t>
            </w:r>
            <w:r>
              <w:rPr>
                <w:rFonts w:hint="eastAsia"/>
                <w:b/>
                <w:bCs/>
                <w:color w:val="000000"/>
                <w:sz w:val="24"/>
                <w:lang w:val="en-US" w:eastAsia="zh-CN"/>
              </w:rPr>
              <w:t>1</w:t>
            </w:r>
            <w:r>
              <w:rPr>
                <w:b/>
                <w:bCs/>
                <w:color w:val="000000"/>
                <w:sz w:val="24"/>
              </w:rPr>
              <w:t xml:space="preserve"> </w:t>
            </w:r>
            <w:r>
              <w:rPr>
                <w:rFonts w:hint="eastAsia"/>
                <w:b/>
                <w:bCs/>
                <w:color w:val="000000"/>
                <w:sz w:val="24"/>
              </w:rPr>
              <w:t xml:space="preserve"> </w:t>
            </w:r>
            <w:r>
              <w:rPr>
                <w:b/>
                <w:bCs/>
                <w:color w:val="000000"/>
                <w:sz w:val="24"/>
              </w:rPr>
              <w:t>项目与宛环委办</w:t>
            </w:r>
            <w:r>
              <w:rPr>
                <w:rFonts w:hint="eastAsia"/>
                <w:b/>
                <w:bCs/>
                <w:color w:val="000000"/>
                <w:sz w:val="24"/>
              </w:rPr>
              <w:t>〔2025〕5号</w:t>
            </w:r>
            <w:r>
              <w:rPr>
                <w:b/>
                <w:bCs/>
                <w:color w:val="000000"/>
                <w:sz w:val="24"/>
              </w:rPr>
              <w:t>文件的相符性分析一览表</w:t>
            </w:r>
          </w:p>
          <w:tbl>
            <w:tblPr>
              <w:tblStyle w:val="29"/>
              <w:tblW w:w="4977" w:type="pct"/>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764"/>
              <w:gridCol w:w="3959"/>
              <w:gridCol w:w="2570"/>
              <w:gridCol w:w="796"/>
            </w:tblGrid>
            <w:tr w14:paraId="688A274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472" w:type="pct"/>
                  <w:noWrap w:val="0"/>
                  <w:vAlign w:val="center"/>
                </w:tcPr>
                <w:p w14:paraId="6D9E0724">
                  <w:pPr>
                    <w:pStyle w:val="36"/>
                    <w:bidi w:val="0"/>
                    <w:rPr>
                      <w:b w:val="0"/>
                      <w:bCs/>
                    </w:rPr>
                  </w:pPr>
                  <w:r>
                    <w:rPr>
                      <w:rFonts w:hint="eastAsia"/>
                      <w:b w:val="0"/>
                      <w:bCs/>
                    </w:rPr>
                    <w:t>分类</w:t>
                  </w:r>
                </w:p>
              </w:tc>
              <w:tc>
                <w:tcPr>
                  <w:tcW w:w="2447" w:type="pct"/>
                  <w:noWrap w:val="0"/>
                  <w:vAlign w:val="center"/>
                </w:tcPr>
                <w:p w14:paraId="5F6E8BB6">
                  <w:pPr>
                    <w:pStyle w:val="36"/>
                    <w:bidi w:val="0"/>
                    <w:rPr>
                      <w:b w:val="0"/>
                      <w:bCs/>
                    </w:rPr>
                  </w:pPr>
                  <w:r>
                    <w:rPr>
                      <w:b w:val="0"/>
                      <w:bCs/>
                    </w:rPr>
                    <w:t>文件要求</w:t>
                  </w:r>
                </w:p>
              </w:tc>
              <w:tc>
                <w:tcPr>
                  <w:tcW w:w="1588" w:type="pct"/>
                  <w:noWrap w:val="0"/>
                  <w:vAlign w:val="center"/>
                </w:tcPr>
                <w:p w14:paraId="3CBE908D">
                  <w:pPr>
                    <w:pStyle w:val="36"/>
                    <w:bidi w:val="0"/>
                    <w:rPr>
                      <w:b w:val="0"/>
                      <w:bCs/>
                    </w:rPr>
                  </w:pPr>
                  <w:r>
                    <w:rPr>
                      <w:b w:val="0"/>
                      <w:bCs/>
                    </w:rPr>
                    <w:t>本项目</w:t>
                  </w:r>
                </w:p>
              </w:tc>
              <w:tc>
                <w:tcPr>
                  <w:tcW w:w="491" w:type="pct"/>
                  <w:noWrap w:val="0"/>
                  <w:vAlign w:val="center"/>
                </w:tcPr>
                <w:p w14:paraId="60368DA4">
                  <w:pPr>
                    <w:pStyle w:val="36"/>
                    <w:bidi w:val="0"/>
                    <w:rPr>
                      <w:b w:val="0"/>
                      <w:bCs/>
                    </w:rPr>
                  </w:pPr>
                  <w:r>
                    <w:rPr>
                      <w:b w:val="0"/>
                      <w:bCs/>
                    </w:rPr>
                    <w:t>相符性</w:t>
                  </w:r>
                </w:p>
              </w:tc>
            </w:tr>
            <w:tr w14:paraId="65C378B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5000" w:type="pct"/>
                  <w:gridSpan w:val="4"/>
                  <w:noWrap w:val="0"/>
                  <w:vAlign w:val="center"/>
                </w:tcPr>
                <w:p w14:paraId="038D8104">
                  <w:pPr>
                    <w:pStyle w:val="36"/>
                    <w:bidi w:val="0"/>
                    <w:rPr>
                      <w:b w:val="0"/>
                      <w:bCs/>
                    </w:rPr>
                  </w:pPr>
                  <w:r>
                    <w:rPr>
                      <w:b w:val="0"/>
                      <w:bCs/>
                    </w:rPr>
                    <w:t>南阳市202</w:t>
                  </w:r>
                  <w:r>
                    <w:rPr>
                      <w:rFonts w:hint="eastAsia"/>
                      <w:b w:val="0"/>
                      <w:bCs/>
                    </w:rPr>
                    <w:t>5</w:t>
                  </w:r>
                  <w:r>
                    <w:rPr>
                      <w:b w:val="0"/>
                      <w:bCs/>
                    </w:rPr>
                    <w:t>年蓝天保卫战</w:t>
                  </w:r>
                </w:p>
              </w:tc>
            </w:tr>
            <w:tr w14:paraId="69093FA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472" w:type="pct"/>
                  <w:noWrap w:val="0"/>
                  <w:vAlign w:val="center"/>
                </w:tcPr>
                <w:p w14:paraId="52C54E9D">
                  <w:pPr>
                    <w:pStyle w:val="36"/>
                    <w:bidi w:val="0"/>
                    <w:rPr>
                      <w:b w:val="0"/>
                      <w:bCs/>
                    </w:rPr>
                  </w:pPr>
                  <w:r>
                    <w:rPr>
                      <w:b w:val="0"/>
                      <w:bCs/>
                    </w:rPr>
                    <w:t>（一）结构优化升级专项攻坚</w:t>
                  </w:r>
                </w:p>
              </w:tc>
              <w:tc>
                <w:tcPr>
                  <w:tcW w:w="2447" w:type="pct"/>
                  <w:noWrap w:val="0"/>
                  <w:vAlign w:val="center"/>
                </w:tcPr>
                <w:p w14:paraId="759F991C">
                  <w:pPr>
                    <w:pStyle w:val="36"/>
                    <w:bidi w:val="0"/>
                    <w:jc w:val="both"/>
                    <w:rPr>
                      <w:b w:val="0"/>
                      <w:bCs/>
                    </w:rPr>
                  </w:pPr>
                  <w:r>
                    <w:rPr>
                      <w:b w:val="0"/>
                      <w:bCs/>
                    </w:rPr>
                    <w:t>4.实施工业炉窑清洁能源替代。对南阳鸿润建材、南阳晋成陶瓷2家企业实施停产整治，煤气发生炉完成清洁低碳能源替代前不得复产。2025年9月底前，南阳环宇电器、南阳东福陶艺2家企业完成煤气发生炉清洁低碳能源替代。2025年10月底前，完成现有使用高污染燃料的加热炉、热处理炉、干燥炉、熔化炉以及冲天炉等工业炉窑清洁低碳能源替代或拆除，未完成的纳入</w:t>
                  </w:r>
                  <w:r>
                    <w:rPr>
                      <w:b w:val="0"/>
                      <w:bCs/>
                    </w:rPr>
                    <w:cr/>
                  </w:r>
                  <w:r>
                    <w:rPr>
                      <w:b w:val="0"/>
                      <w:bCs/>
                    </w:rPr>
                    <w:t>冬季错峰生产调控。</w:t>
                  </w:r>
                </w:p>
              </w:tc>
              <w:tc>
                <w:tcPr>
                  <w:tcW w:w="1588" w:type="pct"/>
                  <w:noWrap w:val="0"/>
                  <w:vAlign w:val="center"/>
                </w:tcPr>
                <w:p w14:paraId="6194A16E">
                  <w:pPr>
                    <w:pStyle w:val="36"/>
                    <w:bidi w:val="0"/>
                    <w:jc w:val="both"/>
                    <w:rPr>
                      <w:b w:val="0"/>
                      <w:bCs/>
                    </w:rPr>
                  </w:pPr>
                  <w:r>
                    <w:rPr>
                      <w:rFonts w:hint="eastAsia"/>
                      <w:b w:val="0"/>
                      <w:bCs/>
                      <w:highlight w:val="none"/>
                      <w:lang w:val="en-US" w:eastAsia="zh-CN"/>
                    </w:rPr>
                    <w:t>本项目烘干工序采用电能，电能为清洁能源。正常情况下，本项目炭化窑采用工艺产生的木煤气为燃料来源，木煤气为清洁能源；非正常工况时引火及启动的初始阶段采用生物质点火。</w:t>
                  </w:r>
                </w:p>
              </w:tc>
              <w:tc>
                <w:tcPr>
                  <w:tcW w:w="491" w:type="pct"/>
                  <w:noWrap w:val="0"/>
                  <w:vAlign w:val="center"/>
                </w:tcPr>
                <w:p w14:paraId="2AAAC23B">
                  <w:pPr>
                    <w:pStyle w:val="36"/>
                    <w:bidi w:val="0"/>
                    <w:rPr>
                      <w:b w:val="0"/>
                      <w:bCs/>
                    </w:rPr>
                  </w:pPr>
                  <w:r>
                    <w:rPr>
                      <w:rFonts w:hint="eastAsia"/>
                      <w:b w:val="0"/>
                      <w:bCs/>
                    </w:rPr>
                    <w:t>相符</w:t>
                  </w:r>
                </w:p>
              </w:tc>
            </w:tr>
            <w:tr w14:paraId="63507B1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472" w:type="pct"/>
                  <w:noWrap w:val="0"/>
                  <w:vAlign w:val="center"/>
                </w:tcPr>
                <w:p w14:paraId="19DB2614">
                  <w:pPr>
                    <w:pStyle w:val="36"/>
                    <w:bidi w:val="0"/>
                    <w:rPr>
                      <w:b w:val="0"/>
                      <w:bCs/>
                    </w:rPr>
                  </w:pPr>
                  <w:r>
                    <w:rPr>
                      <w:b w:val="0"/>
                      <w:bCs/>
                    </w:rPr>
                    <w:t>（五）重污染天气应对专项攻坚</w:t>
                  </w:r>
                </w:p>
              </w:tc>
              <w:tc>
                <w:tcPr>
                  <w:tcW w:w="2447" w:type="pct"/>
                  <w:noWrap w:val="0"/>
                  <w:vAlign w:val="center"/>
                </w:tcPr>
                <w:p w14:paraId="351EDE72">
                  <w:pPr>
                    <w:pStyle w:val="36"/>
                    <w:bidi w:val="0"/>
                    <w:jc w:val="both"/>
                    <w:rPr>
                      <w:b w:val="0"/>
                      <w:bCs/>
                    </w:rPr>
                  </w:pPr>
                  <w:r>
                    <w:rPr>
                      <w:b w:val="0"/>
                      <w:bCs/>
                    </w:rPr>
                    <w:t>21.开展环境绩效等级提升行动。加强企业绩效监管，对已评定A级、B级和绩效引领性企业开展“回头看”，对实际绩效水平达不到评定等级要求，或存在严重环境违法违规行为的企业，严格实施降级处理。开展重点行业环保绩效创A行动，充分发挥绩效A级企业引领作用，以“先进”带动“后进”，鼓励指导企业通过设备更新、技术改造、治理升级等措施，不断提升环境绩效等级，2025年全市新增A级、B级企业及绩效引领性企业20家以上。</w:t>
                  </w:r>
                </w:p>
              </w:tc>
              <w:tc>
                <w:tcPr>
                  <w:tcW w:w="1588" w:type="pct"/>
                  <w:noWrap w:val="0"/>
                  <w:vAlign w:val="center"/>
                </w:tcPr>
                <w:p w14:paraId="2ABCAC64">
                  <w:pPr>
                    <w:pStyle w:val="36"/>
                    <w:bidi w:val="0"/>
                    <w:jc w:val="both"/>
                    <w:rPr>
                      <w:b w:val="0"/>
                      <w:bCs/>
                    </w:rPr>
                  </w:pPr>
                  <w:r>
                    <w:rPr>
                      <w:b w:val="0"/>
                      <w:bCs/>
                      <w:highlight w:val="none"/>
                    </w:rPr>
                    <w:t>本项目建设严格按照</w:t>
                  </w:r>
                  <w:r>
                    <w:rPr>
                      <w:rFonts w:hint="default"/>
                      <w:b w:val="0"/>
                      <w:bCs/>
                      <w:highlight w:val="none"/>
                    </w:rPr>
                    <w:t>《河南省重污染天气通用行业应急减排措施制定技术指南（202</w:t>
                  </w:r>
                  <w:r>
                    <w:rPr>
                      <w:rFonts w:hint="eastAsia"/>
                      <w:b w:val="0"/>
                      <w:bCs/>
                      <w:highlight w:val="none"/>
                      <w:lang w:val="en-US" w:eastAsia="zh-CN"/>
                    </w:rPr>
                    <w:t>4</w:t>
                  </w:r>
                  <w:r>
                    <w:rPr>
                      <w:rFonts w:hint="default"/>
                      <w:b w:val="0"/>
                      <w:bCs/>
                      <w:highlight w:val="none"/>
                    </w:rPr>
                    <w:t>年修订版)》</w:t>
                  </w:r>
                  <w:r>
                    <w:rPr>
                      <w:rFonts w:hint="eastAsia"/>
                      <w:b w:val="0"/>
                      <w:bCs/>
                      <w:highlight w:val="none"/>
                      <w:lang w:val="en-US" w:eastAsia="zh-CN"/>
                    </w:rPr>
                    <w:t>中绩效引领性</w:t>
                  </w:r>
                  <w:r>
                    <w:rPr>
                      <w:b w:val="0"/>
                      <w:bCs/>
                      <w:highlight w:val="none"/>
                    </w:rPr>
                    <w:t>指标要求进行建设。</w:t>
                  </w:r>
                </w:p>
              </w:tc>
              <w:tc>
                <w:tcPr>
                  <w:tcW w:w="491" w:type="pct"/>
                  <w:noWrap w:val="0"/>
                  <w:vAlign w:val="center"/>
                </w:tcPr>
                <w:p w14:paraId="03E3566B">
                  <w:pPr>
                    <w:pStyle w:val="36"/>
                    <w:bidi w:val="0"/>
                    <w:rPr>
                      <w:b w:val="0"/>
                      <w:bCs/>
                    </w:rPr>
                  </w:pPr>
                  <w:r>
                    <w:rPr>
                      <w:b w:val="0"/>
                      <w:bCs/>
                    </w:rPr>
                    <w:t>相符</w:t>
                  </w:r>
                </w:p>
              </w:tc>
            </w:tr>
            <w:tr w14:paraId="2DDF0AB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5000" w:type="pct"/>
                  <w:gridSpan w:val="4"/>
                  <w:noWrap w:val="0"/>
                  <w:vAlign w:val="center"/>
                </w:tcPr>
                <w:p w14:paraId="43DC60AE">
                  <w:pPr>
                    <w:pStyle w:val="36"/>
                    <w:bidi w:val="0"/>
                    <w:rPr>
                      <w:b w:val="0"/>
                      <w:bCs/>
                    </w:rPr>
                  </w:pPr>
                  <w:r>
                    <w:rPr>
                      <w:b w:val="0"/>
                      <w:bCs/>
                    </w:rPr>
                    <w:t>南阳市202</w:t>
                  </w:r>
                  <w:r>
                    <w:rPr>
                      <w:rFonts w:hint="eastAsia"/>
                      <w:b w:val="0"/>
                      <w:bCs/>
                    </w:rPr>
                    <w:t>5</w:t>
                  </w:r>
                  <w:r>
                    <w:rPr>
                      <w:b w:val="0"/>
                      <w:bCs/>
                    </w:rPr>
                    <w:t>年碧水保卫战</w:t>
                  </w:r>
                </w:p>
              </w:tc>
            </w:tr>
            <w:tr w14:paraId="2E653A4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472" w:type="pct"/>
                  <w:noWrap w:val="0"/>
                  <w:vAlign w:val="center"/>
                </w:tcPr>
                <w:p w14:paraId="164077ED">
                  <w:pPr>
                    <w:pStyle w:val="36"/>
                    <w:bidi w:val="0"/>
                    <w:rPr>
                      <w:b w:val="0"/>
                      <w:bCs/>
                    </w:rPr>
                  </w:pPr>
                  <w:r>
                    <w:rPr>
                      <w:b w:val="0"/>
                      <w:bCs/>
                    </w:rPr>
                    <w:t>（一）巩固提升南水北调和饮用水水源地安全保障</w:t>
                  </w:r>
                </w:p>
              </w:tc>
              <w:tc>
                <w:tcPr>
                  <w:tcW w:w="2447" w:type="pct"/>
                  <w:noWrap w:val="0"/>
                  <w:vAlign w:val="center"/>
                </w:tcPr>
                <w:p w14:paraId="389FAF22">
                  <w:pPr>
                    <w:pStyle w:val="36"/>
                    <w:bidi w:val="0"/>
                    <w:jc w:val="both"/>
                    <w:rPr>
                      <w:b w:val="0"/>
                      <w:bCs/>
                    </w:rPr>
                  </w:pPr>
                  <w:r>
                    <w:rPr>
                      <w:rFonts w:hint="eastAsia"/>
                      <w:b w:val="0"/>
                      <w:bCs/>
                    </w:rPr>
                    <w:t>1.切实守护南水北调中线工程水质安全。持续推进各级交办问题整改，深化城乡污染综合治理，提升污染防治能力。2025年10月底前，淅川县城区污水处理厂提标改造项目及西城区污水处理厂投入运行。2025年12月底前，西峡县污水处理厂完成提标改造。持续开展南水北调中线工程水源保护区内生态环境问题专项行动及“回头看”，提升保护区规范化建设水平。按照“一口一策”要求，2025年6月底前，全面完成丹江口水库及入库河流排污口的分类整治。淅川县严格丹江口水库消落区管理，因地制宜调整种植结构，防止施用化肥、农药。完善入库河流“一河一策一图”应急处置预案，关注断面水质和重金属因子浓度变化情况，保障南水北调中线工程水质安全。</w:t>
                  </w:r>
                </w:p>
              </w:tc>
              <w:tc>
                <w:tcPr>
                  <w:tcW w:w="1588" w:type="pct"/>
                  <w:noWrap w:val="0"/>
                  <w:vAlign w:val="center"/>
                </w:tcPr>
                <w:p w14:paraId="4A45C505">
                  <w:pPr>
                    <w:pStyle w:val="36"/>
                    <w:bidi w:val="0"/>
                    <w:jc w:val="both"/>
                    <w:rPr>
                      <w:b w:val="0"/>
                      <w:bCs/>
                    </w:rPr>
                  </w:pPr>
                  <w:r>
                    <w:rPr>
                      <w:rFonts w:hint="eastAsia"/>
                      <w:b w:val="0"/>
                      <w:bCs/>
                      <w:sz w:val="21"/>
                      <w:szCs w:val="21"/>
                      <w:highlight w:val="none"/>
                    </w:rPr>
                    <w:t>本项目位于南阳市方城县四里店镇小店村何家庄，项目西北距南水北调二级保护区边界为</w:t>
                  </w:r>
                  <w:r>
                    <w:rPr>
                      <w:rFonts w:hint="eastAsia"/>
                      <w:b w:val="0"/>
                      <w:bCs/>
                      <w:sz w:val="21"/>
                      <w:szCs w:val="21"/>
                      <w:highlight w:val="none"/>
                      <w:lang w:val="en-US" w:eastAsia="zh-CN"/>
                    </w:rPr>
                    <w:t>24.59k</w:t>
                  </w:r>
                  <w:r>
                    <w:rPr>
                      <w:rFonts w:hint="eastAsia"/>
                      <w:b w:val="0"/>
                      <w:bCs/>
                      <w:sz w:val="21"/>
                      <w:szCs w:val="21"/>
                      <w:highlight w:val="none"/>
                    </w:rPr>
                    <w:t>m，项目区不在南水北调中线水源保护区范围内。</w:t>
                  </w:r>
                  <w:r>
                    <w:rPr>
                      <w:b w:val="0"/>
                      <w:bCs/>
                      <w:sz w:val="21"/>
                      <w:szCs w:val="21"/>
                      <w:highlight w:val="none"/>
                    </w:rPr>
                    <w:t>且</w:t>
                  </w:r>
                  <w:r>
                    <w:rPr>
                      <w:rFonts w:hint="eastAsia"/>
                      <w:b w:val="0"/>
                      <w:bCs/>
                      <w:sz w:val="21"/>
                      <w:szCs w:val="21"/>
                      <w:highlight w:val="none"/>
                      <w:lang w:val="en-US" w:eastAsia="zh-CN"/>
                    </w:rPr>
                    <w:t>本项目</w:t>
                  </w:r>
                  <w:r>
                    <w:rPr>
                      <w:rFonts w:hint="default" w:ascii="Times New Roman" w:hAnsi="Times New Roman" w:eastAsia="宋体" w:cs="Times New Roman"/>
                      <w:b w:val="0"/>
                      <w:bCs/>
                      <w:color w:val="auto"/>
                      <w:sz w:val="21"/>
                      <w:szCs w:val="21"/>
                      <w:highlight w:val="none"/>
                      <w:u w:val="none" w:color="auto"/>
                    </w:rPr>
                    <w:t>生活污水经经化粪池（容积</w:t>
                  </w:r>
                  <w:r>
                    <w:rPr>
                      <w:rFonts w:hint="eastAsia" w:cs="Times New Roman"/>
                      <w:b w:val="0"/>
                      <w:bCs/>
                      <w:color w:val="auto"/>
                      <w:sz w:val="21"/>
                      <w:szCs w:val="21"/>
                      <w:highlight w:val="none"/>
                      <w:u w:val="none" w:color="auto"/>
                      <w:lang w:val="en-US" w:eastAsia="zh-CN"/>
                    </w:rPr>
                    <w:t>10</w:t>
                  </w:r>
                  <w:r>
                    <w:rPr>
                      <w:rFonts w:hint="default" w:ascii="Times New Roman" w:hAnsi="Times New Roman" w:eastAsia="宋体" w:cs="Times New Roman"/>
                      <w:b w:val="0"/>
                      <w:bCs/>
                      <w:color w:val="auto"/>
                      <w:sz w:val="21"/>
                      <w:szCs w:val="21"/>
                      <w:highlight w:val="none"/>
                      <w:u w:val="none" w:color="auto"/>
                    </w:rPr>
                    <w:t>m</w:t>
                  </w:r>
                  <w:r>
                    <w:rPr>
                      <w:rFonts w:hint="default" w:ascii="Times New Roman" w:hAnsi="Times New Roman" w:eastAsia="宋体" w:cs="Times New Roman"/>
                      <w:b w:val="0"/>
                      <w:bCs/>
                      <w:color w:val="auto"/>
                      <w:sz w:val="21"/>
                      <w:szCs w:val="21"/>
                      <w:highlight w:val="none"/>
                      <w:u w:val="none" w:color="auto"/>
                      <w:vertAlign w:val="superscript"/>
                    </w:rPr>
                    <w:t>3</w:t>
                  </w:r>
                  <w:r>
                    <w:rPr>
                      <w:rFonts w:hint="default" w:ascii="Times New Roman" w:hAnsi="Times New Roman" w:eastAsia="宋体" w:cs="Times New Roman"/>
                      <w:b w:val="0"/>
                      <w:bCs/>
                      <w:color w:val="auto"/>
                      <w:sz w:val="21"/>
                      <w:szCs w:val="21"/>
                      <w:highlight w:val="none"/>
                      <w:u w:val="none" w:color="auto"/>
                    </w:rPr>
                    <w:t>，三防措施）处理后用于周边农田的施肥</w:t>
                  </w:r>
                  <w:r>
                    <w:rPr>
                      <w:b w:val="0"/>
                      <w:bCs/>
                      <w:sz w:val="21"/>
                      <w:szCs w:val="21"/>
                      <w:highlight w:val="none"/>
                    </w:rPr>
                    <w:t>；因此项目建设不会对南</w:t>
                  </w:r>
                  <w:r>
                    <w:rPr>
                      <w:b w:val="0"/>
                      <w:bCs/>
                      <w:sz w:val="21"/>
                      <w:szCs w:val="21"/>
                      <w:highlight w:val="none"/>
                    </w:rPr>
                    <w:cr/>
                  </w:r>
                  <w:r>
                    <w:rPr>
                      <w:b w:val="0"/>
                      <w:bCs/>
                      <w:sz w:val="21"/>
                      <w:szCs w:val="21"/>
                      <w:highlight w:val="none"/>
                    </w:rPr>
                    <w:t>北调干渠水源水质产生不良影响。</w:t>
                  </w:r>
                </w:p>
              </w:tc>
              <w:tc>
                <w:tcPr>
                  <w:tcW w:w="491" w:type="pct"/>
                  <w:noWrap w:val="0"/>
                  <w:vAlign w:val="center"/>
                </w:tcPr>
                <w:p w14:paraId="7F8DFAB5">
                  <w:pPr>
                    <w:pStyle w:val="36"/>
                    <w:bidi w:val="0"/>
                    <w:rPr>
                      <w:b w:val="0"/>
                      <w:bCs/>
                    </w:rPr>
                  </w:pPr>
                  <w:r>
                    <w:rPr>
                      <w:b w:val="0"/>
                      <w:bCs/>
                    </w:rPr>
                    <w:t>相符</w:t>
                  </w:r>
                </w:p>
              </w:tc>
            </w:tr>
            <w:tr w14:paraId="4AE1160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5000" w:type="pct"/>
                  <w:gridSpan w:val="4"/>
                  <w:noWrap w:val="0"/>
                  <w:vAlign w:val="center"/>
                </w:tcPr>
                <w:p w14:paraId="12CCD650">
                  <w:pPr>
                    <w:pStyle w:val="36"/>
                    <w:bidi w:val="0"/>
                    <w:rPr>
                      <w:b w:val="0"/>
                      <w:bCs/>
                    </w:rPr>
                  </w:pPr>
                  <w:r>
                    <w:rPr>
                      <w:b w:val="0"/>
                      <w:bCs/>
                    </w:rPr>
                    <w:t>南阳市202</w:t>
                  </w:r>
                  <w:r>
                    <w:rPr>
                      <w:rFonts w:hint="eastAsia"/>
                      <w:b w:val="0"/>
                      <w:bCs/>
                    </w:rPr>
                    <w:t>5</w:t>
                  </w:r>
                  <w:r>
                    <w:rPr>
                      <w:b w:val="0"/>
                      <w:bCs/>
                    </w:rPr>
                    <w:t>年净土保卫战</w:t>
                  </w:r>
                </w:p>
              </w:tc>
            </w:tr>
            <w:tr w14:paraId="39BC834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472" w:type="pct"/>
                  <w:noWrap w:val="0"/>
                  <w:vAlign w:val="center"/>
                </w:tcPr>
                <w:p w14:paraId="37A466F3">
                  <w:pPr>
                    <w:pStyle w:val="36"/>
                    <w:bidi w:val="0"/>
                    <w:rPr>
                      <w:b w:val="0"/>
                      <w:bCs/>
                    </w:rPr>
                  </w:pPr>
                  <w:r>
                    <w:rPr>
                      <w:b w:val="0"/>
                      <w:bCs/>
                    </w:rPr>
                    <w:t>（一）统筹推进土壤污染预防治理</w:t>
                  </w:r>
                </w:p>
              </w:tc>
              <w:tc>
                <w:tcPr>
                  <w:tcW w:w="2447" w:type="pct"/>
                  <w:noWrap w:val="0"/>
                  <w:vAlign w:val="center"/>
                </w:tcPr>
                <w:p w14:paraId="5516EFC2">
                  <w:pPr>
                    <w:pStyle w:val="36"/>
                    <w:bidi w:val="0"/>
                    <w:jc w:val="both"/>
                    <w:rPr>
                      <w:b w:val="0"/>
                      <w:bCs/>
                    </w:rPr>
                  </w:pPr>
                  <w:r>
                    <w:rPr>
                      <w:b w:val="0"/>
                      <w:bCs/>
                    </w:rPr>
                    <w:t>1.强化土壤污染源头防控。按照《河南省土壤污染源头防控行动实施方案》要求，严格保护未污染土壤，推动污染防治关口前移。加强源头预防，持续动态更新涉镉等重金属行业企业清单并完成整治任务，依法对涉镉等重金属的大气、水环境重点排污单位排放口和周边环境进行定期监测，评估对周边农用地土壤重金属累积性风险，对存在风险采取有效防控措施。完成土壤污染重点监管单位名录更新，并向社会公开。指导土壤污染重点监管单位按照排污许可证规定和标准规范落实控制有毒有害物质排放、土壤污染隐患排查、</w:t>
                  </w:r>
                  <w:r>
                    <w:rPr>
                      <w:b w:val="0"/>
                      <w:bCs/>
                    </w:rPr>
                    <w:cr/>
                  </w:r>
                  <w:r>
                    <w:rPr>
                      <w:b w:val="0"/>
                      <w:bCs/>
                    </w:rPr>
                    <w:t>行监测等要求。督促土壤污染重点监管单位做好隐患排查问题整改，并按要求将隐患排查报告及相关材料上传至重点监管单位土壤和地下水环境管理信息系统，着力提高隐患排查整改合格率。</w:t>
                  </w:r>
                </w:p>
              </w:tc>
              <w:tc>
                <w:tcPr>
                  <w:tcW w:w="1588" w:type="pct"/>
                  <w:noWrap w:val="0"/>
                  <w:vAlign w:val="center"/>
                </w:tcPr>
                <w:p w14:paraId="4AFCE2EE">
                  <w:pPr>
                    <w:pStyle w:val="36"/>
                    <w:bidi w:val="0"/>
                    <w:jc w:val="both"/>
                    <w:rPr>
                      <w:b w:val="0"/>
                      <w:bCs/>
                    </w:rPr>
                  </w:pPr>
                  <w:r>
                    <w:rPr>
                      <w:b w:val="0"/>
                      <w:bCs/>
                    </w:rPr>
                    <w:t>项目不属于土壤污染重点监管单位，项目所排废气主要为颗粒物、</w:t>
                  </w:r>
                  <w:r>
                    <w:rPr>
                      <w:rFonts w:hint="eastAsia"/>
                      <w:b w:val="0"/>
                      <w:bCs/>
                      <w:lang w:val="en-US" w:eastAsia="zh-CN"/>
                    </w:rPr>
                    <w:t>二氧化硫、氮氧化物</w:t>
                  </w:r>
                  <w:r>
                    <w:rPr>
                      <w:b w:val="0"/>
                      <w:bCs/>
                    </w:rPr>
                    <w:t>等，不涉及重金属等有毒有害物质，对周边土壤影响不大</w:t>
                  </w:r>
                  <w:r>
                    <w:rPr>
                      <w:rFonts w:hint="eastAsia"/>
                      <w:b w:val="0"/>
                      <w:bCs/>
                    </w:rPr>
                    <w:t>。</w:t>
                  </w:r>
                </w:p>
              </w:tc>
              <w:tc>
                <w:tcPr>
                  <w:tcW w:w="491" w:type="pct"/>
                  <w:noWrap w:val="0"/>
                  <w:vAlign w:val="center"/>
                </w:tcPr>
                <w:p w14:paraId="49179229">
                  <w:pPr>
                    <w:pStyle w:val="36"/>
                    <w:bidi w:val="0"/>
                    <w:rPr>
                      <w:b w:val="0"/>
                      <w:bCs/>
                    </w:rPr>
                  </w:pPr>
                  <w:r>
                    <w:rPr>
                      <w:b w:val="0"/>
                      <w:bCs/>
                    </w:rPr>
                    <w:t>相符</w:t>
                  </w:r>
                </w:p>
              </w:tc>
            </w:tr>
            <w:tr w14:paraId="2707D9D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472" w:type="pct"/>
                  <w:noWrap w:val="0"/>
                  <w:vAlign w:val="center"/>
                </w:tcPr>
                <w:p w14:paraId="698B1B87">
                  <w:pPr>
                    <w:pStyle w:val="36"/>
                    <w:bidi w:val="0"/>
                    <w:rPr>
                      <w:b w:val="0"/>
                      <w:bCs/>
                    </w:rPr>
                  </w:pPr>
                  <w:r>
                    <w:rPr>
                      <w:b w:val="0"/>
                      <w:bCs/>
                    </w:rPr>
                    <w:t>（二）科学推进地下水污染防控</w:t>
                  </w:r>
                </w:p>
              </w:tc>
              <w:tc>
                <w:tcPr>
                  <w:tcW w:w="2447" w:type="pct"/>
                  <w:noWrap w:val="0"/>
                  <w:vAlign w:val="center"/>
                </w:tcPr>
                <w:p w14:paraId="03990236">
                  <w:pPr>
                    <w:pStyle w:val="36"/>
                    <w:bidi w:val="0"/>
                    <w:jc w:val="both"/>
                    <w:rPr>
                      <w:b w:val="0"/>
                      <w:bCs/>
                    </w:rPr>
                  </w:pPr>
                  <w:r>
                    <w:rPr>
                      <w:b w:val="0"/>
                      <w:bCs/>
                    </w:rPr>
                    <w:t>8.加强地下水污染风险管控。持续加强“十四五”国家地下水考核点位水质管理，高度关注国考点位周边环境状况，开展国考点位周边污染隐患排查，确保国考点位水质总体保持稳定。有序建立并动态更新地下水污染防治重点排污单位名录。</w:t>
                  </w:r>
                </w:p>
              </w:tc>
              <w:tc>
                <w:tcPr>
                  <w:tcW w:w="1588" w:type="pct"/>
                  <w:noWrap w:val="0"/>
                  <w:vAlign w:val="center"/>
                </w:tcPr>
                <w:p w14:paraId="0CF8E3B3">
                  <w:pPr>
                    <w:pStyle w:val="36"/>
                    <w:bidi w:val="0"/>
                    <w:jc w:val="both"/>
                    <w:rPr>
                      <w:b w:val="0"/>
                      <w:bCs/>
                    </w:rPr>
                  </w:pPr>
                  <w:r>
                    <w:rPr>
                      <w:rFonts w:hint="eastAsia"/>
                      <w:b w:val="0"/>
                      <w:bCs/>
                      <w:sz w:val="21"/>
                      <w:szCs w:val="21"/>
                      <w:highlight w:val="none"/>
                      <w:lang w:val="en-US" w:eastAsia="zh-CN"/>
                    </w:rPr>
                    <w:t>本项目</w:t>
                  </w:r>
                  <w:r>
                    <w:rPr>
                      <w:rFonts w:hint="default" w:ascii="Times New Roman" w:hAnsi="Times New Roman" w:eastAsia="宋体" w:cs="Times New Roman"/>
                      <w:b w:val="0"/>
                      <w:bCs/>
                      <w:color w:val="auto"/>
                      <w:sz w:val="21"/>
                      <w:szCs w:val="21"/>
                      <w:highlight w:val="none"/>
                      <w:u w:val="none" w:color="auto"/>
                    </w:rPr>
                    <w:t>生活污水经经化粪池（容积</w:t>
                  </w:r>
                  <w:r>
                    <w:rPr>
                      <w:rFonts w:hint="eastAsia" w:cs="Times New Roman"/>
                      <w:b w:val="0"/>
                      <w:bCs/>
                      <w:color w:val="auto"/>
                      <w:sz w:val="21"/>
                      <w:szCs w:val="21"/>
                      <w:highlight w:val="none"/>
                      <w:u w:val="none" w:color="auto"/>
                      <w:lang w:val="en-US" w:eastAsia="zh-CN"/>
                    </w:rPr>
                    <w:t>10</w:t>
                  </w:r>
                  <w:r>
                    <w:rPr>
                      <w:rFonts w:hint="default" w:ascii="Times New Roman" w:hAnsi="Times New Roman" w:eastAsia="宋体" w:cs="Times New Roman"/>
                      <w:b w:val="0"/>
                      <w:bCs/>
                      <w:color w:val="auto"/>
                      <w:sz w:val="21"/>
                      <w:szCs w:val="21"/>
                      <w:highlight w:val="none"/>
                      <w:u w:val="none" w:color="auto"/>
                    </w:rPr>
                    <w:t>m</w:t>
                  </w:r>
                  <w:r>
                    <w:rPr>
                      <w:rFonts w:hint="default" w:ascii="Times New Roman" w:hAnsi="Times New Roman" w:eastAsia="宋体" w:cs="Times New Roman"/>
                      <w:b w:val="0"/>
                      <w:bCs/>
                      <w:color w:val="auto"/>
                      <w:sz w:val="21"/>
                      <w:szCs w:val="21"/>
                      <w:highlight w:val="none"/>
                      <w:u w:val="none" w:color="auto"/>
                      <w:vertAlign w:val="superscript"/>
                    </w:rPr>
                    <w:t>3</w:t>
                  </w:r>
                  <w:r>
                    <w:rPr>
                      <w:rFonts w:hint="default" w:ascii="Times New Roman" w:hAnsi="Times New Roman" w:eastAsia="宋体" w:cs="Times New Roman"/>
                      <w:b w:val="0"/>
                      <w:bCs/>
                      <w:color w:val="auto"/>
                      <w:sz w:val="21"/>
                      <w:szCs w:val="21"/>
                      <w:highlight w:val="none"/>
                      <w:u w:val="none" w:color="auto"/>
                    </w:rPr>
                    <w:t>，三防措施）处理后用于周边农田的施肥</w:t>
                  </w:r>
                  <w:r>
                    <w:rPr>
                      <w:b w:val="0"/>
                      <w:bCs/>
                      <w:highlight w:val="none"/>
                    </w:rPr>
                    <w:t>。车间地面全部进行硬化，生产车间、危废暂存间、化粪池等经分区防渗处理措施后不会对周围土壤产生不良影响。</w:t>
                  </w:r>
                </w:p>
              </w:tc>
              <w:tc>
                <w:tcPr>
                  <w:tcW w:w="491" w:type="pct"/>
                  <w:noWrap w:val="0"/>
                  <w:vAlign w:val="center"/>
                </w:tcPr>
                <w:p w14:paraId="0B7C4727">
                  <w:pPr>
                    <w:pStyle w:val="36"/>
                    <w:bidi w:val="0"/>
                    <w:rPr>
                      <w:b w:val="0"/>
                      <w:bCs/>
                    </w:rPr>
                  </w:pPr>
                  <w:r>
                    <w:rPr>
                      <w:b w:val="0"/>
                      <w:bCs/>
                    </w:rPr>
                    <w:t>相符</w:t>
                  </w:r>
                </w:p>
              </w:tc>
            </w:tr>
            <w:tr w14:paraId="62E1B13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5000" w:type="pct"/>
                  <w:gridSpan w:val="4"/>
                  <w:noWrap w:val="0"/>
                  <w:vAlign w:val="center"/>
                </w:tcPr>
                <w:p w14:paraId="4DCC0F39">
                  <w:pPr>
                    <w:pStyle w:val="36"/>
                    <w:bidi w:val="0"/>
                    <w:rPr>
                      <w:b w:val="0"/>
                      <w:bCs/>
                    </w:rPr>
                  </w:pPr>
                  <w:r>
                    <w:rPr>
                      <w:b w:val="0"/>
                      <w:bCs/>
                    </w:rPr>
                    <w:t>南阳市202</w:t>
                  </w:r>
                  <w:r>
                    <w:rPr>
                      <w:rFonts w:hint="eastAsia"/>
                      <w:b w:val="0"/>
                      <w:bCs/>
                    </w:rPr>
                    <w:t>5</w:t>
                  </w:r>
                  <w:r>
                    <w:rPr>
                      <w:b w:val="0"/>
                      <w:bCs/>
                    </w:rPr>
                    <w:t>年柴油货车污染治理攻坚战实施方案</w:t>
                  </w:r>
                </w:p>
              </w:tc>
            </w:tr>
            <w:tr w14:paraId="6AF665B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472" w:type="pct"/>
                  <w:noWrap w:val="0"/>
                  <w:vAlign w:val="center"/>
                </w:tcPr>
                <w:p w14:paraId="6BD1DA13">
                  <w:pPr>
                    <w:pStyle w:val="36"/>
                    <w:bidi w:val="0"/>
                    <w:rPr>
                      <w:b w:val="0"/>
                      <w:bCs/>
                    </w:rPr>
                  </w:pPr>
                  <w:r>
                    <w:rPr>
                      <w:b w:val="0"/>
                      <w:bCs/>
                    </w:rPr>
                    <w:t>（一）优化调整交通运输结构</w:t>
                  </w:r>
                </w:p>
              </w:tc>
              <w:tc>
                <w:tcPr>
                  <w:tcW w:w="2447" w:type="pct"/>
                  <w:noWrap w:val="0"/>
                  <w:vAlign w:val="center"/>
                </w:tcPr>
                <w:p w14:paraId="51013FBC">
                  <w:pPr>
                    <w:pStyle w:val="36"/>
                    <w:bidi w:val="0"/>
                    <w:jc w:val="both"/>
                    <w:rPr>
                      <w:b w:val="0"/>
                      <w:bCs/>
                    </w:rPr>
                  </w:pPr>
                  <w:r>
                    <w:rPr>
                      <w:rFonts w:hint="eastAsia"/>
                      <w:b w:val="0"/>
                      <w:bCs/>
                    </w:rPr>
                    <w:t>2.提升重点行业清洁运输比例。大宗货物中长距离运输优先采用铁路、水路运输，短距离运输优先采用封闭式皮带廊道或新能源车船。鼓励工矿企业等用车单位通过与运输企业（个人）签订合作协议等方式，推进内部转运车辆和外部运输车辆全部使用新能源货车。探索将清洁运输作为钢铁、火电、有色等行业新改扩建项目审核和监管重点。2025年9月底前，钢铁、水泥企业完成超低排放清洁运输改造。2025年年底前，火电、钢铁、有色、水泥等行业大宗货物清洁运输比例达到80%以上，砂石骨料、耐材、环保绩效A、B级和绩效引领性企业清洁运输比例力争达到80%。</w:t>
                  </w:r>
                </w:p>
              </w:tc>
              <w:tc>
                <w:tcPr>
                  <w:tcW w:w="1588" w:type="pct"/>
                  <w:noWrap w:val="0"/>
                  <w:vAlign w:val="center"/>
                </w:tcPr>
                <w:p w14:paraId="14963701">
                  <w:pPr>
                    <w:pStyle w:val="36"/>
                    <w:bidi w:val="0"/>
                    <w:jc w:val="both"/>
                    <w:rPr>
                      <w:b w:val="0"/>
                      <w:bCs/>
                    </w:rPr>
                  </w:pPr>
                  <w:r>
                    <w:rPr>
                      <w:b w:val="0"/>
                      <w:bCs/>
                    </w:rPr>
                    <w:t>本项目建成后选用国五以上或者新能源车辆进行原辅料运输。</w:t>
                  </w:r>
                </w:p>
              </w:tc>
              <w:tc>
                <w:tcPr>
                  <w:tcW w:w="491" w:type="pct"/>
                  <w:noWrap w:val="0"/>
                  <w:vAlign w:val="center"/>
                </w:tcPr>
                <w:p w14:paraId="21546031">
                  <w:pPr>
                    <w:pStyle w:val="36"/>
                    <w:bidi w:val="0"/>
                    <w:rPr>
                      <w:b w:val="0"/>
                      <w:bCs/>
                    </w:rPr>
                  </w:pPr>
                  <w:r>
                    <w:rPr>
                      <w:b w:val="0"/>
                      <w:bCs/>
                    </w:rPr>
                    <w:t>相符</w:t>
                  </w:r>
                </w:p>
              </w:tc>
            </w:tr>
          </w:tbl>
          <w:p w14:paraId="5981803F">
            <w:pPr>
              <w:adjustRightInd w:val="0"/>
              <w:snapToGrid w:val="0"/>
              <w:spacing w:line="360" w:lineRule="auto"/>
              <w:ind w:firstLine="480" w:firstLineChars="200"/>
              <w:rPr>
                <w:sz w:val="24"/>
              </w:rPr>
            </w:pPr>
            <w:r>
              <w:rPr>
                <w:color w:val="000000"/>
                <w:sz w:val="24"/>
              </w:rPr>
              <w:t>综上所述，本项目建设符合</w:t>
            </w:r>
            <w:r>
              <w:rPr>
                <w:rFonts w:hint="eastAsia"/>
                <w:color w:val="000000"/>
                <w:sz w:val="24"/>
              </w:rPr>
              <w:t>《南阳市2025年蓝天保卫战实施方案》《南阳市2025年碧水保卫战实施方案》《南阳市2025年净土保卫战实施方案》《南阳市2025年柴油货车污染治理攻坚战实施方案》的通知（宛环委办〔2025〕5号）</w:t>
            </w:r>
            <w:r>
              <w:rPr>
                <w:color w:val="000000"/>
                <w:sz w:val="24"/>
              </w:rPr>
              <w:t>中相关要求。</w:t>
            </w:r>
          </w:p>
          <w:p w14:paraId="64E42EC3">
            <w:pPr>
              <w:pStyle w:val="43"/>
              <w:keepNext w:val="0"/>
              <w:keepLines w:val="0"/>
              <w:suppressLineNumbers w:val="0"/>
              <w:snapToGrid w:val="0"/>
              <w:spacing w:before="0" w:beforeAutospacing="0" w:after="0" w:afterAutospacing="0"/>
              <w:ind w:left="0" w:right="0" w:firstLine="482" w:firstLineChars="200"/>
              <w:rPr>
                <w:rFonts w:hint="default" w:ascii="Times New Roman" w:hAnsi="Times New Roman" w:cs="Times New Roman"/>
                <w:b/>
                <w:bCs/>
                <w:color w:val="000000" w:themeColor="text1"/>
                <w:szCs w:val="24"/>
                <w:u w:val="none" w:color="auto"/>
                <w14:textFill>
                  <w14:solidFill>
                    <w14:schemeClr w14:val="tx1"/>
                  </w14:solidFill>
                </w14:textFill>
              </w:rPr>
            </w:pPr>
            <w:r>
              <w:rPr>
                <w:rFonts w:hint="default" w:ascii="Times New Roman" w:hAnsi="Times New Roman" w:cs="Times New Roman"/>
                <w:b/>
                <w:bCs/>
                <w:color w:val="000000"/>
                <w:sz w:val="24"/>
              </w:rPr>
              <w:t>3.2、</w:t>
            </w:r>
            <w:r>
              <w:rPr>
                <w:rFonts w:hint="default" w:ascii="Times New Roman" w:hAnsi="Times New Roman" w:cs="Times New Roman"/>
                <w:b/>
                <w:bCs/>
                <w:color w:val="000000" w:themeColor="text1"/>
                <w:szCs w:val="24"/>
                <w:u w:val="none" w:color="auto"/>
                <w14:textFill>
                  <w14:solidFill>
                    <w14:schemeClr w14:val="tx1"/>
                  </w14:solidFill>
                </w14:textFill>
              </w:rPr>
              <w:t>项目与《河南省重污染天气通用行业应急减排措施制定技术指南（202</w:t>
            </w:r>
            <w:r>
              <w:rPr>
                <w:rFonts w:hint="default" w:ascii="Times New Roman" w:hAnsi="Times New Roman" w:cs="Times New Roman"/>
                <w:b/>
                <w:bCs/>
                <w:color w:val="000000" w:themeColor="text1"/>
                <w:szCs w:val="24"/>
                <w:u w:val="none" w:color="auto"/>
                <w:lang w:val="en-US" w:eastAsia="zh-CN"/>
                <w14:textFill>
                  <w14:solidFill>
                    <w14:schemeClr w14:val="tx1"/>
                  </w14:solidFill>
                </w14:textFill>
              </w:rPr>
              <w:t>4</w:t>
            </w:r>
            <w:r>
              <w:rPr>
                <w:rFonts w:hint="default" w:ascii="Times New Roman" w:hAnsi="Times New Roman" w:cs="Times New Roman"/>
                <w:b/>
                <w:bCs/>
                <w:color w:val="000000" w:themeColor="text1"/>
                <w:szCs w:val="24"/>
                <w:u w:val="none" w:color="auto"/>
                <w14:textFill>
                  <w14:solidFill>
                    <w14:schemeClr w14:val="tx1"/>
                  </w14:solidFill>
                </w14:textFill>
              </w:rPr>
              <w:t>年修订版)》的相符性</w:t>
            </w:r>
          </w:p>
          <w:p w14:paraId="457B1266">
            <w:pPr>
              <w:pStyle w:val="43"/>
              <w:keepNext w:val="0"/>
              <w:keepLines w:val="0"/>
              <w:suppressLineNumbers w:val="0"/>
              <w:snapToGrid w:val="0"/>
              <w:spacing w:before="0" w:beforeAutospacing="0" w:after="0" w:afterAutospacing="0"/>
              <w:ind w:left="0" w:right="0" w:firstLine="480" w:firstLineChars="200"/>
              <w:rPr>
                <w:rFonts w:hint="default" w:ascii="Times New Roman" w:hAnsi="Times New Roman" w:cs="Times New Roman"/>
                <w:color w:val="000000" w:themeColor="text1"/>
                <w:szCs w:val="24"/>
                <w:u w:val="none"/>
                <w14:textFill>
                  <w14:solidFill>
                    <w14:schemeClr w14:val="tx1"/>
                  </w14:solidFill>
                </w14:textFill>
              </w:rPr>
            </w:pPr>
            <w:r>
              <w:rPr>
                <w:rFonts w:hint="default" w:ascii="Times New Roman" w:hAnsi="Times New Roman" w:cs="Times New Roman"/>
                <w:color w:val="000000" w:themeColor="text1"/>
                <w:szCs w:val="24"/>
                <w:highlight w:val="none"/>
                <w:u w:val="none"/>
                <w14:textFill>
                  <w14:solidFill>
                    <w14:schemeClr w14:val="tx1"/>
                  </w14:solidFill>
                </w14:textFill>
              </w:rPr>
              <w:t>经对照《国民经济行业分类》（GB/T4754-2017，2019年修改），项目属于</w:t>
            </w:r>
            <w:r>
              <w:rPr>
                <w:rFonts w:hint="default" w:ascii="Times New Roman" w:hAnsi="Times New Roman" w:eastAsia="宋体" w:cs="Times New Roman"/>
                <w:color w:val="000000" w:themeColor="text1"/>
                <w:sz w:val="24"/>
                <w:highlight w:val="none"/>
                <w14:textFill>
                  <w14:solidFill>
                    <w14:schemeClr w14:val="tx1"/>
                  </w14:solidFill>
                </w14:textFill>
              </w:rPr>
              <w:t>C2542生物质致密成型燃料加工</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和C4220非金属废料和碎屑加工处理</w:t>
            </w:r>
            <w:r>
              <w:rPr>
                <w:rFonts w:hint="default" w:ascii="Times New Roman" w:hAnsi="Times New Roman" w:cs="Times New Roman"/>
                <w:color w:val="000000" w:themeColor="text1"/>
                <w:szCs w:val="24"/>
                <w:highlight w:val="none"/>
                <w:u w:val="none"/>
                <w14:textFill>
                  <w14:solidFill>
                    <w14:schemeClr w14:val="tx1"/>
                  </w14:solidFill>
                </w14:textFill>
              </w:rPr>
              <w:t>，未纳入</w:t>
            </w:r>
            <w:r>
              <w:rPr>
                <w:rFonts w:hint="default" w:ascii="Times New Roman" w:hAnsi="Times New Roman" w:cs="Times New Roman"/>
                <w:color w:val="000000" w:themeColor="text1"/>
                <w:szCs w:val="24"/>
                <w:u w:val="none"/>
                <w14:textFill>
                  <w14:solidFill>
                    <w14:schemeClr w14:val="tx1"/>
                  </w14:solidFill>
                </w14:textFill>
              </w:rPr>
              <w:t>国家39个和河南省12个重污染天气重点行业分类内</w:t>
            </w:r>
            <w:r>
              <w:rPr>
                <w:rFonts w:hint="default" w:ascii="Times New Roman" w:hAnsi="Times New Roman" w:cs="Times New Roman"/>
                <w:color w:val="000000" w:themeColor="text1"/>
                <w:szCs w:val="24"/>
                <w:u w:val="none"/>
                <w:lang w:val="en-US" w:eastAsia="zh-CN"/>
                <w14:textFill>
                  <w14:solidFill>
                    <w14:schemeClr w14:val="tx1"/>
                  </w14:solidFill>
                </w14:textFill>
              </w:rPr>
              <w:t>。</w:t>
            </w:r>
            <w:r>
              <w:rPr>
                <w:rFonts w:hint="default" w:ascii="Times New Roman" w:hAnsi="Times New Roman" w:cs="Times New Roman"/>
                <w:color w:val="000000" w:themeColor="text1"/>
                <w:szCs w:val="24"/>
                <w:u w:val="none"/>
                <w14:textFill>
                  <w14:solidFill>
                    <w14:schemeClr w14:val="tx1"/>
                  </w14:solidFill>
                </w14:textFill>
              </w:rPr>
              <w:t>本次评价参照《河南省重污染天气通用行业应急减排措施制定技术指南（202</w:t>
            </w:r>
            <w:r>
              <w:rPr>
                <w:rFonts w:hint="default" w:ascii="Times New Roman" w:hAnsi="Times New Roman" w:cs="Times New Roman"/>
                <w:color w:val="000000" w:themeColor="text1"/>
                <w:szCs w:val="24"/>
                <w:u w:val="none"/>
                <w:lang w:val="en-US" w:eastAsia="zh-CN"/>
                <w14:textFill>
                  <w14:solidFill>
                    <w14:schemeClr w14:val="tx1"/>
                  </w14:solidFill>
                </w14:textFill>
              </w:rPr>
              <w:t>4</w:t>
            </w:r>
            <w:r>
              <w:rPr>
                <w:rFonts w:hint="default" w:ascii="Times New Roman" w:hAnsi="Times New Roman" w:cs="Times New Roman"/>
                <w:color w:val="000000" w:themeColor="text1"/>
                <w:szCs w:val="24"/>
                <w:u w:val="none"/>
                <w14:textFill>
                  <w14:solidFill>
                    <w14:schemeClr w14:val="tx1"/>
                  </w14:solidFill>
                </w14:textFill>
              </w:rPr>
              <w:t>年修订版）》通用行业相关要求进行建设运行，以减少营运期大气环境影响，具体比对分析内容见下表。</w:t>
            </w:r>
          </w:p>
          <w:p w14:paraId="5667892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default" w:ascii="Times New Roman" w:hAnsi="Times New Roman" w:cs="Times New Roman"/>
                <w:b/>
                <w:color w:val="000000" w:themeColor="text1"/>
                <w:sz w:val="24"/>
                <w:szCs w:val="24"/>
                <w:u w:val="none"/>
                <w14:textFill>
                  <w14:solidFill>
                    <w14:schemeClr w14:val="tx1"/>
                  </w14:solidFill>
                </w14:textFill>
              </w:rPr>
            </w:pPr>
            <w:r>
              <w:rPr>
                <w:rFonts w:hint="default" w:ascii="Times New Roman" w:hAnsi="Times New Roman" w:cs="Times New Roman"/>
                <w:b/>
                <w:color w:val="000000" w:themeColor="text1"/>
                <w:sz w:val="24"/>
                <w:szCs w:val="24"/>
                <w:u w:val="none"/>
                <w14:textFill>
                  <w14:solidFill>
                    <w14:schemeClr w14:val="tx1"/>
                  </w14:solidFill>
                </w14:textFill>
              </w:rPr>
              <w:t>表1-</w:t>
            </w:r>
            <w:r>
              <w:rPr>
                <w:rFonts w:hint="default" w:ascii="Times New Roman" w:hAnsi="Times New Roman" w:cs="Times New Roman"/>
                <w:b/>
                <w:color w:val="000000" w:themeColor="text1"/>
                <w:sz w:val="24"/>
                <w:szCs w:val="24"/>
                <w:u w:val="none"/>
                <w:lang w:val="en-US" w:eastAsia="zh-CN"/>
                <w14:textFill>
                  <w14:solidFill>
                    <w14:schemeClr w14:val="tx1"/>
                  </w14:solidFill>
                </w14:textFill>
              </w:rPr>
              <w:t>2</w:t>
            </w:r>
            <w:r>
              <w:rPr>
                <w:rFonts w:hint="default" w:ascii="Times New Roman" w:hAnsi="Times New Roman" w:cs="Times New Roman"/>
                <w:b/>
                <w:color w:val="000000" w:themeColor="text1"/>
                <w:sz w:val="24"/>
                <w:szCs w:val="24"/>
                <w:u w:val="none"/>
                <w14:textFill>
                  <w14:solidFill>
                    <w14:schemeClr w14:val="tx1"/>
                  </w14:solidFill>
                </w14:textFill>
              </w:rPr>
              <w:t xml:space="preserve"> </w:t>
            </w:r>
            <w:r>
              <w:rPr>
                <w:rFonts w:hint="eastAsia" w:ascii="Times New Roman" w:hAnsi="Times New Roman" w:cs="Times New Roman"/>
                <w:b/>
                <w:color w:val="000000" w:themeColor="text1"/>
                <w:sz w:val="24"/>
                <w:szCs w:val="24"/>
                <w:u w:val="none"/>
                <w:lang w:val="en-US" w:eastAsia="zh-CN"/>
                <w14:textFill>
                  <w14:solidFill>
                    <w14:schemeClr w14:val="tx1"/>
                  </w14:solidFill>
                </w14:textFill>
              </w:rPr>
              <w:t xml:space="preserve"> </w:t>
            </w:r>
            <w:r>
              <w:rPr>
                <w:rFonts w:hint="default" w:ascii="Times New Roman" w:hAnsi="Times New Roman" w:cs="Times New Roman"/>
                <w:b/>
                <w:color w:val="000000" w:themeColor="text1"/>
                <w:sz w:val="24"/>
                <w:szCs w:val="24"/>
                <w:u w:val="none"/>
                <w14:textFill>
                  <w14:solidFill>
                    <w14:schemeClr w14:val="tx1"/>
                  </w14:solidFill>
                </w14:textFill>
              </w:rPr>
              <w:t>项目</w:t>
            </w:r>
            <w:r>
              <w:rPr>
                <w:rFonts w:hint="eastAsia" w:ascii="Times New Roman" w:hAnsi="Times New Roman" w:cs="Times New Roman"/>
                <w:b/>
                <w:color w:val="000000" w:themeColor="text1"/>
                <w:sz w:val="24"/>
                <w:szCs w:val="24"/>
                <w:u w:val="none"/>
                <w:lang w:val="en-US" w:eastAsia="zh-CN"/>
                <w14:textFill>
                  <w14:solidFill>
                    <w14:schemeClr w14:val="tx1"/>
                  </w14:solidFill>
                </w14:textFill>
              </w:rPr>
              <w:t>与通用涉PM企业</w:t>
            </w:r>
            <w:r>
              <w:rPr>
                <w:rFonts w:hint="default" w:ascii="Times New Roman" w:hAnsi="Times New Roman" w:cs="Times New Roman"/>
                <w:b/>
                <w:color w:val="000000" w:themeColor="text1"/>
                <w:sz w:val="24"/>
                <w:szCs w:val="24"/>
                <w:u w:val="none"/>
                <w14:textFill>
                  <w14:solidFill>
                    <w14:schemeClr w14:val="tx1"/>
                  </w14:solidFill>
                </w14:textFill>
              </w:rPr>
              <w:t>相符性分析</w:t>
            </w:r>
            <w:r>
              <w:rPr>
                <w:rFonts w:hint="default" w:ascii="Times New Roman" w:hAnsi="Times New Roman" w:cs="Times New Roman"/>
                <w:b/>
                <w:color w:val="000000" w:themeColor="text1"/>
                <w:sz w:val="24"/>
                <w:szCs w:val="24"/>
                <w:u w:val="none"/>
                <w:lang w:val="en-US" w:eastAsia="zh-CN"/>
                <w14:textFill>
                  <w14:solidFill>
                    <w14:schemeClr w14:val="tx1"/>
                  </w14:solidFill>
                </w14:textFill>
              </w:rPr>
              <w:t>一览</w:t>
            </w:r>
            <w:r>
              <w:rPr>
                <w:rFonts w:hint="default" w:ascii="Times New Roman" w:hAnsi="Times New Roman" w:cs="Times New Roman"/>
                <w:b/>
                <w:color w:val="000000" w:themeColor="text1"/>
                <w:sz w:val="24"/>
                <w:szCs w:val="24"/>
                <w:u w:val="none"/>
                <w14:textFill>
                  <w14:solidFill>
                    <w14:schemeClr w14:val="tx1"/>
                  </w14:solidFill>
                </w14:textFill>
              </w:rPr>
              <w:t>表</w:t>
            </w:r>
          </w:p>
          <w:tbl>
            <w:tblPr>
              <w:tblStyle w:val="29"/>
              <w:tblW w:w="4999" w:type="pct"/>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518"/>
              <w:gridCol w:w="525"/>
              <w:gridCol w:w="3414"/>
              <w:gridCol w:w="2896"/>
              <w:gridCol w:w="772"/>
            </w:tblGrid>
            <w:tr w14:paraId="5F4FF5E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tblHeader/>
              </w:trPr>
              <w:tc>
                <w:tcPr>
                  <w:tcW w:w="642" w:type="pct"/>
                  <w:gridSpan w:val="2"/>
                  <w:vAlign w:val="center"/>
                </w:tcPr>
                <w:p w14:paraId="3FAFD051">
                  <w:pPr>
                    <w:pStyle w:val="36"/>
                    <w:bidi w:val="0"/>
                    <w:rPr>
                      <w:rFonts w:hint="default"/>
                      <w:b w:val="0"/>
                      <w:bCs/>
                    </w:rPr>
                  </w:pPr>
                  <w:r>
                    <w:rPr>
                      <w:rFonts w:hint="default"/>
                      <w:b w:val="0"/>
                      <w:bCs/>
                      <w:lang w:val="en-US" w:eastAsia="zh-CN"/>
                    </w:rPr>
                    <w:t>引领性</w:t>
                  </w:r>
                  <w:r>
                    <w:rPr>
                      <w:rFonts w:hint="default"/>
                      <w:b w:val="0"/>
                      <w:bCs/>
                    </w:rPr>
                    <w:t>指标</w:t>
                  </w:r>
                </w:p>
              </w:tc>
              <w:tc>
                <w:tcPr>
                  <w:tcW w:w="2101" w:type="pct"/>
                  <w:vAlign w:val="center"/>
                </w:tcPr>
                <w:p w14:paraId="0EAB0295">
                  <w:pPr>
                    <w:pStyle w:val="36"/>
                    <w:bidi w:val="0"/>
                    <w:rPr>
                      <w:rFonts w:hint="default"/>
                      <w:b w:val="0"/>
                      <w:bCs/>
                    </w:rPr>
                  </w:pPr>
                  <w:r>
                    <w:rPr>
                      <w:rFonts w:hint="default"/>
                      <w:b w:val="0"/>
                      <w:bCs/>
                    </w:rPr>
                    <w:t>指标</w:t>
                  </w:r>
                </w:p>
              </w:tc>
              <w:tc>
                <w:tcPr>
                  <w:tcW w:w="1782" w:type="pct"/>
                  <w:vAlign w:val="center"/>
                </w:tcPr>
                <w:p w14:paraId="0C13369E">
                  <w:pPr>
                    <w:pStyle w:val="36"/>
                    <w:bidi w:val="0"/>
                    <w:rPr>
                      <w:rFonts w:hint="default"/>
                      <w:b w:val="0"/>
                      <w:bCs/>
                    </w:rPr>
                  </w:pPr>
                  <w:r>
                    <w:rPr>
                      <w:rFonts w:hint="default"/>
                      <w:b w:val="0"/>
                      <w:bCs/>
                    </w:rPr>
                    <w:t>企业对标情况</w:t>
                  </w:r>
                </w:p>
              </w:tc>
              <w:tc>
                <w:tcPr>
                  <w:tcW w:w="473" w:type="pct"/>
                  <w:vAlign w:val="center"/>
                </w:tcPr>
                <w:p w14:paraId="6B59C6B3">
                  <w:pPr>
                    <w:pStyle w:val="36"/>
                    <w:bidi w:val="0"/>
                    <w:rPr>
                      <w:rFonts w:hint="default"/>
                      <w:b w:val="0"/>
                      <w:bCs/>
                    </w:rPr>
                  </w:pPr>
                  <w:r>
                    <w:rPr>
                      <w:rFonts w:hint="default"/>
                      <w:b w:val="0"/>
                      <w:bCs/>
                    </w:rPr>
                    <w:t>相符性</w:t>
                  </w:r>
                </w:p>
              </w:tc>
            </w:tr>
            <w:tr w14:paraId="158A937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tblHeader/>
              </w:trPr>
              <w:tc>
                <w:tcPr>
                  <w:tcW w:w="5000" w:type="pct"/>
                  <w:gridSpan w:val="5"/>
                  <w:vAlign w:val="center"/>
                </w:tcPr>
                <w:p w14:paraId="5B499941">
                  <w:pPr>
                    <w:pStyle w:val="36"/>
                    <w:bidi w:val="0"/>
                    <w:rPr>
                      <w:rFonts w:hint="default"/>
                      <w:b w:val="0"/>
                      <w:bCs/>
                    </w:rPr>
                  </w:pPr>
                  <w:r>
                    <w:rPr>
                      <w:rFonts w:hint="default"/>
                      <w:b w:val="0"/>
                      <w:bCs/>
                    </w:rPr>
                    <w:t>一、</w:t>
                  </w:r>
                  <w:r>
                    <w:rPr>
                      <w:rFonts w:hint="default"/>
                      <w:b w:val="0"/>
                      <w:bCs/>
                      <w:lang w:val="en-US" w:eastAsia="zh-CN"/>
                    </w:rPr>
                    <w:t>通用</w:t>
                  </w:r>
                  <w:r>
                    <w:rPr>
                      <w:rFonts w:hint="default"/>
                      <w:b w:val="0"/>
                      <w:bCs/>
                    </w:rPr>
                    <w:t>涉</w:t>
                  </w:r>
                  <w:r>
                    <w:rPr>
                      <w:rFonts w:hint="default"/>
                      <w:b w:val="0"/>
                      <w:bCs/>
                      <w:lang w:val="en-US" w:eastAsia="zh-CN"/>
                    </w:rPr>
                    <w:t>PM</w:t>
                  </w:r>
                  <w:r>
                    <w:rPr>
                      <w:rFonts w:hint="default"/>
                      <w:b w:val="0"/>
                      <w:bCs/>
                    </w:rPr>
                    <w:t>企业</w:t>
                  </w:r>
                </w:p>
              </w:tc>
            </w:tr>
            <w:tr w14:paraId="31AA0D2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642" w:type="pct"/>
                  <w:gridSpan w:val="2"/>
                  <w:vAlign w:val="center"/>
                </w:tcPr>
                <w:p w14:paraId="1D9EC8DC">
                  <w:pPr>
                    <w:pStyle w:val="36"/>
                    <w:bidi w:val="0"/>
                    <w:rPr>
                      <w:rFonts w:hint="default"/>
                      <w:b w:val="0"/>
                      <w:bCs/>
                      <w:lang w:val="en-US" w:eastAsia="zh-CN"/>
                    </w:rPr>
                  </w:pPr>
                  <w:r>
                    <w:rPr>
                      <w:rFonts w:hint="default"/>
                      <w:b w:val="0"/>
                      <w:bCs/>
                      <w:lang w:val="en-US" w:eastAsia="zh-CN"/>
                    </w:rPr>
                    <w:t>生产工艺和装备</w:t>
                  </w:r>
                </w:p>
              </w:tc>
              <w:tc>
                <w:tcPr>
                  <w:tcW w:w="2101" w:type="pct"/>
                  <w:vAlign w:val="center"/>
                </w:tcPr>
                <w:p w14:paraId="36A20ADD">
                  <w:pPr>
                    <w:pStyle w:val="36"/>
                    <w:bidi w:val="0"/>
                    <w:jc w:val="both"/>
                    <w:rPr>
                      <w:rFonts w:hint="default"/>
                      <w:b w:val="0"/>
                      <w:bCs/>
                      <w:lang w:val="en-US" w:eastAsia="zh-CN"/>
                    </w:rPr>
                  </w:pPr>
                  <w:r>
                    <w:rPr>
                      <w:rFonts w:hint="default"/>
                      <w:b w:val="0"/>
                      <w:bCs/>
                      <w:lang w:val="en-US" w:eastAsia="zh-CN"/>
                    </w:rPr>
                    <w:t>不属于《产业结构调整指导目录（2024年版）》淘汰类，不属于省级和市级政府部门明确列入已经限期淘汰类项目。</w:t>
                  </w:r>
                </w:p>
              </w:tc>
              <w:tc>
                <w:tcPr>
                  <w:tcW w:w="1782" w:type="pct"/>
                  <w:vAlign w:val="center"/>
                </w:tcPr>
                <w:p w14:paraId="1076272E">
                  <w:pPr>
                    <w:pStyle w:val="36"/>
                    <w:bidi w:val="0"/>
                    <w:jc w:val="both"/>
                    <w:rPr>
                      <w:rFonts w:hint="default"/>
                      <w:b w:val="0"/>
                      <w:bCs/>
                      <w:lang w:val="en-US" w:eastAsia="zh-CN"/>
                    </w:rPr>
                  </w:pPr>
                  <w:r>
                    <w:rPr>
                      <w:rFonts w:hint="default"/>
                      <w:b w:val="0"/>
                      <w:bCs/>
                      <w:lang w:val="en-US" w:eastAsia="zh-CN"/>
                    </w:rPr>
                    <w:t>对比《产业结构调整指导目录（2024年版）》，属于</w:t>
                  </w:r>
                  <w:r>
                    <w:rPr>
                      <w:rFonts w:hint="eastAsia"/>
                      <w:b w:val="0"/>
                      <w:bCs/>
                      <w:lang w:val="en-US" w:eastAsia="zh-CN"/>
                    </w:rPr>
                    <w:t>鼓励</w:t>
                  </w:r>
                  <w:r>
                    <w:rPr>
                      <w:rFonts w:hint="default"/>
                      <w:b w:val="0"/>
                      <w:bCs/>
                      <w:lang w:val="en-US" w:eastAsia="zh-CN"/>
                    </w:rPr>
                    <w:t>类，且不属于省级和市级政府部门明确列入已经限期淘汰类项目。因此符合产业政策要求。</w:t>
                  </w:r>
                </w:p>
              </w:tc>
              <w:tc>
                <w:tcPr>
                  <w:tcW w:w="473" w:type="pct"/>
                  <w:vAlign w:val="center"/>
                </w:tcPr>
                <w:p w14:paraId="6F5E9669">
                  <w:pPr>
                    <w:pStyle w:val="36"/>
                    <w:bidi w:val="0"/>
                    <w:rPr>
                      <w:rFonts w:hint="default"/>
                      <w:b w:val="0"/>
                      <w:bCs/>
                      <w:lang w:val="en-US" w:eastAsia="zh-CN"/>
                    </w:rPr>
                  </w:pPr>
                  <w:r>
                    <w:rPr>
                      <w:rFonts w:hint="default"/>
                      <w:b w:val="0"/>
                      <w:bCs/>
                      <w:lang w:val="en-US" w:eastAsia="zh-CN"/>
                    </w:rPr>
                    <w:t>符合</w:t>
                  </w:r>
                </w:p>
              </w:tc>
            </w:tr>
            <w:tr w14:paraId="390EDCA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642" w:type="pct"/>
                  <w:gridSpan w:val="2"/>
                  <w:vAlign w:val="center"/>
                </w:tcPr>
                <w:p w14:paraId="0BE5F582">
                  <w:pPr>
                    <w:pStyle w:val="36"/>
                    <w:bidi w:val="0"/>
                    <w:rPr>
                      <w:rFonts w:hint="default"/>
                      <w:b w:val="0"/>
                      <w:bCs/>
                      <w:lang w:val="en-US" w:eastAsia="zh-CN"/>
                    </w:rPr>
                  </w:pPr>
                  <w:r>
                    <w:rPr>
                      <w:rFonts w:hint="default"/>
                      <w:b w:val="0"/>
                      <w:bCs/>
                    </w:rPr>
                    <w:t>物料装卸</w:t>
                  </w:r>
                </w:p>
              </w:tc>
              <w:tc>
                <w:tcPr>
                  <w:tcW w:w="2101" w:type="pct"/>
                  <w:vAlign w:val="center"/>
                </w:tcPr>
                <w:p w14:paraId="710A740D">
                  <w:pPr>
                    <w:pStyle w:val="36"/>
                    <w:bidi w:val="0"/>
                    <w:jc w:val="both"/>
                    <w:rPr>
                      <w:rFonts w:hint="default"/>
                      <w:b w:val="0"/>
                      <w:bCs/>
                      <w:lang w:eastAsia="zh-CN"/>
                    </w:rPr>
                  </w:pPr>
                  <w:r>
                    <w:rPr>
                      <w:rFonts w:hint="default"/>
                      <w:b w:val="0"/>
                      <w:bCs/>
                      <w:lang w:val="en-US" w:eastAsia="zh-CN"/>
                    </w:rPr>
                    <w:t>1.</w:t>
                  </w:r>
                  <w:r>
                    <w:rPr>
                      <w:rFonts w:hint="default"/>
                      <w:b w:val="0"/>
                      <w:bCs/>
                    </w:rPr>
                    <w:t>车辆运输的物料应采取封闭措施。粉状、粒状、块状散装物料在封闭料场内装卸，装卸过程中产尘点应设置集气除尘装置，料堆应采取有效抑尘措施</w:t>
                  </w:r>
                  <w:r>
                    <w:rPr>
                      <w:rFonts w:hint="default"/>
                      <w:b w:val="0"/>
                      <w:bCs/>
                      <w:lang w:eastAsia="zh-CN"/>
                    </w:rPr>
                    <w:t>；</w:t>
                  </w:r>
                </w:p>
                <w:p w14:paraId="495E2A2F">
                  <w:pPr>
                    <w:pStyle w:val="36"/>
                    <w:bidi w:val="0"/>
                    <w:jc w:val="both"/>
                    <w:rPr>
                      <w:rFonts w:hint="default"/>
                      <w:b w:val="0"/>
                      <w:bCs/>
                      <w:lang w:val="en-US" w:eastAsia="zh-CN"/>
                    </w:rPr>
                  </w:pPr>
                  <w:r>
                    <w:rPr>
                      <w:rFonts w:hint="default"/>
                      <w:b w:val="0"/>
                      <w:bCs/>
                      <w:lang w:val="en-US" w:eastAsia="zh-CN"/>
                    </w:rPr>
                    <w:t>2.</w:t>
                  </w:r>
                  <w:r>
                    <w:rPr>
                      <w:rFonts w:hint="default"/>
                      <w:b w:val="0"/>
                      <w:bCs/>
                    </w:rPr>
                    <w:t>不易产尘的袋装物料宜在料棚中装卸，如需露天装卸应采取防止破袋及粉尘外逸措施。</w:t>
                  </w:r>
                </w:p>
              </w:tc>
              <w:tc>
                <w:tcPr>
                  <w:tcW w:w="1782" w:type="pct"/>
                  <w:shd w:val="clear" w:color="auto" w:fill="auto"/>
                  <w:vAlign w:val="center"/>
                </w:tcPr>
                <w:p w14:paraId="00CF1FE7">
                  <w:pPr>
                    <w:pStyle w:val="36"/>
                    <w:bidi w:val="0"/>
                    <w:jc w:val="both"/>
                    <w:rPr>
                      <w:rFonts w:hint="default"/>
                      <w:b w:val="0"/>
                      <w:bCs/>
                      <w:lang w:val="en-US" w:eastAsia="zh-CN"/>
                    </w:rPr>
                  </w:pPr>
                  <w:r>
                    <w:rPr>
                      <w:rFonts w:hint="default"/>
                      <w:b w:val="0"/>
                      <w:bCs/>
                      <w:lang w:val="en-US" w:eastAsia="zh-CN"/>
                    </w:rPr>
                    <w:t>1.</w:t>
                  </w:r>
                  <w:r>
                    <w:rPr>
                      <w:rFonts w:hint="default"/>
                      <w:b w:val="0"/>
                      <w:bCs/>
                    </w:rPr>
                    <w:t>项目</w:t>
                  </w:r>
                  <w:r>
                    <w:rPr>
                      <w:rFonts w:hint="eastAsia"/>
                      <w:b w:val="0"/>
                      <w:bCs/>
                      <w:highlight w:val="none"/>
                      <w:lang w:val="en-US" w:eastAsia="zh-CN"/>
                    </w:rPr>
                    <w:t>废木材、次小薪材</w:t>
                  </w:r>
                  <w:r>
                    <w:rPr>
                      <w:rFonts w:hint="default"/>
                      <w:b w:val="0"/>
                      <w:bCs/>
                      <w:lang w:val="en-US" w:eastAsia="zh-CN"/>
                    </w:rPr>
                    <w:t>不易产尘，存于封闭厂房内原料区</w:t>
                  </w:r>
                  <w:r>
                    <w:rPr>
                      <w:rFonts w:hint="default"/>
                      <w:b w:val="0"/>
                      <w:bCs/>
                    </w:rPr>
                    <w:t>。</w:t>
                  </w:r>
                  <w:r>
                    <w:rPr>
                      <w:rFonts w:hint="default"/>
                      <w:b w:val="0"/>
                      <w:bCs/>
                      <w:lang w:val="en-US" w:eastAsia="zh-CN"/>
                    </w:rPr>
                    <w:t>在堆存转运等过程中会有粉尘产生</w:t>
                  </w:r>
                  <w:r>
                    <w:rPr>
                      <w:rFonts w:hint="default"/>
                      <w:b w:val="0"/>
                      <w:bCs/>
                    </w:rPr>
                    <w:t>。</w:t>
                  </w:r>
                  <w:r>
                    <w:rPr>
                      <w:rFonts w:hint="default"/>
                      <w:b w:val="0"/>
                      <w:bCs/>
                      <w:lang w:val="en-US" w:eastAsia="zh-CN"/>
                    </w:rPr>
                    <w:t>车间密闭，颗粒物沉降后车间内无组织排放。同时要求规范操作，加强管理。减少无组织粉尘逸散。</w:t>
                  </w:r>
                </w:p>
              </w:tc>
              <w:tc>
                <w:tcPr>
                  <w:tcW w:w="473" w:type="pct"/>
                  <w:shd w:val="clear" w:color="auto" w:fill="auto"/>
                  <w:vAlign w:val="center"/>
                </w:tcPr>
                <w:p w14:paraId="2C4F0C8A">
                  <w:pPr>
                    <w:pStyle w:val="36"/>
                    <w:bidi w:val="0"/>
                    <w:rPr>
                      <w:rFonts w:hint="default"/>
                      <w:b w:val="0"/>
                      <w:bCs/>
                      <w:lang w:val="en-US" w:eastAsia="zh-CN"/>
                    </w:rPr>
                  </w:pPr>
                  <w:r>
                    <w:rPr>
                      <w:rFonts w:hint="default"/>
                      <w:b w:val="0"/>
                      <w:bCs/>
                    </w:rPr>
                    <w:t>相符</w:t>
                  </w:r>
                </w:p>
              </w:tc>
            </w:tr>
            <w:tr w14:paraId="1920F17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642" w:type="pct"/>
                  <w:gridSpan w:val="2"/>
                  <w:vAlign w:val="center"/>
                </w:tcPr>
                <w:p w14:paraId="7BA4CF66">
                  <w:pPr>
                    <w:pStyle w:val="36"/>
                    <w:bidi w:val="0"/>
                    <w:rPr>
                      <w:rFonts w:hint="default"/>
                      <w:b w:val="0"/>
                      <w:bCs/>
                    </w:rPr>
                  </w:pPr>
                  <w:r>
                    <w:rPr>
                      <w:rFonts w:hint="default"/>
                      <w:b w:val="0"/>
                      <w:bCs/>
                    </w:rPr>
                    <w:t>物料储存</w:t>
                  </w:r>
                </w:p>
              </w:tc>
              <w:tc>
                <w:tcPr>
                  <w:tcW w:w="2101" w:type="pct"/>
                  <w:vAlign w:val="center"/>
                </w:tcPr>
                <w:p w14:paraId="5DE258E5">
                  <w:pPr>
                    <w:pStyle w:val="36"/>
                    <w:bidi w:val="0"/>
                    <w:jc w:val="both"/>
                    <w:rPr>
                      <w:rFonts w:hint="default"/>
                      <w:b w:val="0"/>
                      <w:bCs/>
                    </w:rPr>
                  </w:pPr>
                  <w:r>
                    <w:rPr>
                      <w:rFonts w:hint="eastAsia"/>
                      <w:b w:val="0"/>
                      <w:bCs/>
                      <w:lang w:val="en-US" w:eastAsia="zh-CN"/>
                    </w:rPr>
                    <w:t>1.</w:t>
                  </w:r>
                  <w:r>
                    <w:rPr>
                      <w:rFonts w:hint="default"/>
                      <w:b w:val="0"/>
                      <w:bCs/>
                    </w:rPr>
                    <w:t>一般物料。粉状物料应储存于密闭/封闭料仓中；粒状、块状物料应储存于封闭料场中，并采取喷淋、清扫或其他有效抑尘措施；袋装物料应储存于封闭/半封闭料场中。封闭料场顶棚和四周围墙完整，料场内路面全部硬化，料场货物进出大门为硬质材料门或自动感应门，在确保安全的情况下，所有门窗保持常闭状态。不产尘物料（如钢材、管件）及产品如露天储存应在规定的存储区域码放整齐。</w:t>
                  </w:r>
                </w:p>
                <w:p w14:paraId="2ECF0583">
                  <w:pPr>
                    <w:pStyle w:val="36"/>
                    <w:bidi w:val="0"/>
                    <w:jc w:val="both"/>
                    <w:rPr>
                      <w:rFonts w:hint="default"/>
                      <w:b w:val="0"/>
                      <w:bCs/>
                    </w:rPr>
                  </w:pPr>
                  <w:r>
                    <w:rPr>
                      <w:rFonts w:hint="eastAsia"/>
                      <w:b w:val="0"/>
                      <w:bCs/>
                      <w:lang w:val="en-US" w:eastAsia="zh-CN"/>
                    </w:rPr>
                    <w:t>2.</w:t>
                  </w:r>
                  <w:r>
                    <w:rPr>
                      <w:rFonts w:hint="default"/>
                      <w:b w:val="0"/>
                      <w:bCs/>
                    </w:rPr>
                    <w:t>危险废物。应有符合规范要求的危险废物储存间，危险废物储存间门口应张贴标准规范的危险废物标识和危废信息板，建立台账并挂于危废间内，危险废物</w:t>
                  </w:r>
                  <w:r>
                    <w:rPr>
                      <w:rFonts w:hint="default"/>
                      <w:b w:val="0"/>
                      <w:bCs/>
                      <w:lang w:val="en-US" w:eastAsia="zh-CN"/>
                    </w:rPr>
                    <w:t>管理台账</w:t>
                  </w:r>
                  <w:r>
                    <w:rPr>
                      <w:rFonts w:hint="default"/>
                      <w:b w:val="0"/>
                      <w:bCs/>
                    </w:rPr>
                    <w:t>和</w:t>
                  </w:r>
                  <w:r>
                    <w:rPr>
                      <w:rFonts w:hint="default"/>
                      <w:b w:val="0"/>
                      <w:bCs/>
                      <w:lang w:val="en-US" w:eastAsia="zh-CN"/>
                    </w:rPr>
                    <w:t>危险废物转移情况信息表</w:t>
                  </w:r>
                  <w:r>
                    <w:rPr>
                      <w:rFonts w:hint="default"/>
                      <w:b w:val="0"/>
                      <w:bCs/>
                    </w:rPr>
                    <w:t>保存</w:t>
                  </w:r>
                  <w:r>
                    <w:rPr>
                      <w:rFonts w:hint="default"/>
                      <w:b w:val="0"/>
                      <w:bCs/>
                      <w:lang w:val="en-US" w:eastAsia="zh-CN"/>
                    </w:rPr>
                    <w:t>5</w:t>
                  </w:r>
                  <w:r>
                    <w:rPr>
                      <w:rFonts w:hint="default"/>
                      <w:b w:val="0"/>
                      <w:bCs/>
                    </w:rPr>
                    <w:t>年以上。危废间内禁止存放除危险废物和应急工具外的其他物品。</w:t>
                  </w:r>
                  <w:r>
                    <w:rPr>
                      <w:rFonts w:hint="default"/>
                      <w:b w:val="0"/>
                      <w:bCs/>
                      <w:lang w:val="en-US" w:eastAsia="zh-CN"/>
                    </w:rPr>
                    <w:t>涉及大气污染物排放的，应设置对应污染治理设施。</w:t>
                  </w:r>
                </w:p>
              </w:tc>
              <w:tc>
                <w:tcPr>
                  <w:tcW w:w="1782" w:type="pct"/>
                  <w:vAlign w:val="center"/>
                </w:tcPr>
                <w:p w14:paraId="3E9F1613">
                  <w:pPr>
                    <w:pStyle w:val="36"/>
                    <w:bidi w:val="0"/>
                    <w:jc w:val="both"/>
                    <w:rPr>
                      <w:rFonts w:hint="default"/>
                      <w:b w:val="0"/>
                      <w:bCs/>
                      <w:lang w:val="en-US" w:eastAsia="zh-CN"/>
                    </w:rPr>
                  </w:pPr>
                  <w:r>
                    <w:rPr>
                      <w:rFonts w:hint="default"/>
                      <w:b w:val="0"/>
                      <w:bCs/>
                      <w:lang w:val="en-US" w:eastAsia="zh-CN"/>
                    </w:rPr>
                    <w:t>1.</w:t>
                  </w:r>
                  <w:r>
                    <w:rPr>
                      <w:rFonts w:hint="default"/>
                      <w:b w:val="0"/>
                      <w:bCs/>
                    </w:rPr>
                    <w:t>项目</w:t>
                  </w:r>
                  <w:r>
                    <w:rPr>
                      <w:rFonts w:hint="eastAsia"/>
                      <w:b w:val="0"/>
                      <w:bCs/>
                      <w:highlight w:val="none"/>
                      <w:lang w:val="en-US" w:eastAsia="zh-CN"/>
                    </w:rPr>
                    <w:t>废木材、次小薪材</w:t>
                  </w:r>
                  <w:r>
                    <w:rPr>
                      <w:rFonts w:hint="default"/>
                      <w:b w:val="0"/>
                      <w:bCs/>
                      <w:lang w:val="en-US" w:eastAsia="zh-CN"/>
                    </w:rPr>
                    <w:t>不易产尘，存</w:t>
                  </w:r>
                  <w:r>
                    <w:rPr>
                      <w:rFonts w:hint="eastAsia"/>
                      <w:b w:val="0"/>
                      <w:bCs/>
                      <w:lang w:val="en-US" w:eastAsia="zh-CN"/>
                    </w:rPr>
                    <w:t>放</w:t>
                  </w:r>
                  <w:r>
                    <w:rPr>
                      <w:rFonts w:hint="default"/>
                      <w:b w:val="0"/>
                      <w:bCs/>
                      <w:lang w:val="en-US" w:eastAsia="zh-CN"/>
                    </w:rPr>
                    <w:t>于封闭厂房内原料区</w:t>
                  </w:r>
                  <w:r>
                    <w:rPr>
                      <w:rFonts w:hint="default"/>
                      <w:b w:val="0"/>
                      <w:bCs/>
                    </w:rPr>
                    <w:t>。</w:t>
                  </w:r>
                  <w:r>
                    <w:rPr>
                      <w:rFonts w:hint="default"/>
                      <w:b w:val="0"/>
                      <w:bCs/>
                      <w:lang w:val="en-US" w:eastAsia="zh-CN"/>
                    </w:rPr>
                    <w:t>在堆存转运等过程中会有粉尘产生</w:t>
                  </w:r>
                  <w:r>
                    <w:rPr>
                      <w:rFonts w:hint="default"/>
                      <w:b w:val="0"/>
                      <w:bCs/>
                    </w:rPr>
                    <w:t>。</w:t>
                  </w:r>
                  <w:r>
                    <w:rPr>
                      <w:rFonts w:hint="default"/>
                      <w:b w:val="0"/>
                      <w:bCs/>
                      <w:lang w:val="en-US" w:eastAsia="zh-CN"/>
                    </w:rPr>
                    <w:t>车间密闭，颗粒物沉降后车间内无组织排放。同时要求规范操作，加强管理。减少无组织粉尘逸散。项目固废均采用相应的防治措施。</w:t>
                  </w:r>
                </w:p>
                <w:p w14:paraId="75A4E174">
                  <w:pPr>
                    <w:pStyle w:val="36"/>
                    <w:bidi w:val="0"/>
                    <w:jc w:val="both"/>
                    <w:rPr>
                      <w:rFonts w:hint="default"/>
                      <w:b w:val="0"/>
                      <w:bCs/>
                      <w:lang w:val="en-US" w:eastAsia="zh-CN"/>
                    </w:rPr>
                  </w:pPr>
                  <w:r>
                    <w:rPr>
                      <w:rFonts w:hint="default"/>
                      <w:b w:val="0"/>
                      <w:bCs/>
                      <w:lang w:val="en-US" w:eastAsia="zh-CN"/>
                    </w:rPr>
                    <w:t>2.本项目不涉及危险废物。</w:t>
                  </w:r>
                </w:p>
              </w:tc>
              <w:tc>
                <w:tcPr>
                  <w:tcW w:w="473" w:type="pct"/>
                  <w:vAlign w:val="center"/>
                </w:tcPr>
                <w:p w14:paraId="01A4B6DC">
                  <w:pPr>
                    <w:pStyle w:val="36"/>
                    <w:bidi w:val="0"/>
                    <w:rPr>
                      <w:rFonts w:hint="default"/>
                      <w:b w:val="0"/>
                      <w:bCs/>
                    </w:rPr>
                  </w:pPr>
                  <w:r>
                    <w:rPr>
                      <w:rFonts w:hint="default"/>
                      <w:b w:val="0"/>
                      <w:bCs/>
                    </w:rPr>
                    <w:t>相符</w:t>
                  </w:r>
                </w:p>
              </w:tc>
            </w:tr>
            <w:tr w14:paraId="66C037B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642" w:type="pct"/>
                  <w:gridSpan w:val="2"/>
                  <w:vAlign w:val="center"/>
                </w:tcPr>
                <w:p w14:paraId="1F7E6665">
                  <w:pPr>
                    <w:pStyle w:val="36"/>
                    <w:bidi w:val="0"/>
                    <w:rPr>
                      <w:rFonts w:hint="default"/>
                      <w:b w:val="0"/>
                      <w:bCs/>
                    </w:rPr>
                  </w:pPr>
                  <w:r>
                    <w:rPr>
                      <w:rFonts w:hint="default"/>
                      <w:b w:val="0"/>
                      <w:bCs/>
                    </w:rPr>
                    <w:t>物料转移和输送</w:t>
                  </w:r>
                </w:p>
              </w:tc>
              <w:tc>
                <w:tcPr>
                  <w:tcW w:w="2101" w:type="pct"/>
                  <w:vAlign w:val="center"/>
                </w:tcPr>
                <w:p w14:paraId="195D9804">
                  <w:pPr>
                    <w:pStyle w:val="36"/>
                    <w:bidi w:val="0"/>
                    <w:jc w:val="both"/>
                    <w:rPr>
                      <w:rFonts w:hint="default"/>
                      <w:b w:val="0"/>
                      <w:bCs/>
                    </w:rPr>
                  </w:pPr>
                  <w:r>
                    <w:rPr>
                      <w:rFonts w:hint="default"/>
                      <w:b w:val="0"/>
                      <w:bCs/>
                      <w:lang w:val="en-US" w:eastAsia="zh-CN"/>
                    </w:rPr>
                    <w:t>1.</w:t>
                  </w:r>
                  <w:r>
                    <w:rPr>
                      <w:rFonts w:hint="default"/>
                      <w:b w:val="0"/>
                      <w:bCs/>
                    </w:rPr>
                    <w:t>粉状、粒状等易产尘物料厂内转移、输送过程应采用气力输送、密闭输送，块状和粘湿粉状物料采用封闭输送；</w:t>
                  </w:r>
                </w:p>
                <w:p w14:paraId="67E7CBF6">
                  <w:pPr>
                    <w:pStyle w:val="36"/>
                    <w:bidi w:val="0"/>
                    <w:jc w:val="both"/>
                    <w:rPr>
                      <w:rFonts w:hint="default"/>
                      <w:b w:val="0"/>
                      <w:bCs/>
                    </w:rPr>
                  </w:pPr>
                  <w:r>
                    <w:rPr>
                      <w:rFonts w:hint="default"/>
                      <w:b w:val="0"/>
                      <w:bCs/>
                      <w:lang w:val="en-US" w:eastAsia="zh-CN"/>
                    </w:rPr>
                    <w:t>2.无</w:t>
                  </w:r>
                  <w:r>
                    <w:rPr>
                      <w:rFonts w:hint="default"/>
                      <w:b w:val="0"/>
                      <w:bCs/>
                    </w:rPr>
                    <w:t>法封闭的产尘点（物料转载、下料口等）应采取集气除尘措施，或有效抑尘措施。</w:t>
                  </w:r>
                </w:p>
              </w:tc>
              <w:tc>
                <w:tcPr>
                  <w:tcW w:w="1782" w:type="pct"/>
                  <w:vAlign w:val="center"/>
                </w:tcPr>
                <w:p w14:paraId="4FEBA0A2">
                  <w:pPr>
                    <w:pStyle w:val="36"/>
                    <w:bidi w:val="0"/>
                    <w:jc w:val="both"/>
                    <w:rPr>
                      <w:rFonts w:hint="default"/>
                      <w:b w:val="0"/>
                      <w:bCs/>
                    </w:rPr>
                  </w:pPr>
                  <w:r>
                    <w:rPr>
                      <w:rFonts w:hint="default"/>
                      <w:b w:val="0"/>
                      <w:bCs/>
                      <w:lang w:val="en-US" w:eastAsia="zh-CN"/>
                    </w:rPr>
                    <w:t>1.</w:t>
                  </w:r>
                  <w:r>
                    <w:rPr>
                      <w:rFonts w:hint="default"/>
                      <w:b w:val="0"/>
                      <w:bCs/>
                    </w:rPr>
                    <w:t>项目</w:t>
                  </w:r>
                  <w:r>
                    <w:rPr>
                      <w:rFonts w:hint="eastAsia"/>
                      <w:b w:val="0"/>
                      <w:bCs/>
                      <w:highlight w:val="none"/>
                      <w:lang w:val="en-US" w:eastAsia="zh-CN"/>
                    </w:rPr>
                    <w:t>废木材、次小薪材</w:t>
                  </w:r>
                  <w:r>
                    <w:rPr>
                      <w:rFonts w:hint="default"/>
                      <w:b w:val="0"/>
                      <w:bCs/>
                      <w:lang w:val="en-US" w:eastAsia="zh-CN"/>
                    </w:rPr>
                    <w:t>不易产尘，存</w:t>
                  </w:r>
                  <w:r>
                    <w:rPr>
                      <w:rFonts w:hint="eastAsia"/>
                      <w:b w:val="0"/>
                      <w:bCs/>
                      <w:lang w:val="en-US" w:eastAsia="zh-CN"/>
                    </w:rPr>
                    <w:t>放</w:t>
                  </w:r>
                  <w:r>
                    <w:rPr>
                      <w:rFonts w:hint="default"/>
                      <w:b w:val="0"/>
                      <w:bCs/>
                      <w:lang w:val="en-US" w:eastAsia="zh-CN"/>
                    </w:rPr>
                    <w:t>于封闭厂房内原料区</w:t>
                  </w:r>
                  <w:r>
                    <w:rPr>
                      <w:rFonts w:hint="default"/>
                      <w:b w:val="0"/>
                      <w:bCs/>
                    </w:rPr>
                    <w:t>。</w:t>
                  </w:r>
                  <w:r>
                    <w:rPr>
                      <w:rFonts w:hint="default"/>
                      <w:b w:val="0"/>
                      <w:bCs/>
                      <w:lang w:val="en-US" w:eastAsia="zh-CN"/>
                    </w:rPr>
                    <w:t>在堆存转运等过程中会有粉尘产生</w:t>
                  </w:r>
                  <w:r>
                    <w:rPr>
                      <w:rFonts w:hint="default"/>
                      <w:b w:val="0"/>
                      <w:bCs/>
                    </w:rPr>
                    <w:t>。</w:t>
                  </w:r>
                  <w:r>
                    <w:rPr>
                      <w:rFonts w:hint="default"/>
                      <w:b w:val="0"/>
                      <w:bCs/>
                      <w:lang w:val="en-US" w:eastAsia="zh-CN"/>
                    </w:rPr>
                    <w:t>车间密闭，颗粒物沉降后车间内无组织排放。同时要求规范操作，加强管理。减少无组织粉尘逸散。项目固废均采用相应的防治措施。同时要求规范操作，加强管理。减少无组织粉尘逸散。</w:t>
                  </w:r>
                </w:p>
              </w:tc>
              <w:tc>
                <w:tcPr>
                  <w:tcW w:w="473" w:type="pct"/>
                  <w:vAlign w:val="center"/>
                </w:tcPr>
                <w:p w14:paraId="7949AD57">
                  <w:pPr>
                    <w:pStyle w:val="36"/>
                    <w:bidi w:val="0"/>
                    <w:rPr>
                      <w:rFonts w:hint="default"/>
                      <w:b w:val="0"/>
                      <w:bCs/>
                    </w:rPr>
                  </w:pPr>
                  <w:r>
                    <w:rPr>
                      <w:rFonts w:hint="default"/>
                      <w:b w:val="0"/>
                      <w:bCs/>
                    </w:rPr>
                    <w:t>相符</w:t>
                  </w:r>
                </w:p>
              </w:tc>
            </w:tr>
            <w:tr w14:paraId="60E0876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642" w:type="pct"/>
                  <w:gridSpan w:val="2"/>
                  <w:shd w:val="clear" w:color="auto" w:fill="auto"/>
                  <w:vAlign w:val="center"/>
                </w:tcPr>
                <w:p w14:paraId="58FFF029">
                  <w:pPr>
                    <w:pStyle w:val="36"/>
                    <w:bidi w:val="0"/>
                    <w:rPr>
                      <w:rFonts w:hint="default"/>
                      <w:b w:val="0"/>
                      <w:bCs/>
                    </w:rPr>
                  </w:pPr>
                  <w:r>
                    <w:rPr>
                      <w:rFonts w:hint="default"/>
                      <w:b w:val="0"/>
                      <w:bCs/>
                    </w:rPr>
                    <w:t>工艺</w:t>
                  </w:r>
                </w:p>
                <w:p w14:paraId="21F4D9AE">
                  <w:pPr>
                    <w:pStyle w:val="36"/>
                    <w:bidi w:val="0"/>
                    <w:rPr>
                      <w:rFonts w:hint="default"/>
                      <w:b w:val="0"/>
                      <w:bCs/>
                      <w:lang w:val="en-US" w:eastAsia="zh-CN"/>
                    </w:rPr>
                  </w:pPr>
                  <w:r>
                    <w:rPr>
                      <w:rFonts w:hint="default"/>
                      <w:b w:val="0"/>
                      <w:bCs/>
                    </w:rPr>
                    <w:t>过程</w:t>
                  </w:r>
                </w:p>
              </w:tc>
              <w:tc>
                <w:tcPr>
                  <w:tcW w:w="2101" w:type="pct"/>
                  <w:shd w:val="clear" w:color="auto" w:fill="auto"/>
                  <w:vAlign w:val="center"/>
                </w:tcPr>
                <w:p w14:paraId="1B3F2D52">
                  <w:pPr>
                    <w:pStyle w:val="36"/>
                    <w:bidi w:val="0"/>
                    <w:jc w:val="both"/>
                    <w:rPr>
                      <w:rFonts w:hint="default"/>
                      <w:b w:val="0"/>
                      <w:bCs/>
                    </w:rPr>
                  </w:pPr>
                  <w:r>
                    <w:rPr>
                      <w:rFonts w:hint="default"/>
                      <w:b w:val="0"/>
                      <w:bCs/>
                      <w:lang w:val="en-US" w:eastAsia="zh-CN"/>
                    </w:rPr>
                    <w:t>1.</w:t>
                  </w:r>
                  <w:r>
                    <w:rPr>
                      <w:rFonts w:hint="default"/>
                      <w:b w:val="0"/>
                      <w:bCs/>
                    </w:rPr>
                    <w:t>各种物料破碎、筛分、配料、混料等过程应在封闭厂房内进行，并采取收尘/抑尘措施。</w:t>
                  </w:r>
                </w:p>
                <w:p w14:paraId="0BC80C7C">
                  <w:pPr>
                    <w:pStyle w:val="36"/>
                    <w:bidi w:val="0"/>
                    <w:jc w:val="both"/>
                    <w:rPr>
                      <w:rFonts w:hint="default"/>
                      <w:b w:val="0"/>
                      <w:bCs/>
                      <w:lang w:val="en-US" w:eastAsia="zh-CN"/>
                    </w:rPr>
                  </w:pPr>
                  <w:r>
                    <w:rPr>
                      <w:rFonts w:hint="default"/>
                      <w:b w:val="0"/>
                      <w:bCs/>
                      <w:lang w:val="en-US" w:eastAsia="zh-CN"/>
                    </w:rPr>
                    <w:t>2.</w:t>
                  </w:r>
                  <w:r>
                    <w:rPr>
                      <w:rFonts w:hint="default"/>
                      <w:b w:val="0"/>
                      <w:bCs/>
                    </w:rPr>
                    <w:t>破碎筛分设备在进、出料口和配料混料过程等产尘点应设置集气除尘设施。</w:t>
                  </w:r>
                </w:p>
              </w:tc>
              <w:tc>
                <w:tcPr>
                  <w:tcW w:w="1782" w:type="pct"/>
                  <w:shd w:val="clear" w:color="auto" w:fill="auto"/>
                  <w:vAlign w:val="center"/>
                </w:tcPr>
                <w:p w14:paraId="06634E0A">
                  <w:pPr>
                    <w:pStyle w:val="36"/>
                    <w:bidi w:val="0"/>
                    <w:jc w:val="both"/>
                    <w:rPr>
                      <w:rFonts w:hint="default"/>
                      <w:b w:val="0"/>
                      <w:bCs/>
                      <w:lang w:val="en-US" w:eastAsia="zh-CN"/>
                    </w:rPr>
                  </w:pPr>
                  <w:r>
                    <w:rPr>
                      <w:rFonts w:hint="default"/>
                      <w:b w:val="0"/>
                      <w:bCs/>
                      <w:lang w:val="en-US" w:eastAsia="zh-CN"/>
                    </w:rPr>
                    <w:t>破碎、筛分等过程均在封闭厂房内进行，且各产尘工序配置相应的废气收集措施引至除尘器处理</w:t>
                  </w:r>
                  <w:r>
                    <w:rPr>
                      <w:rFonts w:hint="default"/>
                      <w:b w:val="0"/>
                      <w:bCs/>
                    </w:rPr>
                    <w:t>。</w:t>
                  </w:r>
                </w:p>
              </w:tc>
              <w:tc>
                <w:tcPr>
                  <w:tcW w:w="473" w:type="pct"/>
                  <w:shd w:val="clear" w:color="auto" w:fill="auto"/>
                  <w:vAlign w:val="center"/>
                </w:tcPr>
                <w:p w14:paraId="3B1DA796">
                  <w:pPr>
                    <w:pStyle w:val="36"/>
                    <w:bidi w:val="0"/>
                    <w:rPr>
                      <w:rFonts w:hint="default"/>
                      <w:b w:val="0"/>
                      <w:bCs/>
                      <w:lang w:val="en-US" w:eastAsia="zh-CN"/>
                    </w:rPr>
                  </w:pPr>
                  <w:r>
                    <w:rPr>
                      <w:rFonts w:hint="default"/>
                      <w:b w:val="0"/>
                      <w:bCs/>
                    </w:rPr>
                    <w:t>相符</w:t>
                  </w:r>
                </w:p>
              </w:tc>
            </w:tr>
            <w:tr w14:paraId="09B5A18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642" w:type="pct"/>
                  <w:gridSpan w:val="2"/>
                  <w:vAlign w:val="center"/>
                </w:tcPr>
                <w:p w14:paraId="1DC7140B">
                  <w:pPr>
                    <w:pStyle w:val="36"/>
                    <w:bidi w:val="0"/>
                    <w:rPr>
                      <w:rFonts w:hint="default"/>
                      <w:b w:val="0"/>
                      <w:bCs/>
                    </w:rPr>
                  </w:pPr>
                  <w:r>
                    <w:rPr>
                      <w:rFonts w:hint="default"/>
                      <w:b w:val="0"/>
                      <w:bCs/>
                    </w:rPr>
                    <w:t>成品</w:t>
                  </w:r>
                </w:p>
                <w:p w14:paraId="377E53B2">
                  <w:pPr>
                    <w:pStyle w:val="36"/>
                    <w:bidi w:val="0"/>
                    <w:rPr>
                      <w:rFonts w:hint="default"/>
                      <w:b w:val="0"/>
                      <w:bCs/>
                    </w:rPr>
                  </w:pPr>
                  <w:r>
                    <w:rPr>
                      <w:rFonts w:hint="default"/>
                      <w:b w:val="0"/>
                      <w:bCs/>
                    </w:rPr>
                    <w:t>包装</w:t>
                  </w:r>
                </w:p>
              </w:tc>
              <w:tc>
                <w:tcPr>
                  <w:tcW w:w="2101" w:type="pct"/>
                  <w:vAlign w:val="center"/>
                </w:tcPr>
                <w:p w14:paraId="3EE1FE2F">
                  <w:pPr>
                    <w:pStyle w:val="36"/>
                    <w:bidi w:val="0"/>
                    <w:jc w:val="both"/>
                    <w:rPr>
                      <w:rFonts w:hint="default"/>
                      <w:b w:val="0"/>
                      <w:bCs/>
                      <w:lang w:val="en-US" w:eastAsia="zh-CN"/>
                    </w:rPr>
                  </w:pPr>
                  <w:r>
                    <w:rPr>
                      <w:rFonts w:hint="default"/>
                      <w:b w:val="0"/>
                      <w:bCs/>
                      <w:lang w:val="en-US" w:eastAsia="zh-CN"/>
                    </w:rPr>
                    <w:t>1.粉状、粒装产品包装卸料口应完全封闭，如不能封闭应采取局部集齐除尘措施。卸料口地面应及时清扫，地面无明显积尘；</w:t>
                  </w:r>
                </w:p>
                <w:p w14:paraId="057A2916">
                  <w:pPr>
                    <w:pStyle w:val="36"/>
                    <w:bidi w:val="0"/>
                    <w:jc w:val="both"/>
                    <w:rPr>
                      <w:rFonts w:hint="default"/>
                      <w:b w:val="0"/>
                      <w:bCs/>
                      <w:lang w:val="en-US" w:eastAsia="zh-CN"/>
                    </w:rPr>
                  </w:pPr>
                  <w:r>
                    <w:rPr>
                      <w:rFonts w:hint="default"/>
                      <w:b w:val="0"/>
                      <w:bCs/>
                      <w:lang w:val="en-US" w:eastAsia="zh-CN"/>
                    </w:rPr>
                    <w:t>2.各生产工序的车间地面干净，无</w:t>
                  </w:r>
                  <w:r>
                    <w:rPr>
                      <w:rFonts w:hint="default"/>
                      <w:b w:val="0"/>
                      <w:bCs/>
                    </w:rPr>
                    <w:t>积料、积灰现象</w:t>
                  </w:r>
                  <w:r>
                    <w:rPr>
                      <w:rFonts w:hint="default"/>
                      <w:b w:val="0"/>
                      <w:bCs/>
                      <w:lang w:eastAsia="zh-CN"/>
                    </w:rPr>
                    <w:t>；</w:t>
                  </w:r>
                </w:p>
                <w:p w14:paraId="7D0C59FD">
                  <w:pPr>
                    <w:pStyle w:val="36"/>
                    <w:bidi w:val="0"/>
                    <w:jc w:val="both"/>
                    <w:rPr>
                      <w:rFonts w:hint="default"/>
                      <w:b w:val="0"/>
                      <w:bCs/>
                    </w:rPr>
                  </w:pPr>
                  <w:r>
                    <w:rPr>
                      <w:rFonts w:hint="default"/>
                      <w:b w:val="0"/>
                      <w:bCs/>
                      <w:lang w:val="en-US" w:eastAsia="zh-CN"/>
                    </w:rPr>
                    <w:t>3.</w:t>
                  </w:r>
                  <w:r>
                    <w:rPr>
                      <w:rFonts w:hint="default"/>
                      <w:b w:val="0"/>
                      <w:bCs/>
                    </w:rPr>
                    <w:t>生产车间不得有可见烟</w:t>
                  </w:r>
                  <w:r>
                    <w:rPr>
                      <w:rFonts w:hint="default"/>
                      <w:b w:val="0"/>
                      <w:bCs/>
                      <w:lang w:eastAsia="zh-CN"/>
                    </w:rPr>
                    <w:t>（</w:t>
                  </w:r>
                  <w:r>
                    <w:rPr>
                      <w:rFonts w:hint="default"/>
                      <w:b w:val="0"/>
                      <w:bCs/>
                    </w:rPr>
                    <w:t>粉</w:t>
                  </w:r>
                  <w:r>
                    <w:rPr>
                      <w:rFonts w:hint="default"/>
                      <w:b w:val="0"/>
                      <w:bCs/>
                      <w:lang w:eastAsia="zh-CN"/>
                    </w:rPr>
                    <w:t>）</w:t>
                  </w:r>
                  <w:r>
                    <w:rPr>
                      <w:rFonts w:hint="default"/>
                      <w:b w:val="0"/>
                      <w:bCs/>
                    </w:rPr>
                    <w:t>尘外逸。</w:t>
                  </w:r>
                </w:p>
              </w:tc>
              <w:tc>
                <w:tcPr>
                  <w:tcW w:w="1782" w:type="pct"/>
                  <w:vAlign w:val="center"/>
                </w:tcPr>
                <w:p w14:paraId="6611C9E0">
                  <w:pPr>
                    <w:pStyle w:val="36"/>
                    <w:bidi w:val="0"/>
                    <w:jc w:val="both"/>
                    <w:rPr>
                      <w:rFonts w:hint="default"/>
                      <w:b w:val="0"/>
                      <w:bCs/>
                      <w:lang w:val="en-US" w:eastAsia="zh-CN"/>
                    </w:rPr>
                  </w:pPr>
                  <w:r>
                    <w:rPr>
                      <w:rFonts w:hint="default"/>
                      <w:b w:val="0"/>
                      <w:bCs/>
                      <w:lang w:val="en-US" w:eastAsia="zh-CN"/>
                    </w:rPr>
                    <w:t>1.</w:t>
                  </w:r>
                  <w:r>
                    <w:rPr>
                      <w:rFonts w:hint="default"/>
                      <w:b w:val="0"/>
                      <w:bCs/>
                    </w:rPr>
                    <w:t>项目</w:t>
                  </w:r>
                  <w:r>
                    <w:rPr>
                      <w:rFonts w:hint="default"/>
                      <w:b w:val="0"/>
                      <w:bCs/>
                      <w:lang w:val="en-US" w:eastAsia="zh-CN"/>
                    </w:rPr>
                    <w:t>成品为生物质颗粒和机制炭，均不属于易产尘产品，地面及时清扫。同时要求规范操作，加强管理。减少无组织粉尘逸散。</w:t>
                  </w:r>
                </w:p>
                <w:p w14:paraId="024AFE37">
                  <w:pPr>
                    <w:pStyle w:val="36"/>
                    <w:bidi w:val="0"/>
                    <w:jc w:val="both"/>
                    <w:rPr>
                      <w:rFonts w:hint="default"/>
                      <w:b w:val="0"/>
                      <w:bCs/>
                      <w:lang w:val="en-US" w:eastAsia="zh-CN"/>
                    </w:rPr>
                  </w:pPr>
                  <w:r>
                    <w:rPr>
                      <w:rFonts w:hint="default"/>
                      <w:b w:val="0"/>
                      <w:bCs/>
                      <w:lang w:val="en-US" w:eastAsia="zh-CN"/>
                    </w:rPr>
                    <w:t>2.各生产工序车间及时清扫，确保无</w:t>
                  </w:r>
                  <w:r>
                    <w:rPr>
                      <w:rFonts w:hint="default"/>
                      <w:b w:val="0"/>
                      <w:bCs/>
                    </w:rPr>
                    <w:t>积料、积灰</w:t>
                  </w:r>
                  <w:r>
                    <w:rPr>
                      <w:rFonts w:hint="default"/>
                      <w:b w:val="0"/>
                      <w:bCs/>
                      <w:lang w:val="en-US" w:eastAsia="zh-CN"/>
                    </w:rPr>
                    <w:t>现象；</w:t>
                  </w:r>
                </w:p>
                <w:p w14:paraId="5FF8E679">
                  <w:pPr>
                    <w:pStyle w:val="36"/>
                    <w:bidi w:val="0"/>
                    <w:jc w:val="both"/>
                    <w:rPr>
                      <w:rFonts w:hint="default"/>
                      <w:b w:val="0"/>
                      <w:bCs/>
                      <w:lang w:val="en-US" w:eastAsia="zh-CN"/>
                    </w:rPr>
                  </w:pPr>
                  <w:r>
                    <w:rPr>
                      <w:rFonts w:hint="default"/>
                      <w:b w:val="0"/>
                      <w:bCs/>
                      <w:lang w:val="en-US" w:eastAsia="zh-CN"/>
                    </w:rPr>
                    <w:t>3.车间</w:t>
                  </w:r>
                  <w:r>
                    <w:rPr>
                      <w:rFonts w:hint="default"/>
                      <w:b w:val="0"/>
                      <w:bCs/>
                    </w:rPr>
                    <w:t>不得有可见烟</w:t>
                  </w:r>
                  <w:r>
                    <w:rPr>
                      <w:rFonts w:hint="default"/>
                      <w:b w:val="0"/>
                      <w:bCs/>
                      <w:lang w:eastAsia="zh-CN"/>
                    </w:rPr>
                    <w:t>（</w:t>
                  </w:r>
                  <w:r>
                    <w:rPr>
                      <w:rFonts w:hint="default"/>
                      <w:b w:val="0"/>
                      <w:bCs/>
                    </w:rPr>
                    <w:t>粉</w:t>
                  </w:r>
                  <w:r>
                    <w:rPr>
                      <w:rFonts w:hint="default"/>
                      <w:b w:val="0"/>
                      <w:bCs/>
                      <w:lang w:eastAsia="zh-CN"/>
                    </w:rPr>
                    <w:t>）</w:t>
                  </w:r>
                  <w:r>
                    <w:rPr>
                      <w:rFonts w:hint="default"/>
                      <w:b w:val="0"/>
                      <w:bCs/>
                    </w:rPr>
                    <w:t>尘外逸。</w:t>
                  </w:r>
                </w:p>
              </w:tc>
              <w:tc>
                <w:tcPr>
                  <w:tcW w:w="473" w:type="pct"/>
                  <w:vAlign w:val="center"/>
                </w:tcPr>
                <w:p w14:paraId="70BDBE01">
                  <w:pPr>
                    <w:pStyle w:val="36"/>
                    <w:bidi w:val="0"/>
                    <w:rPr>
                      <w:rFonts w:hint="default"/>
                      <w:b w:val="0"/>
                      <w:bCs/>
                    </w:rPr>
                  </w:pPr>
                  <w:r>
                    <w:rPr>
                      <w:rFonts w:hint="default"/>
                      <w:b w:val="0"/>
                      <w:bCs/>
                    </w:rPr>
                    <w:t>相符</w:t>
                  </w:r>
                </w:p>
              </w:tc>
            </w:tr>
            <w:tr w14:paraId="469C49C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642" w:type="pct"/>
                  <w:gridSpan w:val="2"/>
                  <w:vAlign w:val="center"/>
                </w:tcPr>
                <w:p w14:paraId="182B9F78">
                  <w:pPr>
                    <w:pStyle w:val="36"/>
                    <w:bidi w:val="0"/>
                    <w:rPr>
                      <w:rFonts w:hint="default"/>
                      <w:b w:val="0"/>
                      <w:bCs/>
                      <w:lang w:val="en-US" w:eastAsia="zh-CN"/>
                    </w:rPr>
                  </w:pPr>
                  <w:r>
                    <w:rPr>
                      <w:rFonts w:hint="default"/>
                      <w:b w:val="0"/>
                      <w:bCs/>
                      <w:lang w:val="en-US" w:eastAsia="zh-CN"/>
                    </w:rPr>
                    <w:t>排放限值</w:t>
                  </w:r>
                </w:p>
              </w:tc>
              <w:tc>
                <w:tcPr>
                  <w:tcW w:w="2101" w:type="pct"/>
                  <w:vAlign w:val="center"/>
                </w:tcPr>
                <w:p w14:paraId="57C63ED7">
                  <w:pPr>
                    <w:pStyle w:val="36"/>
                    <w:bidi w:val="0"/>
                    <w:jc w:val="both"/>
                    <w:rPr>
                      <w:rFonts w:hint="default"/>
                      <w:b w:val="0"/>
                      <w:bCs/>
                      <w:lang w:val="en-US" w:eastAsia="zh-CN"/>
                    </w:rPr>
                  </w:pPr>
                  <w:r>
                    <w:rPr>
                      <w:rFonts w:hint="default"/>
                      <w:b w:val="0"/>
                      <w:bCs/>
                      <w:lang w:val="en-US" w:eastAsia="zh-CN"/>
                    </w:rPr>
                    <w:t>PM排放限值不高于10mg/m</w:t>
                  </w:r>
                  <w:r>
                    <w:rPr>
                      <w:rFonts w:hint="default"/>
                      <w:b w:val="0"/>
                      <w:bCs/>
                      <w:vertAlign w:val="superscript"/>
                      <w:lang w:val="en-US" w:eastAsia="zh-CN"/>
                    </w:rPr>
                    <w:t>3</w:t>
                  </w:r>
                  <w:r>
                    <w:rPr>
                      <w:rFonts w:hint="default"/>
                      <w:b w:val="0"/>
                      <w:bCs/>
                      <w:lang w:val="en-US" w:eastAsia="zh-CN"/>
                    </w:rPr>
                    <w:t>；其他污染物排放浓度达到相关污染物排放标准。</w:t>
                  </w:r>
                </w:p>
              </w:tc>
              <w:tc>
                <w:tcPr>
                  <w:tcW w:w="1782" w:type="pct"/>
                  <w:vAlign w:val="center"/>
                </w:tcPr>
                <w:p w14:paraId="0CF1AEC2">
                  <w:pPr>
                    <w:pStyle w:val="36"/>
                    <w:bidi w:val="0"/>
                    <w:jc w:val="both"/>
                    <w:rPr>
                      <w:rFonts w:hint="default"/>
                      <w:b w:val="0"/>
                      <w:bCs/>
                      <w:lang w:val="en-US" w:eastAsia="zh-CN"/>
                    </w:rPr>
                  </w:pPr>
                  <w:r>
                    <w:rPr>
                      <w:rFonts w:hint="default"/>
                      <w:b w:val="0"/>
                      <w:bCs/>
                      <w:lang w:val="en-US" w:eastAsia="zh-CN"/>
                    </w:rPr>
                    <w:t>本项目有组织粉尘排放量不高于10mg/m</w:t>
                  </w:r>
                  <w:r>
                    <w:rPr>
                      <w:rFonts w:hint="default"/>
                      <w:b w:val="0"/>
                      <w:bCs/>
                      <w:vertAlign w:val="superscript"/>
                      <w:lang w:val="en-US" w:eastAsia="zh-CN"/>
                    </w:rPr>
                    <w:t>3</w:t>
                  </w:r>
                  <w:r>
                    <w:rPr>
                      <w:rFonts w:hint="default"/>
                      <w:b w:val="0"/>
                      <w:bCs/>
                      <w:lang w:val="en-US" w:eastAsia="zh-CN"/>
                    </w:rPr>
                    <w:t>。</w:t>
                  </w:r>
                </w:p>
              </w:tc>
              <w:tc>
                <w:tcPr>
                  <w:tcW w:w="473" w:type="pct"/>
                  <w:vAlign w:val="center"/>
                </w:tcPr>
                <w:p w14:paraId="4BC5F7BE">
                  <w:pPr>
                    <w:pStyle w:val="36"/>
                    <w:bidi w:val="0"/>
                    <w:rPr>
                      <w:rFonts w:hint="default"/>
                      <w:b w:val="0"/>
                      <w:bCs/>
                    </w:rPr>
                  </w:pPr>
                  <w:r>
                    <w:rPr>
                      <w:rFonts w:hint="default"/>
                      <w:b w:val="0"/>
                      <w:bCs/>
                    </w:rPr>
                    <w:t>相符</w:t>
                  </w:r>
                </w:p>
              </w:tc>
            </w:tr>
            <w:tr w14:paraId="1F84278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642" w:type="pct"/>
                  <w:gridSpan w:val="2"/>
                  <w:vAlign w:val="center"/>
                </w:tcPr>
                <w:p w14:paraId="2995BEF7">
                  <w:pPr>
                    <w:pStyle w:val="36"/>
                    <w:bidi w:val="0"/>
                    <w:rPr>
                      <w:rFonts w:hint="default"/>
                      <w:b w:val="0"/>
                      <w:bCs/>
                      <w:lang w:val="en-US" w:eastAsia="zh-CN"/>
                    </w:rPr>
                  </w:pPr>
                  <w:r>
                    <w:rPr>
                      <w:rFonts w:hint="default"/>
                      <w:b w:val="0"/>
                      <w:bCs/>
                      <w:lang w:val="en-US" w:eastAsia="zh-CN"/>
                    </w:rPr>
                    <w:t>无组织管控</w:t>
                  </w:r>
                </w:p>
              </w:tc>
              <w:tc>
                <w:tcPr>
                  <w:tcW w:w="2101" w:type="pct"/>
                  <w:vAlign w:val="center"/>
                </w:tcPr>
                <w:p w14:paraId="2BB6F1EC">
                  <w:pPr>
                    <w:pStyle w:val="36"/>
                    <w:bidi w:val="0"/>
                    <w:jc w:val="both"/>
                    <w:rPr>
                      <w:rFonts w:hint="default"/>
                      <w:b w:val="0"/>
                      <w:bCs/>
                    </w:rPr>
                  </w:pPr>
                  <w:r>
                    <w:rPr>
                      <w:rFonts w:hint="default"/>
                      <w:b w:val="0"/>
                      <w:bCs/>
                      <w:lang w:val="en-US" w:eastAsia="zh-CN"/>
                    </w:rPr>
                    <w:t>1.除尘器应设置密闭灰仓并及时卸灰，除尘灰应通过气力输送、罐车、吨包袋等封闭方式卸灰，不得直接卸落到地面；</w:t>
                  </w:r>
                </w:p>
                <w:p w14:paraId="2724CE11">
                  <w:pPr>
                    <w:pStyle w:val="36"/>
                    <w:bidi w:val="0"/>
                    <w:jc w:val="both"/>
                    <w:rPr>
                      <w:rFonts w:hint="default"/>
                      <w:b w:val="0"/>
                      <w:bCs/>
                    </w:rPr>
                  </w:pPr>
                  <w:r>
                    <w:rPr>
                      <w:rFonts w:hint="default"/>
                      <w:b w:val="0"/>
                      <w:bCs/>
                      <w:lang w:val="en-US" w:eastAsia="zh-CN"/>
                    </w:rPr>
                    <w:t>2.除尘灰如果转运应采用气力输送、封闭传送带方式，如果直接外运应采用罐车或袋装后运输，并在装车过程中采取抑尘措施，除尘灰在厂区内应密闭/封闭储存；</w:t>
                  </w:r>
                </w:p>
                <w:p w14:paraId="2C52F964">
                  <w:pPr>
                    <w:pStyle w:val="36"/>
                    <w:bidi w:val="0"/>
                    <w:jc w:val="both"/>
                    <w:rPr>
                      <w:rFonts w:hint="default"/>
                      <w:b w:val="0"/>
                      <w:bCs/>
                      <w:lang w:val="en-US" w:eastAsia="zh-CN"/>
                    </w:rPr>
                  </w:pPr>
                  <w:r>
                    <w:rPr>
                      <w:rFonts w:hint="default"/>
                      <w:b w:val="0"/>
                      <w:bCs/>
                      <w:lang w:val="en-US" w:eastAsia="zh-CN"/>
                    </w:rPr>
                    <w:t>3.脱硫石膏和脱硫废渣等固体废物在厂区内应封闭储存，在转运过程中应采取封闭抑尘措施并应封闭储存。</w:t>
                  </w:r>
                </w:p>
              </w:tc>
              <w:tc>
                <w:tcPr>
                  <w:tcW w:w="1782" w:type="pct"/>
                  <w:vAlign w:val="center"/>
                </w:tcPr>
                <w:p w14:paraId="7AD5B663">
                  <w:pPr>
                    <w:pStyle w:val="36"/>
                    <w:bidi w:val="0"/>
                    <w:jc w:val="left"/>
                    <w:rPr>
                      <w:rFonts w:hint="default"/>
                      <w:b w:val="0"/>
                      <w:bCs/>
                      <w:lang w:val="en-US" w:eastAsia="zh-CN"/>
                    </w:rPr>
                  </w:pPr>
                  <w:r>
                    <w:rPr>
                      <w:rFonts w:hint="default"/>
                      <w:b w:val="0"/>
                      <w:bCs/>
                      <w:lang w:val="en-US" w:eastAsia="zh-CN"/>
                    </w:rPr>
                    <w:t>1.</w:t>
                  </w:r>
                  <w:r>
                    <w:rPr>
                      <w:rFonts w:hint="default"/>
                      <w:b w:val="0"/>
                      <w:bCs/>
                    </w:rPr>
                    <w:t>项目</w:t>
                  </w:r>
                  <w:r>
                    <w:rPr>
                      <w:rFonts w:hint="default"/>
                      <w:b w:val="0"/>
                      <w:bCs/>
                      <w:lang w:val="en-US" w:eastAsia="zh-CN"/>
                    </w:rPr>
                    <w:t>除尘器设置密闭灰仓并及时卸灰，除尘灰应通过吨包袋等封闭方式卸灰。</w:t>
                  </w:r>
                </w:p>
                <w:p w14:paraId="4C6DC869">
                  <w:pPr>
                    <w:pStyle w:val="36"/>
                    <w:bidi w:val="0"/>
                    <w:jc w:val="both"/>
                    <w:rPr>
                      <w:rFonts w:hint="default"/>
                      <w:b w:val="0"/>
                      <w:bCs/>
                      <w:lang w:val="en-US" w:eastAsia="zh-CN"/>
                    </w:rPr>
                  </w:pPr>
                  <w:r>
                    <w:rPr>
                      <w:rFonts w:hint="default"/>
                      <w:b w:val="0"/>
                      <w:bCs/>
                      <w:lang w:val="en-US" w:eastAsia="zh-CN"/>
                    </w:rPr>
                    <w:t>2.本项目除尘会卸灰至吨包袋后运输，除尘灰在厂区内密闭储存。</w:t>
                  </w:r>
                </w:p>
                <w:p w14:paraId="6DFCD813">
                  <w:pPr>
                    <w:pStyle w:val="36"/>
                    <w:bidi w:val="0"/>
                    <w:jc w:val="both"/>
                    <w:rPr>
                      <w:rFonts w:hint="default"/>
                      <w:b w:val="0"/>
                      <w:bCs/>
                      <w:lang w:val="en-US" w:eastAsia="zh-CN"/>
                    </w:rPr>
                  </w:pPr>
                  <w:r>
                    <w:rPr>
                      <w:rFonts w:hint="default"/>
                      <w:b w:val="0"/>
                      <w:bCs/>
                      <w:lang w:val="en-US" w:eastAsia="zh-CN"/>
                    </w:rPr>
                    <w:t>3.本项目不涉及脱硫石膏和废渣。项目产生的固废采取相应措施</w:t>
                  </w:r>
                  <w:r>
                    <w:rPr>
                      <w:rFonts w:hint="default"/>
                      <w:b w:val="0"/>
                      <w:bCs/>
                    </w:rPr>
                    <w:t>妥善处置</w:t>
                  </w:r>
                  <w:r>
                    <w:rPr>
                      <w:rFonts w:hint="default"/>
                      <w:b w:val="0"/>
                      <w:bCs/>
                      <w:lang w:eastAsia="zh-CN"/>
                    </w:rPr>
                    <w:t>，</w:t>
                  </w:r>
                  <w:r>
                    <w:rPr>
                      <w:rFonts w:hint="default"/>
                      <w:b w:val="0"/>
                      <w:bCs/>
                      <w:lang w:val="en-US" w:eastAsia="zh-CN"/>
                    </w:rPr>
                    <w:t>不产生二次污染</w:t>
                  </w:r>
                  <w:r>
                    <w:rPr>
                      <w:rFonts w:hint="default"/>
                      <w:b w:val="0"/>
                      <w:bCs/>
                    </w:rPr>
                    <w:t>。</w:t>
                  </w:r>
                </w:p>
              </w:tc>
              <w:tc>
                <w:tcPr>
                  <w:tcW w:w="473" w:type="pct"/>
                  <w:vAlign w:val="center"/>
                </w:tcPr>
                <w:p w14:paraId="1A0253F6">
                  <w:pPr>
                    <w:pStyle w:val="36"/>
                    <w:bidi w:val="0"/>
                    <w:rPr>
                      <w:rFonts w:hint="default"/>
                      <w:b w:val="0"/>
                      <w:bCs/>
                      <w:lang w:val="en-US" w:eastAsia="zh-CN"/>
                    </w:rPr>
                  </w:pPr>
                  <w:r>
                    <w:rPr>
                      <w:rFonts w:hint="default"/>
                      <w:b w:val="0"/>
                      <w:bCs/>
                      <w:lang w:val="en-US" w:eastAsia="zh-CN"/>
                    </w:rPr>
                    <w:t>符合</w:t>
                  </w:r>
                </w:p>
              </w:tc>
            </w:tr>
            <w:tr w14:paraId="2F51884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642" w:type="pct"/>
                  <w:gridSpan w:val="2"/>
                  <w:vAlign w:val="center"/>
                </w:tcPr>
                <w:p w14:paraId="1AE4536B">
                  <w:pPr>
                    <w:pStyle w:val="36"/>
                    <w:bidi w:val="0"/>
                    <w:rPr>
                      <w:rFonts w:hint="default"/>
                      <w:b w:val="0"/>
                      <w:bCs/>
                      <w:lang w:val="en-US" w:eastAsia="zh-CN"/>
                    </w:rPr>
                  </w:pPr>
                  <w:r>
                    <w:rPr>
                      <w:rFonts w:hint="default"/>
                      <w:b w:val="0"/>
                      <w:bCs/>
                      <w:lang w:val="en-US" w:eastAsia="zh-CN"/>
                    </w:rPr>
                    <w:t>视频监管</w:t>
                  </w:r>
                </w:p>
              </w:tc>
              <w:tc>
                <w:tcPr>
                  <w:tcW w:w="2101" w:type="pct"/>
                  <w:vAlign w:val="center"/>
                </w:tcPr>
                <w:p w14:paraId="1FC80DB3">
                  <w:pPr>
                    <w:pStyle w:val="36"/>
                    <w:bidi w:val="0"/>
                    <w:jc w:val="both"/>
                    <w:rPr>
                      <w:rFonts w:hint="default"/>
                      <w:b w:val="0"/>
                      <w:bCs/>
                      <w:lang w:val="en-US" w:eastAsia="zh-CN"/>
                    </w:rPr>
                  </w:pPr>
                  <w:r>
                    <w:rPr>
                      <w:rFonts w:hint="default"/>
                      <w:b w:val="0"/>
                      <w:bCs/>
                      <w:lang w:val="en-US" w:eastAsia="zh-CN"/>
                    </w:rPr>
                    <w:t>未安装自动在线监控的企业，应在主要生产设备（投料口、卸料口等位置）安装视频监控设施，相关数据保存6个月以上</w:t>
                  </w:r>
                  <w:r>
                    <w:rPr>
                      <w:rFonts w:hint="eastAsia"/>
                      <w:b w:val="0"/>
                      <w:bCs/>
                      <w:lang w:val="en-US" w:eastAsia="zh-CN"/>
                    </w:rPr>
                    <w:t>。</w:t>
                  </w:r>
                </w:p>
              </w:tc>
              <w:tc>
                <w:tcPr>
                  <w:tcW w:w="1782" w:type="pct"/>
                  <w:vAlign w:val="center"/>
                </w:tcPr>
                <w:p w14:paraId="191B6941">
                  <w:pPr>
                    <w:pStyle w:val="36"/>
                    <w:bidi w:val="0"/>
                    <w:jc w:val="both"/>
                    <w:rPr>
                      <w:rFonts w:hint="default"/>
                      <w:b w:val="0"/>
                      <w:bCs/>
                      <w:lang w:val="en-US" w:eastAsia="zh-CN"/>
                    </w:rPr>
                  </w:pPr>
                  <w:r>
                    <w:rPr>
                      <w:rFonts w:hint="default"/>
                      <w:b w:val="0"/>
                      <w:bCs/>
                      <w:lang w:val="en-US" w:eastAsia="zh-CN"/>
                    </w:rPr>
                    <w:t>主要生产设备（投料口等位置）安装视频监控设施，相关数据保存6个月以上</w:t>
                  </w:r>
                </w:p>
              </w:tc>
              <w:tc>
                <w:tcPr>
                  <w:tcW w:w="473" w:type="pct"/>
                  <w:vAlign w:val="center"/>
                </w:tcPr>
                <w:p w14:paraId="5D96AB74">
                  <w:pPr>
                    <w:pStyle w:val="36"/>
                    <w:bidi w:val="0"/>
                    <w:rPr>
                      <w:rFonts w:hint="default"/>
                      <w:b w:val="0"/>
                      <w:bCs/>
                    </w:rPr>
                  </w:pPr>
                  <w:r>
                    <w:rPr>
                      <w:rFonts w:hint="default"/>
                      <w:b w:val="0"/>
                      <w:bCs/>
                      <w:lang w:val="en-US" w:eastAsia="zh-CN"/>
                    </w:rPr>
                    <w:t>相符</w:t>
                  </w:r>
                </w:p>
              </w:tc>
            </w:tr>
            <w:tr w14:paraId="6C31D40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642" w:type="pct"/>
                  <w:gridSpan w:val="2"/>
                  <w:vAlign w:val="center"/>
                </w:tcPr>
                <w:p w14:paraId="4727B42A">
                  <w:pPr>
                    <w:pStyle w:val="36"/>
                    <w:bidi w:val="0"/>
                    <w:rPr>
                      <w:rFonts w:hint="default"/>
                      <w:b w:val="0"/>
                      <w:bCs/>
                      <w:lang w:val="en-US" w:eastAsia="zh-CN"/>
                    </w:rPr>
                  </w:pPr>
                  <w:r>
                    <w:rPr>
                      <w:rFonts w:hint="default"/>
                      <w:b w:val="0"/>
                      <w:bCs/>
                      <w:lang w:val="en-US" w:eastAsia="zh-CN"/>
                    </w:rPr>
                    <w:t>厂容厂貌</w:t>
                  </w:r>
                </w:p>
              </w:tc>
              <w:tc>
                <w:tcPr>
                  <w:tcW w:w="2101" w:type="pct"/>
                  <w:vAlign w:val="center"/>
                </w:tcPr>
                <w:p w14:paraId="7AA7AFEF">
                  <w:pPr>
                    <w:pStyle w:val="36"/>
                    <w:bidi w:val="0"/>
                    <w:jc w:val="both"/>
                    <w:rPr>
                      <w:rFonts w:hint="default"/>
                      <w:b w:val="0"/>
                      <w:bCs/>
                    </w:rPr>
                  </w:pPr>
                  <w:r>
                    <w:rPr>
                      <w:rFonts w:hint="default"/>
                      <w:b w:val="0"/>
                      <w:bCs/>
                      <w:lang w:val="en-US" w:eastAsia="zh-CN"/>
                    </w:rPr>
                    <w:t>1.厂区内道路、原辅材料和燃料堆场等路面应硬化；</w:t>
                  </w:r>
                </w:p>
                <w:p w14:paraId="16B1CE0B">
                  <w:pPr>
                    <w:pStyle w:val="36"/>
                    <w:bidi w:val="0"/>
                    <w:jc w:val="both"/>
                    <w:rPr>
                      <w:rFonts w:hint="default"/>
                      <w:b w:val="0"/>
                      <w:bCs/>
                    </w:rPr>
                  </w:pPr>
                  <w:r>
                    <w:rPr>
                      <w:rFonts w:hint="default"/>
                      <w:b w:val="0"/>
                      <w:bCs/>
                      <w:lang w:val="en-US" w:eastAsia="zh-CN"/>
                    </w:rPr>
                    <w:t>2.厂区内道路采取定期清扫、洒水等措施，保持清洁，路面无明显可见积尘；</w:t>
                  </w:r>
                </w:p>
                <w:p w14:paraId="40F7142C">
                  <w:pPr>
                    <w:pStyle w:val="36"/>
                    <w:bidi w:val="0"/>
                    <w:jc w:val="both"/>
                    <w:rPr>
                      <w:rFonts w:hint="default"/>
                      <w:b w:val="0"/>
                      <w:bCs/>
                      <w:lang w:val="en-US" w:eastAsia="zh-CN"/>
                    </w:rPr>
                  </w:pPr>
                  <w:r>
                    <w:rPr>
                      <w:rFonts w:hint="default"/>
                      <w:b w:val="0"/>
                      <w:bCs/>
                      <w:lang w:val="en-US" w:eastAsia="zh-CN"/>
                    </w:rPr>
                    <w:t>3.其他未利用地优先绿化，或进行硬化，无成片裸露土地。</w:t>
                  </w:r>
                </w:p>
              </w:tc>
              <w:tc>
                <w:tcPr>
                  <w:tcW w:w="1782" w:type="pct"/>
                  <w:vAlign w:val="center"/>
                </w:tcPr>
                <w:p w14:paraId="08180B2B">
                  <w:pPr>
                    <w:pStyle w:val="36"/>
                    <w:bidi w:val="0"/>
                    <w:jc w:val="both"/>
                    <w:rPr>
                      <w:rFonts w:hint="default"/>
                      <w:b w:val="0"/>
                      <w:bCs/>
                      <w:lang w:val="en-US" w:eastAsia="zh-CN"/>
                    </w:rPr>
                  </w:pPr>
                  <w:r>
                    <w:rPr>
                      <w:rFonts w:hint="default"/>
                      <w:b w:val="0"/>
                      <w:bCs/>
                      <w:lang w:val="en-US" w:eastAsia="zh-CN"/>
                    </w:rPr>
                    <w:t>1.本项目厂区内道路、原辅材料堆场等路面均硬化；</w:t>
                  </w:r>
                </w:p>
                <w:p w14:paraId="4398913F">
                  <w:pPr>
                    <w:pStyle w:val="36"/>
                    <w:bidi w:val="0"/>
                    <w:jc w:val="both"/>
                    <w:rPr>
                      <w:rFonts w:hint="default"/>
                      <w:b w:val="0"/>
                      <w:bCs/>
                      <w:lang w:val="en-US" w:eastAsia="zh-CN"/>
                    </w:rPr>
                  </w:pPr>
                  <w:r>
                    <w:rPr>
                      <w:rFonts w:hint="default"/>
                      <w:b w:val="0"/>
                      <w:bCs/>
                      <w:lang w:val="en-US" w:eastAsia="zh-CN"/>
                    </w:rPr>
                    <w:t>2.厂区内道路采取定期清扫、洒水等措施，保持清洁，路面无明显可见积尘；</w:t>
                  </w:r>
                </w:p>
                <w:p w14:paraId="6B1691ED">
                  <w:pPr>
                    <w:pStyle w:val="36"/>
                    <w:bidi w:val="0"/>
                    <w:jc w:val="both"/>
                    <w:rPr>
                      <w:rFonts w:hint="default"/>
                      <w:b w:val="0"/>
                      <w:bCs/>
                      <w:lang w:val="en-US" w:eastAsia="zh-CN"/>
                    </w:rPr>
                  </w:pPr>
                  <w:r>
                    <w:rPr>
                      <w:rFonts w:hint="default"/>
                      <w:b w:val="0"/>
                      <w:bCs/>
                      <w:lang w:val="en-US" w:eastAsia="zh-CN"/>
                    </w:rPr>
                    <w:t>3.本项目未利用地绿化或硬化，无裸露土地。</w:t>
                  </w:r>
                </w:p>
              </w:tc>
              <w:tc>
                <w:tcPr>
                  <w:tcW w:w="473" w:type="pct"/>
                  <w:vAlign w:val="center"/>
                </w:tcPr>
                <w:p w14:paraId="21DD841B">
                  <w:pPr>
                    <w:pStyle w:val="36"/>
                    <w:bidi w:val="0"/>
                    <w:rPr>
                      <w:rFonts w:hint="default"/>
                      <w:b w:val="0"/>
                      <w:bCs/>
                    </w:rPr>
                  </w:pPr>
                  <w:r>
                    <w:rPr>
                      <w:rFonts w:hint="default"/>
                      <w:b w:val="0"/>
                      <w:bCs/>
                      <w:lang w:val="en-US" w:eastAsia="zh-CN"/>
                    </w:rPr>
                    <w:t>相符</w:t>
                  </w:r>
                </w:p>
              </w:tc>
            </w:tr>
            <w:tr w14:paraId="6F27830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319" w:type="pct"/>
                  <w:vMerge w:val="restart"/>
                  <w:vAlign w:val="center"/>
                </w:tcPr>
                <w:p w14:paraId="633E6EFE">
                  <w:pPr>
                    <w:pStyle w:val="36"/>
                    <w:bidi w:val="0"/>
                    <w:rPr>
                      <w:rFonts w:hint="default"/>
                      <w:b w:val="0"/>
                      <w:bCs/>
                      <w:lang w:val="en-US" w:eastAsia="zh-CN"/>
                    </w:rPr>
                  </w:pPr>
                  <w:r>
                    <w:rPr>
                      <w:rFonts w:hint="default"/>
                      <w:b w:val="0"/>
                      <w:bCs/>
                      <w:lang w:val="en-US" w:eastAsia="zh-CN"/>
                    </w:rPr>
                    <w:t>环境管理水平</w:t>
                  </w:r>
                </w:p>
              </w:tc>
              <w:tc>
                <w:tcPr>
                  <w:tcW w:w="322" w:type="pct"/>
                  <w:vAlign w:val="center"/>
                </w:tcPr>
                <w:p w14:paraId="7C7718FA">
                  <w:pPr>
                    <w:pStyle w:val="36"/>
                    <w:bidi w:val="0"/>
                    <w:rPr>
                      <w:rFonts w:hint="default"/>
                      <w:b w:val="0"/>
                      <w:bCs/>
                      <w:lang w:val="en-US" w:eastAsia="zh-CN"/>
                    </w:rPr>
                  </w:pPr>
                  <w:r>
                    <w:rPr>
                      <w:rFonts w:hint="default"/>
                      <w:b w:val="0"/>
                      <w:bCs/>
                      <w:lang w:val="en-US" w:eastAsia="zh-CN"/>
                    </w:rPr>
                    <w:t>环保档案</w:t>
                  </w:r>
                </w:p>
              </w:tc>
              <w:tc>
                <w:tcPr>
                  <w:tcW w:w="2101" w:type="pct"/>
                  <w:vAlign w:val="center"/>
                </w:tcPr>
                <w:p w14:paraId="30A73DA1">
                  <w:pPr>
                    <w:pStyle w:val="36"/>
                    <w:bidi w:val="0"/>
                    <w:jc w:val="both"/>
                    <w:rPr>
                      <w:rFonts w:hint="default"/>
                      <w:b w:val="0"/>
                      <w:bCs/>
                    </w:rPr>
                  </w:pPr>
                  <w:r>
                    <w:rPr>
                      <w:rFonts w:hint="default"/>
                      <w:b w:val="0"/>
                      <w:bCs/>
                      <w:lang w:val="en-US" w:eastAsia="zh-CN"/>
                    </w:rPr>
                    <w:t>1.</w:t>
                  </w:r>
                  <w:r>
                    <w:rPr>
                      <w:rFonts w:hint="default"/>
                      <w:b w:val="0"/>
                      <w:bCs/>
                    </w:rPr>
                    <w:t>环评批复文件和竣工验收文件/现状评估文件；</w:t>
                  </w:r>
                </w:p>
                <w:p w14:paraId="7C99F97E">
                  <w:pPr>
                    <w:pStyle w:val="36"/>
                    <w:bidi w:val="0"/>
                    <w:jc w:val="both"/>
                    <w:rPr>
                      <w:rFonts w:hint="default"/>
                      <w:b w:val="0"/>
                      <w:bCs/>
                    </w:rPr>
                  </w:pPr>
                  <w:r>
                    <w:rPr>
                      <w:rFonts w:hint="default"/>
                      <w:b w:val="0"/>
                      <w:bCs/>
                      <w:lang w:val="en-US" w:eastAsia="zh-CN"/>
                    </w:rPr>
                    <w:t>2.</w:t>
                  </w:r>
                  <w:r>
                    <w:rPr>
                      <w:rFonts w:hint="default"/>
                      <w:b w:val="0"/>
                      <w:bCs/>
                    </w:rPr>
                    <w:t>废气治理设施运行管理规程；</w:t>
                  </w:r>
                </w:p>
                <w:p w14:paraId="50F8FC3A">
                  <w:pPr>
                    <w:pStyle w:val="36"/>
                    <w:bidi w:val="0"/>
                    <w:jc w:val="both"/>
                    <w:rPr>
                      <w:rFonts w:hint="default"/>
                      <w:b w:val="0"/>
                      <w:bCs/>
                    </w:rPr>
                  </w:pPr>
                  <w:r>
                    <w:rPr>
                      <w:rFonts w:hint="default"/>
                      <w:b w:val="0"/>
                      <w:bCs/>
                      <w:lang w:val="en-US" w:eastAsia="zh-CN"/>
                    </w:rPr>
                    <w:t>3.</w:t>
                  </w:r>
                  <w:r>
                    <w:rPr>
                      <w:rFonts w:hint="default"/>
                      <w:b w:val="0"/>
                      <w:bCs/>
                    </w:rPr>
                    <w:t>一年内废气监测报告；</w:t>
                  </w:r>
                </w:p>
                <w:p w14:paraId="1C616941">
                  <w:pPr>
                    <w:pStyle w:val="36"/>
                    <w:bidi w:val="0"/>
                    <w:jc w:val="both"/>
                    <w:rPr>
                      <w:rFonts w:hint="default"/>
                      <w:b w:val="0"/>
                      <w:bCs/>
                      <w:lang w:val="en-US" w:eastAsia="zh-CN"/>
                    </w:rPr>
                  </w:pPr>
                  <w:r>
                    <w:rPr>
                      <w:rFonts w:hint="default"/>
                      <w:b w:val="0"/>
                      <w:bCs/>
                      <w:lang w:val="en-US" w:eastAsia="zh-CN"/>
                    </w:rPr>
                    <w:t>4.</w:t>
                  </w:r>
                  <w:r>
                    <w:rPr>
                      <w:rFonts w:hint="default"/>
                      <w:b w:val="0"/>
                      <w:bCs/>
                    </w:rPr>
                    <w:t>国家版排污许可证，并按要求开展自行监测和信息披露，规范</w:t>
                  </w:r>
                  <w:r>
                    <w:rPr>
                      <w:rFonts w:hint="default"/>
                      <w:b w:val="0"/>
                      <w:bCs/>
                      <w:lang w:val="en-US" w:eastAsia="zh-CN"/>
                    </w:rPr>
                    <w:t>设置废弃排放口标志牌、二维码标识和采样平台、采样孔</w:t>
                  </w:r>
                  <w:r>
                    <w:rPr>
                      <w:rFonts w:hint="default"/>
                      <w:b w:val="0"/>
                      <w:bCs/>
                    </w:rPr>
                    <w:t>。</w:t>
                  </w:r>
                </w:p>
              </w:tc>
              <w:tc>
                <w:tcPr>
                  <w:tcW w:w="1782" w:type="pct"/>
                  <w:vAlign w:val="center"/>
                </w:tcPr>
                <w:p w14:paraId="5E9FDE05">
                  <w:pPr>
                    <w:pStyle w:val="36"/>
                    <w:bidi w:val="0"/>
                    <w:jc w:val="both"/>
                    <w:rPr>
                      <w:rFonts w:hint="default"/>
                      <w:b w:val="0"/>
                      <w:bCs/>
                      <w:lang w:val="en-US" w:eastAsia="zh-CN"/>
                    </w:rPr>
                  </w:pPr>
                  <w:r>
                    <w:rPr>
                      <w:rFonts w:hint="default"/>
                      <w:b w:val="0"/>
                      <w:bCs/>
                      <w:lang w:val="en-US" w:eastAsia="zh-CN"/>
                    </w:rPr>
                    <w:t>企业运营期建立完善的环保档案</w:t>
                  </w:r>
                </w:p>
              </w:tc>
              <w:tc>
                <w:tcPr>
                  <w:tcW w:w="473" w:type="pct"/>
                  <w:vAlign w:val="center"/>
                </w:tcPr>
                <w:p w14:paraId="07B8002B">
                  <w:pPr>
                    <w:pStyle w:val="36"/>
                    <w:bidi w:val="0"/>
                    <w:rPr>
                      <w:rFonts w:hint="default"/>
                      <w:b w:val="0"/>
                      <w:bCs/>
                    </w:rPr>
                  </w:pPr>
                  <w:r>
                    <w:rPr>
                      <w:rFonts w:hint="default"/>
                      <w:b w:val="0"/>
                      <w:bCs/>
                      <w:lang w:val="en-US" w:eastAsia="zh-CN"/>
                    </w:rPr>
                    <w:t>相符</w:t>
                  </w:r>
                </w:p>
              </w:tc>
            </w:tr>
            <w:tr w14:paraId="4BF8221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319" w:type="pct"/>
                  <w:vMerge w:val="continue"/>
                  <w:vAlign w:val="center"/>
                </w:tcPr>
                <w:p w14:paraId="08336CDC">
                  <w:pPr>
                    <w:pStyle w:val="36"/>
                    <w:bidi w:val="0"/>
                    <w:rPr>
                      <w:rFonts w:hint="default"/>
                      <w:b w:val="0"/>
                      <w:bCs/>
                      <w:lang w:val="en-US" w:eastAsia="zh-CN"/>
                    </w:rPr>
                  </w:pPr>
                </w:p>
              </w:tc>
              <w:tc>
                <w:tcPr>
                  <w:tcW w:w="322" w:type="pct"/>
                  <w:vAlign w:val="center"/>
                </w:tcPr>
                <w:p w14:paraId="177BE786">
                  <w:pPr>
                    <w:pStyle w:val="36"/>
                    <w:bidi w:val="0"/>
                    <w:rPr>
                      <w:rFonts w:hint="default"/>
                      <w:b w:val="0"/>
                      <w:bCs/>
                      <w:lang w:val="en-US" w:eastAsia="zh-CN"/>
                    </w:rPr>
                  </w:pPr>
                  <w:r>
                    <w:rPr>
                      <w:rFonts w:hint="default"/>
                      <w:b w:val="0"/>
                      <w:bCs/>
                      <w:lang w:val="en-US" w:eastAsia="zh-CN"/>
                    </w:rPr>
                    <w:t>台账记录</w:t>
                  </w:r>
                </w:p>
              </w:tc>
              <w:tc>
                <w:tcPr>
                  <w:tcW w:w="2101" w:type="pct"/>
                  <w:vAlign w:val="center"/>
                </w:tcPr>
                <w:p w14:paraId="3FFE72DB">
                  <w:pPr>
                    <w:pStyle w:val="36"/>
                    <w:bidi w:val="0"/>
                    <w:jc w:val="both"/>
                    <w:rPr>
                      <w:rFonts w:hint="default"/>
                      <w:b w:val="0"/>
                      <w:bCs/>
                    </w:rPr>
                  </w:pPr>
                  <w:r>
                    <w:rPr>
                      <w:rFonts w:hint="default"/>
                      <w:b w:val="0"/>
                      <w:bCs/>
                      <w:lang w:val="en-US" w:eastAsia="zh-CN"/>
                    </w:rPr>
                    <w:t>1.</w:t>
                  </w:r>
                  <w:r>
                    <w:rPr>
                      <w:rFonts w:hint="default"/>
                      <w:b w:val="0"/>
                      <w:bCs/>
                    </w:rPr>
                    <w:t>生产设施运行管理信息（生产时间、运行负荷、产品产量等）；</w:t>
                  </w:r>
                </w:p>
                <w:p w14:paraId="1CBD00C9">
                  <w:pPr>
                    <w:pStyle w:val="36"/>
                    <w:bidi w:val="0"/>
                    <w:jc w:val="both"/>
                    <w:rPr>
                      <w:rFonts w:hint="default"/>
                      <w:b w:val="0"/>
                      <w:bCs/>
                    </w:rPr>
                  </w:pPr>
                  <w:r>
                    <w:rPr>
                      <w:rFonts w:hint="default"/>
                      <w:b w:val="0"/>
                      <w:bCs/>
                      <w:lang w:val="en-US" w:eastAsia="zh-CN"/>
                    </w:rPr>
                    <w:t>2.</w:t>
                  </w:r>
                  <w:r>
                    <w:rPr>
                      <w:rFonts w:hint="default"/>
                      <w:b w:val="0"/>
                      <w:bCs/>
                    </w:rPr>
                    <w:t>废气污染治理设施运行管理信息（除尘滤料等更换量和时间）；</w:t>
                  </w:r>
                </w:p>
                <w:p w14:paraId="494EB603">
                  <w:pPr>
                    <w:pStyle w:val="36"/>
                    <w:bidi w:val="0"/>
                    <w:jc w:val="both"/>
                    <w:rPr>
                      <w:rFonts w:hint="default"/>
                      <w:b w:val="0"/>
                      <w:bCs/>
                    </w:rPr>
                  </w:pPr>
                  <w:r>
                    <w:rPr>
                      <w:rFonts w:hint="default"/>
                      <w:b w:val="0"/>
                      <w:bCs/>
                      <w:lang w:val="en-US" w:eastAsia="zh-CN"/>
                    </w:rPr>
                    <w:t>3.</w:t>
                  </w:r>
                  <w:r>
                    <w:rPr>
                      <w:rFonts w:hint="default"/>
                      <w:b w:val="0"/>
                      <w:bCs/>
                    </w:rPr>
                    <w:t>监测记录信息（主要污染排放口废气排放记录（手工监测和在线监测））等；</w:t>
                  </w:r>
                </w:p>
                <w:p w14:paraId="1F91F4AE">
                  <w:pPr>
                    <w:pStyle w:val="36"/>
                    <w:bidi w:val="0"/>
                    <w:jc w:val="both"/>
                    <w:rPr>
                      <w:rFonts w:hint="default"/>
                      <w:b w:val="0"/>
                      <w:bCs/>
                    </w:rPr>
                  </w:pPr>
                  <w:r>
                    <w:rPr>
                      <w:rFonts w:hint="default"/>
                      <w:b w:val="0"/>
                      <w:bCs/>
                      <w:lang w:val="en-US" w:eastAsia="zh-CN"/>
                    </w:rPr>
                    <w:t>4.</w:t>
                  </w:r>
                  <w:r>
                    <w:rPr>
                      <w:rFonts w:hint="default"/>
                      <w:b w:val="0"/>
                      <w:bCs/>
                    </w:rPr>
                    <w:t>主要原辅材料、燃料消耗记录；</w:t>
                  </w:r>
                </w:p>
                <w:p w14:paraId="79E5F75A">
                  <w:pPr>
                    <w:pStyle w:val="36"/>
                    <w:bidi w:val="0"/>
                    <w:jc w:val="both"/>
                    <w:rPr>
                      <w:rFonts w:hint="default"/>
                      <w:b w:val="0"/>
                      <w:bCs/>
                    </w:rPr>
                  </w:pPr>
                  <w:r>
                    <w:rPr>
                      <w:rFonts w:hint="default"/>
                      <w:b w:val="0"/>
                      <w:bCs/>
                      <w:lang w:val="en-US" w:eastAsia="zh-CN"/>
                    </w:rPr>
                    <w:t>5.</w:t>
                  </w:r>
                  <w:r>
                    <w:rPr>
                      <w:rFonts w:hint="default"/>
                      <w:b w:val="0"/>
                      <w:bCs/>
                    </w:rPr>
                    <w:t>电消耗记录。</w:t>
                  </w:r>
                </w:p>
              </w:tc>
              <w:tc>
                <w:tcPr>
                  <w:tcW w:w="1782" w:type="pct"/>
                  <w:vAlign w:val="center"/>
                </w:tcPr>
                <w:p w14:paraId="3D6C4DEE">
                  <w:pPr>
                    <w:pStyle w:val="36"/>
                    <w:bidi w:val="0"/>
                    <w:jc w:val="both"/>
                    <w:rPr>
                      <w:rFonts w:hint="default"/>
                      <w:b w:val="0"/>
                      <w:bCs/>
                    </w:rPr>
                  </w:pPr>
                  <w:r>
                    <w:rPr>
                      <w:rFonts w:hint="default"/>
                      <w:b w:val="0"/>
                      <w:bCs/>
                      <w:lang w:val="en-US" w:eastAsia="zh-CN"/>
                    </w:rPr>
                    <w:t>本项目运营期建立健全台账记录。</w:t>
                  </w:r>
                </w:p>
              </w:tc>
              <w:tc>
                <w:tcPr>
                  <w:tcW w:w="473" w:type="pct"/>
                  <w:vAlign w:val="center"/>
                </w:tcPr>
                <w:p w14:paraId="49CE5B2B">
                  <w:pPr>
                    <w:pStyle w:val="36"/>
                    <w:bidi w:val="0"/>
                    <w:rPr>
                      <w:rFonts w:hint="default"/>
                      <w:b w:val="0"/>
                      <w:bCs/>
                    </w:rPr>
                  </w:pPr>
                  <w:r>
                    <w:rPr>
                      <w:rFonts w:hint="default"/>
                      <w:b w:val="0"/>
                      <w:bCs/>
                      <w:lang w:val="en-US" w:eastAsia="zh-CN"/>
                    </w:rPr>
                    <w:t>相符</w:t>
                  </w:r>
                </w:p>
              </w:tc>
            </w:tr>
            <w:tr w14:paraId="43BB861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319" w:type="pct"/>
                  <w:vMerge w:val="continue"/>
                  <w:vAlign w:val="center"/>
                </w:tcPr>
                <w:p w14:paraId="76991089">
                  <w:pPr>
                    <w:pStyle w:val="36"/>
                    <w:bidi w:val="0"/>
                    <w:rPr>
                      <w:rFonts w:hint="default"/>
                      <w:b w:val="0"/>
                      <w:bCs/>
                      <w:lang w:val="en-US" w:eastAsia="zh-CN"/>
                    </w:rPr>
                  </w:pPr>
                </w:p>
              </w:tc>
              <w:tc>
                <w:tcPr>
                  <w:tcW w:w="322" w:type="pct"/>
                  <w:vAlign w:val="center"/>
                </w:tcPr>
                <w:p w14:paraId="5A435C27">
                  <w:pPr>
                    <w:pStyle w:val="36"/>
                    <w:bidi w:val="0"/>
                    <w:rPr>
                      <w:rFonts w:hint="default"/>
                      <w:b w:val="0"/>
                      <w:bCs/>
                      <w:lang w:val="en-US" w:eastAsia="zh-CN"/>
                    </w:rPr>
                  </w:pPr>
                  <w:r>
                    <w:rPr>
                      <w:rFonts w:hint="default"/>
                      <w:b w:val="0"/>
                      <w:bCs/>
                      <w:lang w:val="en-US" w:eastAsia="zh-CN"/>
                    </w:rPr>
                    <w:t>人员配置</w:t>
                  </w:r>
                </w:p>
              </w:tc>
              <w:tc>
                <w:tcPr>
                  <w:tcW w:w="2101" w:type="pct"/>
                  <w:vAlign w:val="center"/>
                </w:tcPr>
                <w:p w14:paraId="778806F9">
                  <w:pPr>
                    <w:pStyle w:val="36"/>
                    <w:bidi w:val="0"/>
                    <w:jc w:val="both"/>
                    <w:rPr>
                      <w:rFonts w:hint="default"/>
                      <w:b w:val="0"/>
                      <w:bCs/>
                    </w:rPr>
                  </w:pPr>
                  <w:r>
                    <w:rPr>
                      <w:rFonts w:hint="default"/>
                      <w:b w:val="0"/>
                      <w:bCs/>
                    </w:rPr>
                    <w:t>配备专环保人员，并具备相应的环境管理能力（学历、培训、从业经验等）。</w:t>
                  </w:r>
                </w:p>
              </w:tc>
              <w:tc>
                <w:tcPr>
                  <w:tcW w:w="1782" w:type="pct"/>
                  <w:vAlign w:val="center"/>
                </w:tcPr>
                <w:p w14:paraId="42FDC8FF">
                  <w:pPr>
                    <w:pStyle w:val="36"/>
                    <w:bidi w:val="0"/>
                    <w:jc w:val="both"/>
                    <w:rPr>
                      <w:rFonts w:hint="default"/>
                      <w:b w:val="0"/>
                      <w:bCs/>
                    </w:rPr>
                  </w:pPr>
                  <w:r>
                    <w:rPr>
                      <w:rFonts w:hint="default"/>
                      <w:b w:val="0"/>
                      <w:bCs/>
                      <w:lang w:val="en-US" w:eastAsia="zh-CN"/>
                    </w:rPr>
                    <w:t>本项目运营期建立健全环境管理制度配备环境管理人员。</w:t>
                  </w:r>
                </w:p>
              </w:tc>
              <w:tc>
                <w:tcPr>
                  <w:tcW w:w="473" w:type="pct"/>
                  <w:vAlign w:val="center"/>
                </w:tcPr>
                <w:p w14:paraId="7FD6E014">
                  <w:pPr>
                    <w:pStyle w:val="36"/>
                    <w:bidi w:val="0"/>
                    <w:rPr>
                      <w:rFonts w:hint="default"/>
                      <w:b w:val="0"/>
                      <w:bCs/>
                    </w:rPr>
                  </w:pPr>
                  <w:r>
                    <w:rPr>
                      <w:rFonts w:hint="default"/>
                      <w:b w:val="0"/>
                      <w:bCs/>
                      <w:lang w:val="en-US" w:eastAsia="zh-CN"/>
                    </w:rPr>
                    <w:t>相符</w:t>
                  </w:r>
                </w:p>
              </w:tc>
            </w:tr>
            <w:tr w14:paraId="2AD522B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642" w:type="pct"/>
                  <w:gridSpan w:val="2"/>
                  <w:vAlign w:val="center"/>
                </w:tcPr>
                <w:p w14:paraId="75D6969A">
                  <w:pPr>
                    <w:pStyle w:val="36"/>
                    <w:bidi w:val="0"/>
                    <w:rPr>
                      <w:rFonts w:hint="default"/>
                      <w:b w:val="0"/>
                      <w:bCs/>
                      <w:lang w:val="en-US" w:eastAsia="zh-CN"/>
                    </w:rPr>
                  </w:pPr>
                  <w:r>
                    <w:rPr>
                      <w:rFonts w:hint="default"/>
                      <w:b w:val="0"/>
                      <w:bCs/>
                      <w:lang w:val="en-US" w:eastAsia="zh-CN"/>
                    </w:rPr>
                    <w:t>运输方式</w:t>
                  </w:r>
                </w:p>
              </w:tc>
              <w:tc>
                <w:tcPr>
                  <w:tcW w:w="2101" w:type="pct"/>
                  <w:vAlign w:val="center"/>
                </w:tcPr>
                <w:p w14:paraId="3B009ACE">
                  <w:pPr>
                    <w:pStyle w:val="36"/>
                    <w:bidi w:val="0"/>
                    <w:jc w:val="both"/>
                    <w:rPr>
                      <w:rFonts w:hint="default"/>
                      <w:b w:val="0"/>
                      <w:bCs/>
                    </w:rPr>
                  </w:pPr>
                  <w:r>
                    <w:rPr>
                      <w:rFonts w:hint="default"/>
                      <w:b w:val="0"/>
                      <w:bCs/>
                      <w:lang w:val="en-US" w:eastAsia="zh-CN"/>
                    </w:rPr>
                    <w:t>1.物料、产品等公路运输全部使用国五及以上排放标准重型载货车辆（重型燃气车辆达到国六排放标准）或新能源车辆；</w:t>
                  </w:r>
                </w:p>
                <w:p w14:paraId="4EB2F5C8">
                  <w:pPr>
                    <w:pStyle w:val="36"/>
                    <w:bidi w:val="0"/>
                    <w:jc w:val="both"/>
                    <w:rPr>
                      <w:rFonts w:hint="default"/>
                      <w:b w:val="0"/>
                      <w:bCs/>
                    </w:rPr>
                  </w:pPr>
                  <w:r>
                    <w:rPr>
                      <w:rFonts w:hint="default"/>
                      <w:b w:val="0"/>
                      <w:bCs/>
                      <w:lang w:val="en-US" w:eastAsia="zh-CN"/>
                    </w:rPr>
                    <w:t>2.厂内运输全部使用国五及以上排放标准（重型燃气车辆达到国六排放标准）或使用新能源车辆；</w:t>
                  </w:r>
                </w:p>
                <w:p w14:paraId="1753EBD6">
                  <w:pPr>
                    <w:pStyle w:val="36"/>
                    <w:bidi w:val="0"/>
                    <w:jc w:val="both"/>
                    <w:rPr>
                      <w:rFonts w:hint="default"/>
                      <w:b w:val="0"/>
                      <w:bCs/>
                    </w:rPr>
                  </w:pPr>
                  <w:r>
                    <w:rPr>
                      <w:rFonts w:hint="default"/>
                      <w:b w:val="0"/>
                      <w:bCs/>
                      <w:lang w:val="en-US" w:eastAsia="zh-CN"/>
                    </w:rPr>
                    <w:t>3.危险品及危废运输全部使用国五及以上排放标准（重型燃气车辆达到国六排放标准）或新能源车辆；</w:t>
                  </w:r>
                </w:p>
                <w:p w14:paraId="69B6010F">
                  <w:pPr>
                    <w:pStyle w:val="36"/>
                    <w:bidi w:val="0"/>
                    <w:jc w:val="both"/>
                    <w:rPr>
                      <w:rFonts w:hint="default"/>
                      <w:b w:val="0"/>
                      <w:bCs/>
                    </w:rPr>
                  </w:pPr>
                  <w:r>
                    <w:rPr>
                      <w:rFonts w:hint="default"/>
                      <w:b w:val="0"/>
                      <w:bCs/>
                      <w:lang w:val="en-US" w:eastAsia="zh-CN"/>
                    </w:rPr>
                    <w:t>4.厂内非道路移动机械全部使用国三及以上排放标准或使用新能源（电动、氢能）机械</w:t>
                  </w:r>
                </w:p>
              </w:tc>
              <w:tc>
                <w:tcPr>
                  <w:tcW w:w="1782" w:type="pct"/>
                  <w:shd w:val="clear" w:color="auto" w:fill="auto"/>
                  <w:vAlign w:val="center"/>
                </w:tcPr>
                <w:p w14:paraId="7F0CA50E">
                  <w:pPr>
                    <w:pStyle w:val="36"/>
                    <w:bidi w:val="0"/>
                    <w:jc w:val="both"/>
                    <w:rPr>
                      <w:rFonts w:hint="default"/>
                      <w:b w:val="0"/>
                      <w:bCs/>
                      <w:lang w:val="en-US" w:eastAsia="zh-CN"/>
                    </w:rPr>
                  </w:pPr>
                  <w:r>
                    <w:rPr>
                      <w:rFonts w:hint="default"/>
                      <w:b w:val="0"/>
                      <w:bCs/>
                      <w:lang w:val="en-US" w:eastAsia="zh-CN"/>
                    </w:rPr>
                    <w:t>1.</w:t>
                  </w:r>
                  <w:r>
                    <w:rPr>
                      <w:rFonts w:hint="default"/>
                      <w:b w:val="0"/>
                      <w:bCs/>
                    </w:rPr>
                    <w:t>评价要求项目厂区</w:t>
                  </w:r>
                  <w:r>
                    <w:rPr>
                      <w:rFonts w:hint="default"/>
                      <w:b w:val="0"/>
                      <w:bCs/>
                      <w:lang w:val="en-US" w:eastAsia="zh-CN"/>
                    </w:rPr>
                    <w:t>物料、产品等公路运输全部使用国五及以上排放标准重型载货车辆（重型燃气车辆达到国六排放标准）或新能源车辆；</w:t>
                  </w:r>
                </w:p>
                <w:p w14:paraId="1502D59E">
                  <w:pPr>
                    <w:pStyle w:val="36"/>
                    <w:bidi w:val="0"/>
                    <w:jc w:val="both"/>
                    <w:rPr>
                      <w:rFonts w:hint="default"/>
                      <w:b w:val="0"/>
                      <w:bCs/>
                    </w:rPr>
                  </w:pPr>
                  <w:r>
                    <w:rPr>
                      <w:rFonts w:hint="default"/>
                      <w:b w:val="0"/>
                      <w:bCs/>
                      <w:lang w:val="en-US" w:eastAsia="zh-CN"/>
                    </w:rPr>
                    <w:t>2.厂内运输全部使用国五及以上排放标准（重型燃气车辆达到国六排放标准）或使用新能源车辆；</w:t>
                  </w:r>
                </w:p>
                <w:p w14:paraId="321CE774">
                  <w:pPr>
                    <w:pStyle w:val="36"/>
                    <w:bidi w:val="0"/>
                    <w:jc w:val="both"/>
                    <w:rPr>
                      <w:rFonts w:hint="default"/>
                      <w:b w:val="0"/>
                      <w:bCs/>
                    </w:rPr>
                  </w:pPr>
                  <w:r>
                    <w:rPr>
                      <w:rFonts w:hint="default"/>
                      <w:b w:val="0"/>
                      <w:bCs/>
                      <w:lang w:val="en-US" w:eastAsia="zh-CN"/>
                    </w:rPr>
                    <w:t>3.本项目不涉及危险品运输；</w:t>
                  </w:r>
                </w:p>
                <w:p w14:paraId="09A16B68">
                  <w:pPr>
                    <w:pStyle w:val="36"/>
                    <w:bidi w:val="0"/>
                    <w:jc w:val="both"/>
                    <w:rPr>
                      <w:rFonts w:hint="default"/>
                      <w:b w:val="0"/>
                      <w:bCs/>
                      <w:lang w:val="en-US" w:eastAsia="zh-CN"/>
                    </w:rPr>
                  </w:pPr>
                  <w:r>
                    <w:rPr>
                      <w:rFonts w:hint="default"/>
                      <w:b w:val="0"/>
                      <w:bCs/>
                      <w:lang w:val="en-US" w:eastAsia="zh-CN"/>
                    </w:rPr>
                    <w:t>4.厂内非道路移动机械全部使用国三及以上排放标准或使用新能源（电动、氢能）机械。</w:t>
                  </w:r>
                </w:p>
              </w:tc>
              <w:tc>
                <w:tcPr>
                  <w:tcW w:w="473" w:type="pct"/>
                  <w:vAlign w:val="center"/>
                </w:tcPr>
                <w:p w14:paraId="065D47A3">
                  <w:pPr>
                    <w:pStyle w:val="36"/>
                    <w:bidi w:val="0"/>
                    <w:rPr>
                      <w:rFonts w:hint="default"/>
                      <w:b w:val="0"/>
                      <w:bCs/>
                    </w:rPr>
                  </w:pPr>
                  <w:r>
                    <w:rPr>
                      <w:rFonts w:hint="default"/>
                      <w:b w:val="0"/>
                      <w:bCs/>
                      <w:lang w:val="en-US" w:eastAsia="zh-CN"/>
                    </w:rPr>
                    <w:t>相符</w:t>
                  </w:r>
                </w:p>
              </w:tc>
            </w:tr>
            <w:tr w14:paraId="3CBC59A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642" w:type="pct"/>
                  <w:gridSpan w:val="2"/>
                  <w:vAlign w:val="center"/>
                </w:tcPr>
                <w:p w14:paraId="38F92FD6">
                  <w:pPr>
                    <w:pStyle w:val="36"/>
                    <w:bidi w:val="0"/>
                    <w:rPr>
                      <w:rFonts w:hint="default"/>
                      <w:b w:val="0"/>
                      <w:bCs/>
                      <w:lang w:val="en-US" w:eastAsia="zh-CN"/>
                    </w:rPr>
                  </w:pPr>
                  <w:r>
                    <w:rPr>
                      <w:rFonts w:hint="default"/>
                      <w:b w:val="0"/>
                      <w:bCs/>
                      <w:lang w:val="en-US" w:eastAsia="zh-CN"/>
                    </w:rPr>
                    <w:t>运输监管</w:t>
                  </w:r>
                </w:p>
              </w:tc>
              <w:tc>
                <w:tcPr>
                  <w:tcW w:w="2101" w:type="pct"/>
                  <w:vAlign w:val="center"/>
                </w:tcPr>
                <w:p w14:paraId="255DB64F">
                  <w:pPr>
                    <w:pStyle w:val="36"/>
                    <w:bidi w:val="0"/>
                    <w:jc w:val="both"/>
                    <w:rPr>
                      <w:rFonts w:hint="default"/>
                      <w:b w:val="0"/>
                      <w:bCs/>
                    </w:rPr>
                  </w:pPr>
                  <w:r>
                    <w:rPr>
                      <w:rFonts w:hint="default"/>
                      <w:b w:val="0"/>
                      <w:bCs/>
                      <w:lang w:val="en-US" w:eastAsia="zh-CN"/>
                    </w:rPr>
                    <w:t>日均进出货物150吨（或载货车辆日进出10辆次）及以上（货物包括原料、辅料、燃料、产品和其他与生产相关物料）的企业，参照《重污染天气重点行业移动源应急管理技术指南》建立门禁视频监控系统和电子台账；其他企业安装车辆运输视频监控（数据能保存6个月），并建立车辆运输手工台账。</w:t>
                  </w:r>
                </w:p>
              </w:tc>
              <w:tc>
                <w:tcPr>
                  <w:tcW w:w="1782" w:type="pct"/>
                  <w:shd w:val="clear" w:color="auto" w:fill="auto"/>
                  <w:vAlign w:val="center"/>
                </w:tcPr>
                <w:p w14:paraId="63AB57E4">
                  <w:pPr>
                    <w:pStyle w:val="36"/>
                    <w:bidi w:val="0"/>
                    <w:jc w:val="both"/>
                    <w:rPr>
                      <w:rFonts w:hint="default"/>
                      <w:b w:val="0"/>
                      <w:bCs/>
                      <w:lang w:val="en-US" w:eastAsia="zh-CN"/>
                    </w:rPr>
                  </w:pPr>
                  <w:r>
                    <w:rPr>
                      <w:rFonts w:hint="default"/>
                      <w:b w:val="0"/>
                      <w:bCs/>
                    </w:rPr>
                    <w:t>评价建议企业参照《重污染天气重点行业移动源应急管理技术指南》建立门禁视频监控系统和电子台账。安装高清视频监控系统并能保留数据6个月以上。</w:t>
                  </w:r>
                </w:p>
              </w:tc>
              <w:tc>
                <w:tcPr>
                  <w:tcW w:w="473" w:type="pct"/>
                  <w:vAlign w:val="center"/>
                </w:tcPr>
                <w:p w14:paraId="7C684661">
                  <w:pPr>
                    <w:pStyle w:val="36"/>
                    <w:bidi w:val="0"/>
                    <w:rPr>
                      <w:rFonts w:hint="default"/>
                      <w:b w:val="0"/>
                      <w:bCs/>
                      <w:lang w:val="en-US" w:eastAsia="zh-CN"/>
                    </w:rPr>
                  </w:pPr>
                  <w:r>
                    <w:rPr>
                      <w:rFonts w:hint="default"/>
                      <w:b w:val="0"/>
                      <w:bCs/>
                      <w:lang w:val="en-US" w:eastAsia="zh-CN"/>
                    </w:rPr>
                    <w:t>相符</w:t>
                  </w:r>
                </w:p>
              </w:tc>
            </w:tr>
          </w:tbl>
          <w:p w14:paraId="180A5579">
            <w:pPr>
              <w:pStyle w:val="43"/>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textAlignment w:val="baseline"/>
              <w:rPr>
                <w:rFonts w:hint="default" w:ascii="Times New Roman" w:hAnsi="Times New Roman" w:eastAsia="宋体" w:cs="Times New Roman"/>
                <w:b/>
                <w:bCs w:val="0"/>
                <w:color w:val="000000" w:themeColor="text1"/>
                <w:sz w:val="24"/>
                <w:szCs w:val="24"/>
                <w:highlight w:val="none"/>
                <w:u w:val="none" w:color="auto"/>
                <w:lang w:val="en-US" w:eastAsia="zh-CN"/>
                <w14:textFill>
                  <w14:solidFill>
                    <w14:schemeClr w14:val="tx1"/>
                  </w14:solidFill>
                </w14:textFill>
              </w:rPr>
            </w:pPr>
            <w:r>
              <w:rPr>
                <w:rFonts w:hint="default" w:ascii="Times New Roman" w:hAnsi="Times New Roman" w:cs="Times New Roman"/>
                <w:b/>
                <w:bCs w:val="0"/>
                <w:color w:val="000000" w:themeColor="text1"/>
                <w:sz w:val="24"/>
                <w:szCs w:val="24"/>
                <w:highlight w:val="none"/>
                <w:u w:val="none" w:color="auto"/>
                <w:lang w:val="en-US" w:eastAsia="zh-CN"/>
                <w14:textFill>
                  <w14:solidFill>
                    <w14:schemeClr w14:val="tx1"/>
                  </w14:solidFill>
                </w14:textFill>
              </w:rPr>
              <w:t>表1-3 涉锅炉/炉窑企业绩效分级指标的相符性分析一览表</w:t>
            </w:r>
          </w:p>
          <w:tbl>
            <w:tblPr>
              <w:tblStyle w:val="30"/>
              <w:tblW w:w="499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3"/>
              <w:gridCol w:w="466"/>
              <w:gridCol w:w="2396"/>
              <w:gridCol w:w="855"/>
              <w:gridCol w:w="3166"/>
              <w:gridCol w:w="779"/>
            </w:tblGrid>
            <w:tr w14:paraId="0DB630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71" w:type="pct"/>
                  <w:gridSpan w:val="2"/>
                  <w:vAlign w:val="center"/>
                </w:tcPr>
                <w:p w14:paraId="24C90D3D">
                  <w:pPr>
                    <w:pStyle w:val="36"/>
                    <w:bidi w:val="0"/>
                    <w:rPr>
                      <w:rFonts w:hint="default"/>
                      <w:b w:val="0"/>
                      <w:bCs/>
                      <w:lang w:val="en-US" w:eastAsia="zh-CN"/>
                    </w:rPr>
                  </w:pPr>
                  <w:r>
                    <w:rPr>
                      <w:rFonts w:hint="default"/>
                      <w:b w:val="0"/>
                      <w:bCs/>
                      <w:lang w:val="en-US" w:eastAsia="zh-CN"/>
                    </w:rPr>
                    <w:t>引领性指标</w:t>
                  </w:r>
                </w:p>
              </w:tc>
              <w:tc>
                <w:tcPr>
                  <w:tcW w:w="2000" w:type="pct"/>
                  <w:gridSpan w:val="2"/>
                  <w:vAlign w:val="center"/>
                </w:tcPr>
                <w:p w14:paraId="0F6F2502">
                  <w:pPr>
                    <w:pStyle w:val="36"/>
                    <w:bidi w:val="0"/>
                    <w:rPr>
                      <w:rFonts w:hint="default"/>
                      <w:b w:val="0"/>
                      <w:bCs/>
                      <w:lang w:val="en-US" w:eastAsia="zh-CN"/>
                    </w:rPr>
                  </w:pPr>
                  <w:r>
                    <w:rPr>
                      <w:rFonts w:hint="default"/>
                      <w:b w:val="0"/>
                      <w:bCs/>
                      <w:lang w:val="en-US" w:eastAsia="zh-CN"/>
                    </w:rPr>
                    <w:t>A级企业</w:t>
                  </w:r>
                </w:p>
              </w:tc>
              <w:tc>
                <w:tcPr>
                  <w:tcW w:w="1948" w:type="pct"/>
                  <w:vAlign w:val="center"/>
                </w:tcPr>
                <w:p w14:paraId="6E45E9A4">
                  <w:pPr>
                    <w:pStyle w:val="36"/>
                    <w:bidi w:val="0"/>
                    <w:rPr>
                      <w:rFonts w:hint="default"/>
                      <w:b w:val="0"/>
                      <w:bCs/>
                      <w:lang w:val="en-US" w:eastAsia="zh-CN"/>
                    </w:rPr>
                  </w:pPr>
                  <w:r>
                    <w:rPr>
                      <w:rFonts w:hint="default"/>
                      <w:b w:val="0"/>
                      <w:bCs/>
                      <w:lang w:val="en-US" w:eastAsia="zh-CN"/>
                    </w:rPr>
                    <w:t>本项目情况</w:t>
                  </w:r>
                </w:p>
              </w:tc>
              <w:tc>
                <w:tcPr>
                  <w:tcW w:w="479" w:type="pct"/>
                  <w:vAlign w:val="center"/>
                </w:tcPr>
                <w:p w14:paraId="0F1152D6">
                  <w:pPr>
                    <w:pStyle w:val="36"/>
                    <w:bidi w:val="0"/>
                    <w:rPr>
                      <w:rFonts w:hint="default"/>
                      <w:b w:val="0"/>
                      <w:bCs/>
                      <w:lang w:val="en-US" w:eastAsia="zh-CN"/>
                    </w:rPr>
                  </w:pPr>
                  <w:r>
                    <w:rPr>
                      <w:rFonts w:hint="default"/>
                      <w:b w:val="0"/>
                      <w:bCs/>
                      <w:lang w:val="en-US" w:eastAsia="zh-CN"/>
                    </w:rPr>
                    <w:t>相符性</w:t>
                  </w:r>
                </w:p>
              </w:tc>
            </w:tr>
            <w:tr w14:paraId="19E5AD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71" w:type="pct"/>
                  <w:gridSpan w:val="2"/>
                  <w:vAlign w:val="center"/>
                </w:tcPr>
                <w:p w14:paraId="2D96E36D">
                  <w:pPr>
                    <w:pStyle w:val="36"/>
                    <w:bidi w:val="0"/>
                    <w:rPr>
                      <w:rFonts w:hint="default"/>
                      <w:b w:val="0"/>
                      <w:bCs/>
                      <w:lang w:val="en-US" w:eastAsia="zh-CN"/>
                    </w:rPr>
                  </w:pPr>
                  <w:r>
                    <w:rPr>
                      <w:rFonts w:hint="default"/>
                      <w:b w:val="0"/>
                      <w:bCs/>
                      <w:lang w:val="en-US" w:eastAsia="zh-CN"/>
                    </w:rPr>
                    <w:t>能源类型</w:t>
                  </w:r>
                </w:p>
              </w:tc>
              <w:tc>
                <w:tcPr>
                  <w:tcW w:w="2000" w:type="pct"/>
                  <w:gridSpan w:val="2"/>
                  <w:vAlign w:val="center"/>
                </w:tcPr>
                <w:p w14:paraId="1C42953B">
                  <w:pPr>
                    <w:pStyle w:val="36"/>
                    <w:bidi w:val="0"/>
                    <w:jc w:val="both"/>
                    <w:rPr>
                      <w:rFonts w:hint="default"/>
                      <w:b w:val="0"/>
                      <w:bCs/>
                      <w:lang w:val="en-US" w:eastAsia="zh-CN"/>
                    </w:rPr>
                  </w:pPr>
                  <w:r>
                    <w:rPr>
                      <w:rFonts w:hint="default"/>
                      <w:b w:val="0"/>
                      <w:bCs/>
                      <w:lang w:val="en-US" w:eastAsia="zh-CN"/>
                    </w:rPr>
                    <w:t>以电、天然气等为能源</w:t>
                  </w:r>
                </w:p>
              </w:tc>
              <w:tc>
                <w:tcPr>
                  <w:tcW w:w="1948" w:type="pct"/>
                  <w:vAlign w:val="center"/>
                </w:tcPr>
                <w:p w14:paraId="17199FD4">
                  <w:pPr>
                    <w:pStyle w:val="36"/>
                    <w:bidi w:val="0"/>
                    <w:jc w:val="both"/>
                    <w:rPr>
                      <w:rFonts w:hint="default"/>
                      <w:b w:val="0"/>
                      <w:bCs/>
                      <w:lang w:val="en-US" w:eastAsia="zh-CN"/>
                    </w:rPr>
                  </w:pPr>
                  <w:r>
                    <w:rPr>
                      <w:rFonts w:hint="default"/>
                      <w:b w:val="0"/>
                      <w:bCs/>
                      <w:highlight w:val="none"/>
                      <w:lang w:val="en-US" w:eastAsia="zh-CN"/>
                    </w:rPr>
                    <w:t>本项目炭化窑在有木煤气贮存情况下，采用储存的木煤气为引火及启动的初始阶段燃料来源，木煤气为清洁能源；在生产线刚启动木煤气无储存的情况下，引火及启动的初始阶段采用生物质点火。</w:t>
                  </w:r>
                </w:p>
              </w:tc>
              <w:tc>
                <w:tcPr>
                  <w:tcW w:w="479" w:type="pct"/>
                  <w:vAlign w:val="center"/>
                </w:tcPr>
                <w:p w14:paraId="517B6D16">
                  <w:pPr>
                    <w:pStyle w:val="36"/>
                    <w:bidi w:val="0"/>
                    <w:rPr>
                      <w:rFonts w:hint="default"/>
                      <w:b w:val="0"/>
                      <w:bCs/>
                      <w:lang w:val="en-US" w:eastAsia="zh-CN"/>
                    </w:rPr>
                  </w:pPr>
                  <w:r>
                    <w:rPr>
                      <w:rFonts w:hint="default"/>
                      <w:b w:val="0"/>
                      <w:bCs/>
                      <w:lang w:val="en-US" w:eastAsia="zh-CN"/>
                    </w:rPr>
                    <w:t>相符</w:t>
                  </w:r>
                </w:p>
              </w:tc>
            </w:tr>
            <w:tr w14:paraId="23C382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71" w:type="pct"/>
                  <w:gridSpan w:val="2"/>
                  <w:shd w:val="clear" w:color="auto" w:fill="auto"/>
                  <w:vAlign w:val="center"/>
                </w:tcPr>
                <w:p w14:paraId="3D83C813">
                  <w:pPr>
                    <w:pStyle w:val="36"/>
                    <w:bidi w:val="0"/>
                    <w:rPr>
                      <w:rFonts w:hint="default"/>
                      <w:b w:val="0"/>
                      <w:bCs/>
                      <w:lang w:val="en-US" w:eastAsia="zh-CN"/>
                    </w:rPr>
                  </w:pPr>
                  <w:r>
                    <w:rPr>
                      <w:rFonts w:hint="default"/>
                      <w:b w:val="0"/>
                      <w:bCs/>
                      <w:lang w:val="en-US" w:eastAsia="zh-CN"/>
                    </w:rPr>
                    <w:t>生产工艺</w:t>
                  </w:r>
                </w:p>
              </w:tc>
              <w:tc>
                <w:tcPr>
                  <w:tcW w:w="2000" w:type="pct"/>
                  <w:gridSpan w:val="2"/>
                  <w:shd w:val="clear" w:color="auto" w:fill="auto"/>
                  <w:vAlign w:val="center"/>
                </w:tcPr>
                <w:p w14:paraId="4C4C777C">
                  <w:pPr>
                    <w:pStyle w:val="36"/>
                    <w:bidi w:val="0"/>
                    <w:jc w:val="both"/>
                    <w:rPr>
                      <w:rFonts w:hint="default"/>
                      <w:b w:val="0"/>
                      <w:bCs/>
                      <w:lang w:val="en-US" w:eastAsia="zh-CN"/>
                    </w:rPr>
                  </w:pPr>
                  <w:r>
                    <w:rPr>
                      <w:rFonts w:hint="default"/>
                      <w:b w:val="0"/>
                      <w:bCs/>
                      <w:lang w:val="en-US" w:eastAsia="zh-CN"/>
                    </w:rPr>
                    <w:t>不属于《产业结构调整指导目录（2024年版）》淘汰类，不属于省级和市级政府部门明确列入已经限期淘汰类项目。</w:t>
                  </w:r>
                </w:p>
              </w:tc>
              <w:tc>
                <w:tcPr>
                  <w:tcW w:w="1948" w:type="pct"/>
                  <w:shd w:val="clear" w:color="auto" w:fill="auto"/>
                  <w:vAlign w:val="center"/>
                </w:tcPr>
                <w:p w14:paraId="29902F47">
                  <w:pPr>
                    <w:pStyle w:val="36"/>
                    <w:bidi w:val="0"/>
                    <w:jc w:val="both"/>
                    <w:rPr>
                      <w:rFonts w:hint="default"/>
                      <w:b w:val="0"/>
                      <w:bCs/>
                      <w:lang w:val="en-US" w:eastAsia="zh-CN"/>
                    </w:rPr>
                  </w:pPr>
                  <w:r>
                    <w:rPr>
                      <w:rFonts w:hint="default"/>
                      <w:b w:val="0"/>
                      <w:bCs/>
                      <w:lang w:val="en-US" w:eastAsia="zh-CN"/>
                    </w:rPr>
                    <w:t>对比《产业结构调整指导目录（2024年版）》，属于鼓励类，且不属于省级和市级政府部门明确列入已经限期淘汰类项目。因此符合产业政策要求。</w:t>
                  </w:r>
                </w:p>
              </w:tc>
              <w:tc>
                <w:tcPr>
                  <w:tcW w:w="479" w:type="pct"/>
                  <w:shd w:val="clear" w:color="auto" w:fill="auto"/>
                  <w:vAlign w:val="center"/>
                </w:tcPr>
                <w:p w14:paraId="58BA12B3">
                  <w:pPr>
                    <w:pStyle w:val="36"/>
                    <w:bidi w:val="0"/>
                    <w:rPr>
                      <w:rFonts w:hint="default"/>
                      <w:b w:val="0"/>
                      <w:bCs/>
                      <w:lang w:val="en-US" w:eastAsia="zh-CN"/>
                    </w:rPr>
                  </w:pPr>
                  <w:r>
                    <w:rPr>
                      <w:rFonts w:hint="default"/>
                      <w:b w:val="0"/>
                      <w:bCs/>
                      <w:lang w:val="en-US" w:eastAsia="zh-CN"/>
                    </w:rPr>
                    <w:t>符合</w:t>
                  </w:r>
                </w:p>
              </w:tc>
            </w:tr>
            <w:tr w14:paraId="069F9F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71" w:type="pct"/>
                  <w:gridSpan w:val="2"/>
                  <w:shd w:val="clear" w:color="auto" w:fill="auto"/>
                  <w:vAlign w:val="center"/>
                </w:tcPr>
                <w:p w14:paraId="6D40B02B">
                  <w:pPr>
                    <w:pStyle w:val="36"/>
                    <w:bidi w:val="0"/>
                    <w:rPr>
                      <w:rFonts w:hint="default"/>
                      <w:b w:val="0"/>
                      <w:bCs/>
                      <w:lang w:val="en-US" w:eastAsia="zh-CN"/>
                    </w:rPr>
                  </w:pPr>
                  <w:r>
                    <w:rPr>
                      <w:rFonts w:hint="default"/>
                      <w:b w:val="0"/>
                      <w:bCs/>
                      <w:lang w:val="en-US" w:eastAsia="zh-CN"/>
                    </w:rPr>
                    <w:t>污染治理技术</w:t>
                  </w:r>
                </w:p>
              </w:tc>
              <w:tc>
                <w:tcPr>
                  <w:tcW w:w="2000" w:type="pct"/>
                  <w:gridSpan w:val="2"/>
                  <w:shd w:val="clear" w:color="auto" w:fill="auto"/>
                  <w:vAlign w:val="center"/>
                </w:tcPr>
                <w:p w14:paraId="6115BCFB">
                  <w:pPr>
                    <w:pStyle w:val="36"/>
                    <w:bidi w:val="0"/>
                    <w:jc w:val="both"/>
                    <w:rPr>
                      <w:rFonts w:hint="default"/>
                      <w:b w:val="0"/>
                      <w:bCs/>
                      <w:lang w:val="en-US" w:eastAsia="zh-CN"/>
                    </w:rPr>
                  </w:pPr>
                  <w:r>
                    <w:rPr>
                      <w:rFonts w:hint="default"/>
                      <w:b w:val="0"/>
                      <w:bCs/>
                      <w:lang w:val="en-US" w:eastAsia="zh-CN"/>
                    </w:rPr>
                    <w:t>1.电窑：</w:t>
                  </w:r>
                </w:p>
                <w:p w14:paraId="3A219043">
                  <w:pPr>
                    <w:pStyle w:val="36"/>
                    <w:bidi w:val="0"/>
                    <w:jc w:val="both"/>
                    <w:rPr>
                      <w:rFonts w:hint="default"/>
                      <w:b w:val="0"/>
                      <w:bCs/>
                      <w:lang w:val="en-US" w:eastAsia="zh-CN"/>
                    </w:rPr>
                  </w:pPr>
                  <w:r>
                    <w:rPr>
                      <w:rFonts w:hint="default"/>
                      <w:b w:val="0"/>
                      <w:bCs/>
                      <w:lang w:val="en-US" w:eastAsia="zh-CN"/>
                    </w:rPr>
                    <w:t>PM采用袋式除尘、电袋复合除尘、湿电除尘、静电除尘等高效除尘技术。</w:t>
                  </w:r>
                </w:p>
                <w:p w14:paraId="6CDD32B6">
                  <w:pPr>
                    <w:pStyle w:val="36"/>
                    <w:bidi w:val="0"/>
                    <w:jc w:val="both"/>
                    <w:rPr>
                      <w:rFonts w:hint="default"/>
                      <w:b w:val="0"/>
                      <w:bCs/>
                      <w:lang w:val="en-US" w:eastAsia="zh-CN"/>
                    </w:rPr>
                  </w:pPr>
                  <w:r>
                    <w:rPr>
                      <w:rFonts w:hint="default"/>
                      <w:b w:val="0"/>
                      <w:bCs/>
                      <w:lang w:val="en-US" w:eastAsia="zh-CN"/>
                    </w:rPr>
                    <w:t>2.燃气锅炉/炉窑：</w:t>
                  </w:r>
                </w:p>
                <w:p w14:paraId="611CE41B">
                  <w:pPr>
                    <w:pStyle w:val="36"/>
                    <w:bidi w:val="0"/>
                    <w:jc w:val="both"/>
                    <w:rPr>
                      <w:rFonts w:hint="default"/>
                      <w:b w:val="0"/>
                      <w:bCs/>
                      <w:lang w:val="en-US" w:eastAsia="zh-CN"/>
                    </w:rPr>
                  </w:pPr>
                  <w:r>
                    <w:rPr>
                      <w:rFonts w:hint="default"/>
                      <w:b w:val="0"/>
                      <w:bCs/>
                      <w:lang w:val="en-US" w:eastAsia="zh-CN"/>
                    </w:rPr>
                    <w:t>PM[1]采用袋式除尘、静电除尘、湿电除尘等高效除尘技术；</w:t>
                  </w:r>
                </w:p>
                <w:p w14:paraId="43B23E1E">
                  <w:pPr>
                    <w:pStyle w:val="36"/>
                    <w:bidi w:val="0"/>
                    <w:jc w:val="both"/>
                    <w:rPr>
                      <w:rFonts w:hint="default"/>
                      <w:b w:val="0"/>
                      <w:bCs/>
                      <w:lang w:val="en-US" w:eastAsia="zh-CN"/>
                    </w:rPr>
                  </w:pPr>
                  <w:r>
                    <w:rPr>
                      <w:rFonts w:hint="default"/>
                      <w:b w:val="0"/>
                      <w:bCs/>
                      <w:lang w:val="en-US" w:eastAsia="zh-CN"/>
                    </w:rPr>
                    <w:t>NOx[2]采用低氮燃烧或SNCR/SCR等技术。使用氨法脱硝的企业，氨的装卸、储存、输送、制备等过程全密闭，并采取有氨气泄露检测和收集措施；采用尿素作为还原剂的配备有尿素加热水解制氨系统。</w:t>
                  </w:r>
                </w:p>
                <w:p w14:paraId="297D7D11">
                  <w:pPr>
                    <w:pStyle w:val="36"/>
                    <w:bidi w:val="0"/>
                    <w:jc w:val="both"/>
                    <w:rPr>
                      <w:rFonts w:hint="default"/>
                      <w:b w:val="0"/>
                      <w:bCs/>
                      <w:lang w:val="en-US" w:eastAsia="zh-CN"/>
                    </w:rPr>
                  </w:pPr>
                  <w:r>
                    <w:rPr>
                      <w:rFonts w:hint="default"/>
                      <w:b w:val="0"/>
                      <w:bCs/>
                      <w:lang w:val="en-US" w:eastAsia="zh-CN"/>
                    </w:rPr>
                    <w:t>3.其他工序（非锅炉/炉窑）</w:t>
                  </w:r>
                </w:p>
                <w:p w14:paraId="4735379F">
                  <w:pPr>
                    <w:pStyle w:val="36"/>
                    <w:bidi w:val="0"/>
                    <w:jc w:val="both"/>
                    <w:rPr>
                      <w:rFonts w:hint="default"/>
                      <w:b w:val="0"/>
                      <w:bCs/>
                      <w:lang w:val="en-US" w:eastAsia="zh-CN"/>
                    </w:rPr>
                  </w:pPr>
                  <w:r>
                    <w:rPr>
                      <w:rFonts w:hint="default"/>
                      <w:b w:val="0"/>
                      <w:bCs/>
                      <w:lang w:val="en-US" w:eastAsia="zh-CN"/>
                    </w:rPr>
                    <w:t>PM采用覆膜袋式除尘或其他先进除尘工艺。</w:t>
                  </w:r>
                </w:p>
              </w:tc>
              <w:tc>
                <w:tcPr>
                  <w:tcW w:w="1948" w:type="pct"/>
                  <w:shd w:val="clear" w:color="auto" w:fill="auto"/>
                  <w:vAlign w:val="center"/>
                </w:tcPr>
                <w:p w14:paraId="592816E1">
                  <w:pPr>
                    <w:pStyle w:val="36"/>
                    <w:bidi w:val="0"/>
                    <w:jc w:val="both"/>
                    <w:rPr>
                      <w:rFonts w:hint="default"/>
                      <w:b w:val="0"/>
                      <w:bCs/>
                      <w:highlight w:val="none"/>
                      <w:lang w:val="en-US" w:eastAsia="zh-CN"/>
                    </w:rPr>
                  </w:pPr>
                  <w:r>
                    <w:rPr>
                      <w:rFonts w:hint="default"/>
                      <w:b w:val="0"/>
                      <w:bCs/>
                      <w:highlight w:val="none"/>
                      <w:lang w:val="en-US" w:eastAsia="zh-CN"/>
                    </w:rPr>
                    <w:t>1.本项目炭化废气采用</w:t>
                  </w:r>
                  <w:r>
                    <w:rPr>
                      <w:rFonts w:hint="eastAsia"/>
                      <w:b w:val="0"/>
                      <w:bCs/>
                      <w:highlight w:val="none"/>
                      <w:lang w:val="en-US" w:eastAsia="zh-CN"/>
                    </w:rPr>
                    <w:t>“袋式除尘器”</w:t>
                  </w:r>
                  <w:r>
                    <w:rPr>
                      <w:rFonts w:hint="default"/>
                      <w:b w:val="0"/>
                      <w:bCs/>
                      <w:highlight w:val="none"/>
                      <w:lang w:val="en-US" w:eastAsia="zh-CN"/>
                    </w:rPr>
                    <w:t>，属于高效除尘技术；</w:t>
                  </w:r>
                </w:p>
                <w:p w14:paraId="2F3564C1">
                  <w:pPr>
                    <w:pStyle w:val="36"/>
                    <w:bidi w:val="0"/>
                    <w:jc w:val="both"/>
                    <w:rPr>
                      <w:rFonts w:hint="default"/>
                      <w:b w:val="0"/>
                      <w:bCs/>
                      <w:highlight w:val="none"/>
                      <w:lang w:val="en-US" w:eastAsia="zh-CN"/>
                    </w:rPr>
                  </w:pPr>
                  <w:r>
                    <w:rPr>
                      <w:rFonts w:hint="default"/>
                      <w:b w:val="0"/>
                      <w:bCs/>
                      <w:highlight w:val="none"/>
                      <w:lang w:val="en-US" w:eastAsia="zh-CN"/>
                    </w:rPr>
                    <w:t>2.本项目</w:t>
                  </w:r>
                  <w:r>
                    <w:rPr>
                      <w:rFonts w:hint="eastAsia"/>
                      <w:b w:val="0"/>
                      <w:bCs/>
                      <w:highlight w:val="none"/>
                      <w:lang w:val="en-US" w:eastAsia="zh-CN"/>
                    </w:rPr>
                    <w:t>不涉及</w:t>
                  </w:r>
                  <w:r>
                    <w:rPr>
                      <w:rFonts w:hint="default"/>
                      <w:b w:val="0"/>
                      <w:bCs/>
                      <w:highlight w:val="none"/>
                      <w:lang w:val="en-US" w:eastAsia="zh-CN"/>
                    </w:rPr>
                    <w:t>。</w:t>
                  </w:r>
                </w:p>
                <w:p w14:paraId="340A6AE3">
                  <w:pPr>
                    <w:pStyle w:val="36"/>
                    <w:bidi w:val="0"/>
                    <w:jc w:val="both"/>
                    <w:rPr>
                      <w:rFonts w:hint="default"/>
                      <w:b w:val="0"/>
                      <w:bCs/>
                      <w:lang w:val="en-US" w:eastAsia="zh-CN"/>
                    </w:rPr>
                  </w:pPr>
                  <w:r>
                    <w:rPr>
                      <w:rFonts w:hint="default"/>
                      <w:b w:val="0"/>
                      <w:bCs/>
                      <w:highlight w:val="none"/>
                      <w:lang w:val="en-US" w:eastAsia="zh-CN"/>
                    </w:rPr>
                    <w:t>3.本项目其他工序PM均采用覆膜袋式除尘</w:t>
                  </w:r>
                  <w:r>
                    <w:rPr>
                      <w:rFonts w:hint="default"/>
                      <w:b w:val="0"/>
                      <w:bCs/>
                      <w:lang w:val="en-US" w:eastAsia="zh-CN"/>
                    </w:rPr>
                    <w:t>。</w:t>
                  </w:r>
                </w:p>
              </w:tc>
              <w:tc>
                <w:tcPr>
                  <w:tcW w:w="479" w:type="pct"/>
                  <w:shd w:val="clear" w:color="auto" w:fill="auto"/>
                  <w:vAlign w:val="center"/>
                </w:tcPr>
                <w:p w14:paraId="2A3E19CA">
                  <w:pPr>
                    <w:pStyle w:val="36"/>
                    <w:bidi w:val="0"/>
                    <w:rPr>
                      <w:rFonts w:hint="default"/>
                      <w:b w:val="0"/>
                      <w:bCs/>
                      <w:lang w:val="en-US" w:eastAsia="zh-CN"/>
                    </w:rPr>
                  </w:pPr>
                  <w:r>
                    <w:rPr>
                      <w:rFonts w:hint="default"/>
                      <w:b w:val="0"/>
                      <w:bCs/>
                      <w:lang w:val="en-US" w:eastAsia="zh-CN"/>
                    </w:rPr>
                    <w:t>相符</w:t>
                  </w:r>
                </w:p>
              </w:tc>
            </w:tr>
            <w:tr w14:paraId="448935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4" w:type="pct"/>
                  <w:vMerge w:val="restart"/>
                  <w:shd w:val="clear" w:color="auto" w:fill="auto"/>
                  <w:vAlign w:val="center"/>
                </w:tcPr>
                <w:p w14:paraId="3C4616CA">
                  <w:pPr>
                    <w:pStyle w:val="36"/>
                    <w:bidi w:val="0"/>
                    <w:rPr>
                      <w:rFonts w:hint="default"/>
                      <w:b w:val="0"/>
                      <w:bCs/>
                      <w:lang w:val="en-US" w:eastAsia="zh-CN"/>
                    </w:rPr>
                  </w:pPr>
                  <w:r>
                    <w:rPr>
                      <w:rFonts w:hint="default"/>
                      <w:b w:val="0"/>
                      <w:bCs/>
                      <w:lang w:val="en-US" w:eastAsia="zh-CN"/>
                    </w:rPr>
                    <w:t>排放限值</w:t>
                  </w:r>
                </w:p>
              </w:tc>
              <w:tc>
                <w:tcPr>
                  <w:tcW w:w="286" w:type="pct"/>
                  <w:vMerge w:val="restart"/>
                  <w:shd w:val="clear" w:color="auto" w:fill="auto"/>
                  <w:vAlign w:val="center"/>
                </w:tcPr>
                <w:p w14:paraId="3614A3DB">
                  <w:pPr>
                    <w:pStyle w:val="36"/>
                    <w:bidi w:val="0"/>
                    <w:rPr>
                      <w:rFonts w:hint="default"/>
                      <w:b w:val="0"/>
                      <w:bCs/>
                      <w:lang w:val="en-US" w:eastAsia="zh-CN"/>
                    </w:rPr>
                  </w:pPr>
                  <w:r>
                    <w:rPr>
                      <w:rFonts w:hint="default"/>
                      <w:b w:val="0"/>
                      <w:bCs/>
                      <w:lang w:val="en-US" w:eastAsia="zh-CN"/>
                    </w:rPr>
                    <w:t>锅炉</w:t>
                  </w:r>
                </w:p>
              </w:tc>
              <w:tc>
                <w:tcPr>
                  <w:tcW w:w="2000" w:type="pct"/>
                  <w:gridSpan w:val="2"/>
                  <w:shd w:val="clear" w:color="auto" w:fill="auto"/>
                  <w:vAlign w:val="center"/>
                </w:tcPr>
                <w:p w14:paraId="6C6C83A8">
                  <w:pPr>
                    <w:pStyle w:val="36"/>
                    <w:bidi w:val="0"/>
                    <w:jc w:val="both"/>
                    <w:rPr>
                      <w:rFonts w:hint="default"/>
                      <w:b w:val="0"/>
                      <w:bCs/>
                      <w:lang w:val="en-US" w:eastAsia="zh-CN"/>
                    </w:rPr>
                  </w:pPr>
                  <w:r>
                    <w:rPr>
                      <w:rFonts w:hint="default"/>
                      <w:b w:val="0"/>
                      <w:bCs/>
                      <w:lang w:val="en-US" w:eastAsia="zh-CN"/>
                    </w:rPr>
                    <w:t>PM、SO</w:t>
                  </w:r>
                  <w:r>
                    <w:rPr>
                      <w:rFonts w:hint="default"/>
                      <w:b w:val="0"/>
                      <w:bCs/>
                      <w:vertAlign w:val="subscript"/>
                      <w:lang w:val="en-US" w:eastAsia="zh-CN"/>
                    </w:rPr>
                    <w:t>2</w:t>
                  </w:r>
                  <w:r>
                    <w:rPr>
                      <w:rFonts w:hint="default"/>
                      <w:b w:val="0"/>
                      <w:bCs/>
                      <w:lang w:val="en-US" w:eastAsia="zh-CN"/>
                    </w:rPr>
                    <w:t>、NOx排放浓度分别不高于：</w:t>
                  </w:r>
                </w:p>
                <w:p w14:paraId="19FAC835">
                  <w:pPr>
                    <w:pStyle w:val="36"/>
                    <w:bidi w:val="0"/>
                    <w:jc w:val="both"/>
                    <w:rPr>
                      <w:rFonts w:hint="default"/>
                      <w:b w:val="0"/>
                      <w:bCs/>
                      <w:lang w:val="en-US" w:eastAsia="zh-CN"/>
                    </w:rPr>
                  </w:pPr>
                  <w:r>
                    <w:rPr>
                      <w:rFonts w:hint="default"/>
                      <w:b w:val="0"/>
                      <w:bCs/>
                      <w:lang w:val="en-US" w:eastAsia="zh-CN"/>
                    </w:rPr>
                    <w:t>燃气：5、10/50/30</w:t>
                  </w:r>
                  <w:r>
                    <w:rPr>
                      <w:rFonts w:hint="default"/>
                      <w:b w:val="0"/>
                      <w:bCs/>
                      <w:vertAlign w:val="superscript"/>
                      <w:lang w:val="en-US" w:eastAsia="zh-CN"/>
                    </w:rPr>
                    <w:t>[4]</w:t>
                  </w:r>
                  <w:r>
                    <w:rPr>
                      <w:rFonts w:hint="default"/>
                      <w:b w:val="0"/>
                      <w:bCs/>
                      <w:lang w:val="en-US" w:eastAsia="zh-CN"/>
                    </w:rPr>
                    <w:t>mg/m</w:t>
                  </w:r>
                  <w:r>
                    <w:rPr>
                      <w:rFonts w:hint="default"/>
                      <w:b w:val="0"/>
                      <w:bCs/>
                      <w:vertAlign w:val="superscript"/>
                      <w:lang w:val="en-US" w:eastAsia="zh-CN"/>
                    </w:rPr>
                    <w:t>3</w:t>
                  </w:r>
                  <w:r>
                    <w:rPr>
                      <w:rFonts w:hint="default"/>
                      <w:b w:val="0"/>
                      <w:bCs/>
                      <w:lang w:val="en-US" w:eastAsia="zh-CN"/>
                    </w:rPr>
                    <w:t>（基准含氧量：3.5%）</w:t>
                  </w:r>
                </w:p>
              </w:tc>
              <w:tc>
                <w:tcPr>
                  <w:tcW w:w="1948" w:type="pct"/>
                  <w:shd w:val="clear" w:color="auto" w:fill="auto"/>
                  <w:vAlign w:val="center"/>
                </w:tcPr>
                <w:p w14:paraId="2D382D7B">
                  <w:pPr>
                    <w:pStyle w:val="36"/>
                    <w:bidi w:val="0"/>
                    <w:jc w:val="both"/>
                    <w:rPr>
                      <w:rFonts w:hint="default"/>
                      <w:b w:val="0"/>
                      <w:bCs/>
                      <w:lang w:val="en-US" w:eastAsia="zh-CN"/>
                    </w:rPr>
                  </w:pPr>
                  <w:r>
                    <w:rPr>
                      <w:rFonts w:hint="default"/>
                      <w:b w:val="0"/>
                      <w:bCs/>
                      <w:lang w:val="en-US" w:eastAsia="zh-CN"/>
                    </w:rPr>
                    <w:t>本项目不涉及</w:t>
                  </w:r>
                  <w:r>
                    <w:rPr>
                      <w:rFonts w:hint="eastAsia"/>
                      <w:b w:val="0"/>
                      <w:bCs/>
                      <w:lang w:val="en-US" w:eastAsia="zh-CN"/>
                    </w:rPr>
                    <w:t>。</w:t>
                  </w:r>
                </w:p>
              </w:tc>
              <w:tc>
                <w:tcPr>
                  <w:tcW w:w="479" w:type="pct"/>
                  <w:shd w:val="clear" w:color="auto" w:fill="auto"/>
                  <w:vAlign w:val="center"/>
                </w:tcPr>
                <w:p w14:paraId="46B2B1F8">
                  <w:pPr>
                    <w:pStyle w:val="36"/>
                    <w:bidi w:val="0"/>
                    <w:rPr>
                      <w:rFonts w:hint="default"/>
                      <w:b w:val="0"/>
                      <w:bCs/>
                      <w:lang w:val="en-US" w:eastAsia="zh-CN"/>
                    </w:rPr>
                  </w:pPr>
                  <w:r>
                    <w:rPr>
                      <w:rFonts w:hint="default"/>
                      <w:b w:val="0"/>
                      <w:bCs/>
                      <w:lang w:val="en-US" w:eastAsia="zh-CN"/>
                    </w:rPr>
                    <w:t>/</w:t>
                  </w:r>
                </w:p>
              </w:tc>
            </w:tr>
            <w:tr w14:paraId="0AA234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4" w:type="pct"/>
                  <w:vMerge w:val="continue"/>
                  <w:shd w:val="clear" w:color="auto" w:fill="auto"/>
                  <w:vAlign w:val="center"/>
                </w:tcPr>
                <w:p w14:paraId="4326D268">
                  <w:pPr>
                    <w:pStyle w:val="36"/>
                    <w:bidi w:val="0"/>
                    <w:rPr>
                      <w:rFonts w:hint="default"/>
                      <w:b w:val="0"/>
                      <w:bCs/>
                      <w:lang w:val="en-US" w:eastAsia="zh-CN"/>
                    </w:rPr>
                  </w:pPr>
                </w:p>
              </w:tc>
              <w:tc>
                <w:tcPr>
                  <w:tcW w:w="286" w:type="pct"/>
                  <w:vMerge w:val="continue"/>
                  <w:shd w:val="clear" w:color="auto" w:fill="auto"/>
                  <w:vAlign w:val="center"/>
                </w:tcPr>
                <w:p w14:paraId="6EECE6FE">
                  <w:pPr>
                    <w:pStyle w:val="36"/>
                    <w:bidi w:val="0"/>
                    <w:rPr>
                      <w:rFonts w:hint="default"/>
                      <w:b w:val="0"/>
                      <w:bCs/>
                      <w:lang w:val="en-US" w:eastAsia="zh-CN"/>
                    </w:rPr>
                  </w:pPr>
                </w:p>
              </w:tc>
              <w:tc>
                <w:tcPr>
                  <w:tcW w:w="2000" w:type="pct"/>
                  <w:gridSpan w:val="2"/>
                  <w:shd w:val="clear" w:color="auto" w:fill="auto"/>
                  <w:vAlign w:val="center"/>
                </w:tcPr>
                <w:p w14:paraId="456D7A2F">
                  <w:pPr>
                    <w:pStyle w:val="36"/>
                    <w:bidi w:val="0"/>
                    <w:jc w:val="both"/>
                    <w:rPr>
                      <w:rFonts w:hint="default"/>
                      <w:b w:val="0"/>
                      <w:bCs/>
                      <w:lang w:val="en-US" w:eastAsia="zh-CN"/>
                    </w:rPr>
                  </w:pPr>
                  <w:r>
                    <w:rPr>
                      <w:rFonts w:hint="default"/>
                      <w:b w:val="0"/>
                      <w:bCs/>
                      <w:lang w:val="en-US" w:eastAsia="zh-CN"/>
                    </w:rPr>
                    <w:t>氨逃逸排放浓度不高于8mg/m</w:t>
                  </w:r>
                  <w:r>
                    <w:rPr>
                      <w:rFonts w:hint="default"/>
                      <w:b w:val="0"/>
                      <w:bCs/>
                      <w:vertAlign w:val="superscript"/>
                      <w:lang w:val="en-US" w:eastAsia="zh-CN"/>
                    </w:rPr>
                    <w:t>3</w:t>
                  </w:r>
                  <w:r>
                    <w:rPr>
                      <w:rFonts w:hint="default"/>
                      <w:b w:val="0"/>
                      <w:bCs/>
                      <w:lang w:val="en-US" w:eastAsia="zh-CN"/>
                    </w:rPr>
                    <w:t>（使用氨水、尿素作还原剂）</w:t>
                  </w:r>
                </w:p>
              </w:tc>
              <w:tc>
                <w:tcPr>
                  <w:tcW w:w="1948" w:type="pct"/>
                  <w:shd w:val="clear" w:color="auto" w:fill="auto"/>
                  <w:vAlign w:val="center"/>
                </w:tcPr>
                <w:p w14:paraId="50B98214">
                  <w:pPr>
                    <w:pStyle w:val="36"/>
                    <w:bidi w:val="0"/>
                    <w:jc w:val="both"/>
                    <w:rPr>
                      <w:rFonts w:hint="default"/>
                      <w:b w:val="0"/>
                      <w:bCs/>
                      <w:lang w:val="en-US" w:eastAsia="zh-CN"/>
                    </w:rPr>
                  </w:pPr>
                  <w:r>
                    <w:rPr>
                      <w:rFonts w:hint="default"/>
                      <w:b w:val="0"/>
                      <w:bCs/>
                      <w:lang w:val="en-US" w:eastAsia="zh-CN"/>
                    </w:rPr>
                    <w:t>本项目不涉及</w:t>
                  </w:r>
                  <w:r>
                    <w:rPr>
                      <w:rFonts w:hint="eastAsia"/>
                      <w:b w:val="0"/>
                      <w:bCs/>
                      <w:lang w:val="en-US" w:eastAsia="zh-CN"/>
                    </w:rPr>
                    <w:t>。</w:t>
                  </w:r>
                </w:p>
              </w:tc>
              <w:tc>
                <w:tcPr>
                  <w:tcW w:w="479" w:type="pct"/>
                  <w:shd w:val="clear" w:color="auto" w:fill="auto"/>
                  <w:vAlign w:val="center"/>
                </w:tcPr>
                <w:p w14:paraId="40D52B4B">
                  <w:pPr>
                    <w:pStyle w:val="36"/>
                    <w:bidi w:val="0"/>
                    <w:rPr>
                      <w:rFonts w:hint="default"/>
                      <w:b w:val="0"/>
                      <w:bCs/>
                      <w:lang w:val="en-US" w:eastAsia="zh-CN"/>
                    </w:rPr>
                  </w:pPr>
                  <w:r>
                    <w:rPr>
                      <w:rFonts w:hint="default"/>
                      <w:b w:val="0"/>
                      <w:bCs/>
                      <w:lang w:val="en-US" w:eastAsia="zh-CN"/>
                    </w:rPr>
                    <w:t>/</w:t>
                  </w:r>
                </w:p>
              </w:tc>
            </w:tr>
            <w:tr w14:paraId="3A3F01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4" w:type="pct"/>
                  <w:vMerge w:val="continue"/>
                  <w:shd w:val="clear" w:color="auto" w:fill="auto"/>
                  <w:vAlign w:val="center"/>
                </w:tcPr>
                <w:p w14:paraId="2AE6EF01">
                  <w:pPr>
                    <w:pStyle w:val="36"/>
                    <w:bidi w:val="0"/>
                    <w:rPr>
                      <w:rFonts w:hint="default"/>
                      <w:b w:val="0"/>
                      <w:bCs/>
                      <w:lang w:val="en-US" w:eastAsia="zh-CN"/>
                    </w:rPr>
                  </w:pPr>
                </w:p>
              </w:tc>
              <w:tc>
                <w:tcPr>
                  <w:tcW w:w="286" w:type="pct"/>
                  <w:shd w:val="clear" w:color="auto" w:fill="auto"/>
                  <w:vAlign w:val="center"/>
                </w:tcPr>
                <w:p w14:paraId="438BCA8E">
                  <w:pPr>
                    <w:pStyle w:val="36"/>
                    <w:bidi w:val="0"/>
                    <w:rPr>
                      <w:rFonts w:hint="default"/>
                      <w:b w:val="0"/>
                      <w:bCs/>
                      <w:lang w:val="en-US" w:eastAsia="zh-CN"/>
                    </w:rPr>
                  </w:pPr>
                  <w:r>
                    <w:rPr>
                      <w:rFonts w:hint="default"/>
                      <w:b w:val="0"/>
                      <w:bCs/>
                      <w:lang w:val="en-US" w:eastAsia="zh-CN"/>
                    </w:rPr>
                    <w:t>加热炉、热处理炉、干燥炉</w:t>
                  </w:r>
                </w:p>
              </w:tc>
              <w:tc>
                <w:tcPr>
                  <w:tcW w:w="1474" w:type="pct"/>
                  <w:shd w:val="clear" w:color="auto" w:fill="auto"/>
                  <w:vAlign w:val="center"/>
                </w:tcPr>
                <w:p w14:paraId="021D5B98">
                  <w:pPr>
                    <w:pStyle w:val="36"/>
                    <w:bidi w:val="0"/>
                    <w:jc w:val="both"/>
                    <w:rPr>
                      <w:rFonts w:hint="default"/>
                      <w:b w:val="0"/>
                      <w:bCs/>
                      <w:lang w:val="en-US" w:eastAsia="zh-CN"/>
                    </w:rPr>
                  </w:pPr>
                  <w:r>
                    <w:rPr>
                      <w:rFonts w:hint="default"/>
                      <w:b w:val="0"/>
                      <w:bCs/>
                      <w:lang w:val="en-US" w:eastAsia="zh-CN"/>
                    </w:rPr>
                    <w:t>PM、SO</w:t>
                  </w:r>
                  <w:r>
                    <w:rPr>
                      <w:rFonts w:hint="default"/>
                      <w:b w:val="0"/>
                      <w:bCs/>
                      <w:vertAlign w:val="subscript"/>
                      <w:lang w:val="en-US" w:eastAsia="zh-CN"/>
                    </w:rPr>
                    <w:t>2</w:t>
                  </w:r>
                  <w:r>
                    <w:rPr>
                      <w:rFonts w:hint="default"/>
                      <w:b w:val="0"/>
                      <w:bCs/>
                      <w:lang w:val="en-US" w:eastAsia="zh-CN"/>
                    </w:rPr>
                    <w:t>、NOx排放浓度分别不高于：</w:t>
                  </w:r>
                </w:p>
                <w:p w14:paraId="598734BF">
                  <w:pPr>
                    <w:pStyle w:val="36"/>
                    <w:bidi w:val="0"/>
                    <w:jc w:val="both"/>
                    <w:rPr>
                      <w:rFonts w:hint="default"/>
                      <w:b w:val="0"/>
                      <w:bCs/>
                      <w:lang w:val="en-US" w:eastAsia="zh-CN"/>
                    </w:rPr>
                  </w:pPr>
                  <w:r>
                    <w:rPr>
                      <w:rFonts w:hint="default"/>
                      <w:b w:val="0"/>
                      <w:bCs/>
                      <w:lang w:val="en-US" w:eastAsia="zh-CN"/>
                    </w:rPr>
                    <w:t>电窑：10mg/m</w:t>
                  </w:r>
                  <w:r>
                    <w:rPr>
                      <w:rFonts w:hint="default"/>
                      <w:b w:val="0"/>
                      <w:bCs/>
                      <w:vertAlign w:val="superscript"/>
                      <w:lang w:val="en-US" w:eastAsia="zh-CN"/>
                    </w:rPr>
                    <w:t>3</w:t>
                  </w:r>
                  <w:r>
                    <w:rPr>
                      <w:rFonts w:hint="default"/>
                      <w:b w:val="0"/>
                      <w:bCs/>
                      <w:lang w:val="en-US" w:eastAsia="zh-CN"/>
                    </w:rPr>
                    <w:t>（PM）</w:t>
                  </w:r>
                </w:p>
                <w:p w14:paraId="4E987B7A">
                  <w:pPr>
                    <w:pStyle w:val="36"/>
                    <w:bidi w:val="0"/>
                    <w:jc w:val="both"/>
                    <w:rPr>
                      <w:rFonts w:hint="default"/>
                      <w:b w:val="0"/>
                      <w:bCs/>
                      <w:lang w:val="en-US" w:eastAsia="zh-CN"/>
                    </w:rPr>
                  </w:pPr>
                  <w:r>
                    <w:rPr>
                      <w:rFonts w:hint="default"/>
                      <w:b w:val="0"/>
                      <w:bCs/>
                      <w:lang w:val="en-US" w:eastAsia="zh-CN"/>
                    </w:rPr>
                    <w:t>燃气：10、35、50mg/m</w:t>
                  </w:r>
                  <w:r>
                    <w:rPr>
                      <w:rFonts w:hint="default"/>
                      <w:b w:val="0"/>
                      <w:bCs/>
                      <w:vertAlign w:val="superscript"/>
                      <w:lang w:val="en-US" w:eastAsia="zh-CN"/>
                    </w:rPr>
                    <w:t>3</w:t>
                  </w:r>
                  <w:r>
                    <w:rPr>
                      <w:rFonts w:hint="default"/>
                      <w:b w:val="0"/>
                      <w:bCs/>
                      <w:lang w:val="en-US" w:eastAsia="zh-CN"/>
                    </w:rPr>
                    <w:t>（基准含氧量：燃气3.5%，电窑和因工艺需要掺入空气/非密闭式生产的按实测浓度计）</w:t>
                  </w:r>
                </w:p>
              </w:tc>
              <w:tc>
                <w:tcPr>
                  <w:tcW w:w="526" w:type="pct"/>
                  <w:shd w:val="clear" w:color="auto" w:fill="auto"/>
                  <w:vAlign w:val="center"/>
                </w:tcPr>
                <w:p w14:paraId="1306C5DA">
                  <w:pPr>
                    <w:pStyle w:val="36"/>
                    <w:bidi w:val="0"/>
                    <w:jc w:val="both"/>
                    <w:rPr>
                      <w:rFonts w:hint="default"/>
                      <w:b w:val="0"/>
                      <w:bCs/>
                      <w:lang w:val="en-US" w:eastAsia="zh-CN"/>
                    </w:rPr>
                  </w:pPr>
                  <w:r>
                    <w:rPr>
                      <w:rFonts w:hint="default"/>
                      <w:b w:val="0"/>
                      <w:bCs/>
                      <w:lang w:val="en-US" w:eastAsia="zh-CN"/>
                    </w:rPr>
                    <w:t>本项目热风炉属于</w:t>
                  </w:r>
                  <w:r>
                    <w:rPr>
                      <w:rFonts w:hint="eastAsia"/>
                      <w:b w:val="0"/>
                      <w:bCs/>
                      <w:lang w:val="en-US" w:eastAsia="zh-CN"/>
                    </w:rPr>
                    <w:t>“</w:t>
                  </w:r>
                  <w:r>
                    <w:rPr>
                      <w:rFonts w:hint="default"/>
                      <w:b w:val="0"/>
                      <w:bCs/>
                      <w:lang w:val="en-US" w:eastAsia="zh-CN"/>
                    </w:rPr>
                    <w:t>干燥炉</w:t>
                  </w:r>
                  <w:r>
                    <w:rPr>
                      <w:rFonts w:hint="eastAsia"/>
                      <w:b w:val="0"/>
                      <w:bCs/>
                      <w:lang w:val="en-US" w:eastAsia="zh-CN"/>
                    </w:rPr>
                    <w:t>”</w:t>
                  </w:r>
                  <w:r>
                    <w:rPr>
                      <w:rFonts w:hint="default"/>
                      <w:b w:val="0"/>
                      <w:bCs/>
                      <w:lang w:val="en-US" w:eastAsia="zh-CN"/>
                    </w:rPr>
                    <w:t>，燃料为天然气和木煤气，属于</w:t>
                  </w:r>
                  <w:r>
                    <w:rPr>
                      <w:rFonts w:hint="eastAsia"/>
                      <w:b w:val="0"/>
                      <w:bCs/>
                      <w:lang w:val="en-US" w:eastAsia="zh-CN"/>
                    </w:rPr>
                    <w:t>“</w:t>
                  </w:r>
                  <w:r>
                    <w:rPr>
                      <w:rFonts w:hint="default"/>
                      <w:b w:val="0"/>
                      <w:bCs/>
                      <w:lang w:val="en-US" w:eastAsia="zh-CN"/>
                    </w:rPr>
                    <w:t>燃气炉窑</w:t>
                  </w:r>
                  <w:r>
                    <w:rPr>
                      <w:rFonts w:hint="eastAsia"/>
                      <w:b w:val="0"/>
                      <w:bCs/>
                      <w:lang w:val="en-US" w:eastAsia="zh-CN"/>
                    </w:rPr>
                    <w:t>”</w:t>
                  </w:r>
                </w:p>
              </w:tc>
              <w:tc>
                <w:tcPr>
                  <w:tcW w:w="1948" w:type="pct"/>
                  <w:shd w:val="clear" w:color="auto" w:fill="auto"/>
                  <w:vAlign w:val="center"/>
                </w:tcPr>
                <w:p w14:paraId="66F24A19">
                  <w:pPr>
                    <w:pStyle w:val="36"/>
                    <w:bidi w:val="0"/>
                    <w:jc w:val="both"/>
                    <w:rPr>
                      <w:rFonts w:hint="default"/>
                      <w:b w:val="0"/>
                      <w:bCs/>
                      <w:lang w:val="en-US" w:eastAsia="zh-CN"/>
                    </w:rPr>
                  </w:pPr>
                  <w:r>
                    <w:rPr>
                      <w:rFonts w:hint="default"/>
                      <w:b w:val="0"/>
                      <w:bCs/>
                      <w:highlight w:val="none"/>
                      <w:lang w:val="en-US" w:eastAsia="zh-CN"/>
                    </w:rPr>
                    <w:t>由于本项目炭化等过程废气通过废气处理措施处理后排放，因此执行最严格限值，即“PM、SO2、NOx排放浓度分别不高于：10、35、50mg/m</w:t>
                  </w:r>
                  <w:r>
                    <w:rPr>
                      <w:rFonts w:hint="default"/>
                      <w:b w:val="0"/>
                      <w:bCs/>
                      <w:highlight w:val="none"/>
                      <w:vertAlign w:val="superscript"/>
                      <w:lang w:val="en-US" w:eastAsia="zh-CN"/>
                    </w:rPr>
                    <w:t>3</w:t>
                  </w:r>
                  <w:r>
                    <w:rPr>
                      <w:rFonts w:hint="default"/>
                      <w:b w:val="0"/>
                      <w:bCs/>
                      <w:highlight w:val="none"/>
                      <w:lang w:val="en-US" w:eastAsia="zh-CN"/>
                    </w:rPr>
                    <w:t>”</w:t>
                  </w:r>
                </w:p>
              </w:tc>
              <w:tc>
                <w:tcPr>
                  <w:tcW w:w="479" w:type="pct"/>
                  <w:shd w:val="clear" w:color="auto" w:fill="auto"/>
                  <w:vAlign w:val="center"/>
                </w:tcPr>
                <w:p w14:paraId="56635314">
                  <w:pPr>
                    <w:pStyle w:val="36"/>
                    <w:bidi w:val="0"/>
                    <w:rPr>
                      <w:rFonts w:hint="default"/>
                      <w:b w:val="0"/>
                      <w:bCs/>
                      <w:lang w:val="en-US" w:eastAsia="zh-CN"/>
                    </w:rPr>
                  </w:pPr>
                  <w:r>
                    <w:rPr>
                      <w:rFonts w:hint="default"/>
                      <w:b w:val="0"/>
                      <w:bCs/>
                      <w:lang w:val="en-US" w:eastAsia="zh-CN"/>
                    </w:rPr>
                    <w:t>相符</w:t>
                  </w:r>
                </w:p>
              </w:tc>
            </w:tr>
            <w:tr w14:paraId="3A986B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4" w:type="pct"/>
                  <w:vMerge w:val="continue"/>
                  <w:shd w:val="clear" w:color="auto" w:fill="auto"/>
                  <w:vAlign w:val="center"/>
                </w:tcPr>
                <w:p w14:paraId="7ACF42DD">
                  <w:pPr>
                    <w:pStyle w:val="36"/>
                    <w:bidi w:val="0"/>
                    <w:rPr>
                      <w:rFonts w:hint="default"/>
                      <w:b w:val="0"/>
                      <w:bCs/>
                      <w:lang w:val="en-US" w:eastAsia="zh-CN"/>
                    </w:rPr>
                  </w:pPr>
                </w:p>
              </w:tc>
              <w:tc>
                <w:tcPr>
                  <w:tcW w:w="286" w:type="pct"/>
                  <w:shd w:val="clear" w:color="auto" w:fill="auto"/>
                  <w:vAlign w:val="center"/>
                </w:tcPr>
                <w:p w14:paraId="092F0952">
                  <w:pPr>
                    <w:pStyle w:val="36"/>
                    <w:bidi w:val="0"/>
                    <w:rPr>
                      <w:rFonts w:hint="default"/>
                      <w:b w:val="0"/>
                      <w:bCs/>
                      <w:lang w:val="en-US" w:eastAsia="zh-CN"/>
                    </w:rPr>
                  </w:pPr>
                  <w:r>
                    <w:rPr>
                      <w:rFonts w:hint="default"/>
                      <w:b w:val="0"/>
                      <w:bCs/>
                      <w:lang w:val="en-US" w:eastAsia="zh-CN"/>
                    </w:rPr>
                    <w:t>其他炉窑</w:t>
                  </w:r>
                </w:p>
              </w:tc>
              <w:tc>
                <w:tcPr>
                  <w:tcW w:w="1474" w:type="pct"/>
                  <w:shd w:val="clear" w:color="auto" w:fill="auto"/>
                  <w:vAlign w:val="center"/>
                </w:tcPr>
                <w:p w14:paraId="12D5EF8D">
                  <w:pPr>
                    <w:pStyle w:val="36"/>
                    <w:bidi w:val="0"/>
                    <w:jc w:val="both"/>
                    <w:rPr>
                      <w:rFonts w:hint="default"/>
                      <w:b w:val="0"/>
                      <w:bCs/>
                      <w:lang w:val="en-US" w:eastAsia="zh-CN"/>
                    </w:rPr>
                  </w:pPr>
                  <w:r>
                    <w:rPr>
                      <w:rFonts w:hint="default"/>
                      <w:b w:val="0"/>
                      <w:bCs/>
                      <w:lang w:val="en-US" w:eastAsia="zh-CN"/>
                    </w:rPr>
                    <w:t>PM、SO</w:t>
                  </w:r>
                  <w:r>
                    <w:rPr>
                      <w:rFonts w:hint="default"/>
                      <w:b w:val="0"/>
                      <w:bCs/>
                      <w:vertAlign w:val="subscript"/>
                      <w:lang w:val="en-US" w:eastAsia="zh-CN"/>
                    </w:rPr>
                    <w:t>2</w:t>
                  </w:r>
                  <w:r>
                    <w:rPr>
                      <w:rFonts w:hint="default"/>
                      <w:b w:val="0"/>
                      <w:bCs/>
                      <w:lang w:val="en-US" w:eastAsia="zh-CN"/>
                    </w:rPr>
                    <w:t>、NOx排放浓度分别不高于：</w:t>
                  </w:r>
                </w:p>
                <w:p w14:paraId="45132DFE">
                  <w:pPr>
                    <w:pStyle w:val="36"/>
                    <w:bidi w:val="0"/>
                    <w:jc w:val="both"/>
                    <w:rPr>
                      <w:rFonts w:hint="default"/>
                      <w:b w:val="0"/>
                      <w:bCs/>
                      <w:lang w:val="en-US" w:eastAsia="zh-CN"/>
                    </w:rPr>
                  </w:pPr>
                  <w:r>
                    <w:rPr>
                      <w:rFonts w:hint="default"/>
                      <w:b w:val="0"/>
                      <w:bCs/>
                      <w:lang w:val="en-US" w:eastAsia="zh-CN"/>
                    </w:rPr>
                    <w:t>燃气：10、50、100mg/m</w:t>
                  </w:r>
                  <w:r>
                    <w:rPr>
                      <w:rFonts w:hint="default"/>
                      <w:b w:val="0"/>
                      <w:bCs/>
                      <w:vertAlign w:val="superscript"/>
                      <w:lang w:val="en-US" w:eastAsia="zh-CN"/>
                    </w:rPr>
                    <w:t>3</w:t>
                  </w:r>
                  <w:r>
                    <w:rPr>
                      <w:rFonts w:hint="default"/>
                      <w:b w:val="0"/>
                      <w:bCs/>
                      <w:lang w:val="en-US" w:eastAsia="zh-CN"/>
                    </w:rPr>
                    <w:t>（基准含氧量：9%）</w:t>
                  </w:r>
                </w:p>
              </w:tc>
              <w:tc>
                <w:tcPr>
                  <w:tcW w:w="526" w:type="pct"/>
                  <w:shd w:val="clear" w:color="auto" w:fill="auto"/>
                  <w:vAlign w:val="center"/>
                </w:tcPr>
                <w:p w14:paraId="79DA77E8">
                  <w:pPr>
                    <w:pStyle w:val="36"/>
                    <w:bidi w:val="0"/>
                    <w:jc w:val="both"/>
                    <w:rPr>
                      <w:rFonts w:hint="default"/>
                      <w:b w:val="0"/>
                      <w:bCs/>
                      <w:lang w:val="en-US" w:eastAsia="zh-CN"/>
                    </w:rPr>
                  </w:pPr>
                  <w:r>
                    <w:rPr>
                      <w:rFonts w:hint="default"/>
                      <w:b w:val="0"/>
                      <w:bCs/>
                      <w:lang w:val="en-US" w:eastAsia="zh-CN"/>
                    </w:rPr>
                    <w:t>本项目炭化炉属于</w:t>
                  </w:r>
                  <w:r>
                    <w:rPr>
                      <w:rFonts w:hint="eastAsia"/>
                      <w:b w:val="0"/>
                      <w:bCs/>
                      <w:lang w:val="en-US" w:eastAsia="zh-CN"/>
                    </w:rPr>
                    <w:t>“</w:t>
                  </w:r>
                  <w:r>
                    <w:rPr>
                      <w:rFonts w:hint="default"/>
                      <w:b w:val="0"/>
                      <w:bCs/>
                      <w:lang w:val="en-US" w:eastAsia="zh-CN"/>
                    </w:rPr>
                    <w:t>其他炉窑</w:t>
                  </w:r>
                  <w:r>
                    <w:rPr>
                      <w:rFonts w:hint="eastAsia"/>
                      <w:b w:val="0"/>
                      <w:bCs/>
                      <w:lang w:val="en-US" w:eastAsia="zh-CN"/>
                    </w:rPr>
                    <w:t>”</w:t>
                  </w:r>
                </w:p>
              </w:tc>
              <w:tc>
                <w:tcPr>
                  <w:tcW w:w="1948" w:type="pct"/>
                  <w:shd w:val="clear" w:color="auto" w:fill="auto"/>
                  <w:vAlign w:val="center"/>
                </w:tcPr>
                <w:p w14:paraId="6075B564">
                  <w:pPr>
                    <w:pStyle w:val="36"/>
                    <w:bidi w:val="0"/>
                    <w:rPr>
                      <w:rFonts w:hint="default"/>
                      <w:b w:val="0"/>
                      <w:bCs/>
                      <w:lang w:val="en-US" w:eastAsia="zh-CN"/>
                    </w:rPr>
                  </w:pPr>
                  <w:r>
                    <w:rPr>
                      <w:rFonts w:hint="eastAsia"/>
                      <w:b w:val="0"/>
                      <w:bCs/>
                      <w:lang w:val="en-US" w:eastAsia="zh-CN"/>
                    </w:rPr>
                    <w:t>/</w:t>
                  </w:r>
                </w:p>
              </w:tc>
              <w:tc>
                <w:tcPr>
                  <w:tcW w:w="479" w:type="pct"/>
                  <w:shd w:val="clear" w:color="auto" w:fill="auto"/>
                  <w:vAlign w:val="center"/>
                </w:tcPr>
                <w:p w14:paraId="35CBE076">
                  <w:pPr>
                    <w:pStyle w:val="36"/>
                    <w:bidi w:val="0"/>
                    <w:rPr>
                      <w:rFonts w:hint="default"/>
                      <w:b w:val="0"/>
                      <w:bCs/>
                      <w:lang w:val="en-US" w:eastAsia="zh-CN"/>
                    </w:rPr>
                  </w:pPr>
                  <w:r>
                    <w:rPr>
                      <w:rFonts w:hint="default"/>
                      <w:b w:val="0"/>
                      <w:bCs/>
                      <w:lang w:val="en-US" w:eastAsia="zh-CN"/>
                    </w:rPr>
                    <w:t>/</w:t>
                  </w:r>
                </w:p>
              </w:tc>
            </w:tr>
            <w:tr w14:paraId="7A41F8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4" w:type="pct"/>
                  <w:vMerge w:val="continue"/>
                  <w:shd w:val="clear" w:color="auto" w:fill="auto"/>
                  <w:vAlign w:val="center"/>
                </w:tcPr>
                <w:p w14:paraId="114918BF">
                  <w:pPr>
                    <w:pStyle w:val="36"/>
                    <w:bidi w:val="0"/>
                    <w:rPr>
                      <w:rFonts w:hint="default"/>
                      <w:b w:val="0"/>
                      <w:bCs/>
                      <w:lang w:val="en-US" w:eastAsia="zh-CN"/>
                    </w:rPr>
                  </w:pPr>
                </w:p>
              </w:tc>
              <w:tc>
                <w:tcPr>
                  <w:tcW w:w="286" w:type="pct"/>
                  <w:shd w:val="clear" w:color="auto" w:fill="auto"/>
                  <w:vAlign w:val="center"/>
                </w:tcPr>
                <w:p w14:paraId="641B0630">
                  <w:pPr>
                    <w:pStyle w:val="36"/>
                    <w:bidi w:val="0"/>
                    <w:rPr>
                      <w:rFonts w:hint="default"/>
                      <w:b w:val="0"/>
                      <w:bCs/>
                      <w:lang w:val="en-US" w:eastAsia="zh-CN"/>
                    </w:rPr>
                  </w:pPr>
                  <w:r>
                    <w:rPr>
                      <w:rFonts w:hint="default"/>
                      <w:b w:val="0"/>
                      <w:bCs/>
                      <w:lang w:val="en-US" w:eastAsia="zh-CN"/>
                    </w:rPr>
                    <w:t>其他工序</w:t>
                  </w:r>
                </w:p>
              </w:tc>
              <w:tc>
                <w:tcPr>
                  <w:tcW w:w="2000" w:type="pct"/>
                  <w:gridSpan w:val="2"/>
                  <w:shd w:val="clear" w:color="auto" w:fill="auto"/>
                  <w:vAlign w:val="center"/>
                </w:tcPr>
                <w:p w14:paraId="5521E974">
                  <w:pPr>
                    <w:pStyle w:val="36"/>
                    <w:bidi w:val="0"/>
                    <w:jc w:val="both"/>
                    <w:rPr>
                      <w:rFonts w:hint="default"/>
                      <w:b w:val="0"/>
                      <w:bCs/>
                      <w:lang w:val="en-US" w:eastAsia="zh-CN"/>
                    </w:rPr>
                  </w:pPr>
                  <w:r>
                    <w:rPr>
                      <w:rFonts w:hint="default"/>
                      <w:b w:val="0"/>
                      <w:bCs/>
                      <w:lang w:val="en-US" w:eastAsia="zh-CN"/>
                    </w:rPr>
                    <w:t>PM排放浓度不高于10mg/m</w:t>
                  </w:r>
                  <w:r>
                    <w:rPr>
                      <w:rFonts w:hint="default"/>
                      <w:b w:val="0"/>
                      <w:bCs/>
                      <w:vertAlign w:val="superscript"/>
                      <w:lang w:val="en-US" w:eastAsia="zh-CN"/>
                    </w:rPr>
                    <w:t>3</w:t>
                  </w:r>
                </w:p>
              </w:tc>
              <w:tc>
                <w:tcPr>
                  <w:tcW w:w="1948" w:type="pct"/>
                  <w:shd w:val="clear" w:color="auto" w:fill="auto"/>
                  <w:vAlign w:val="center"/>
                </w:tcPr>
                <w:p w14:paraId="3F7074A8">
                  <w:pPr>
                    <w:pStyle w:val="36"/>
                    <w:bidi w:val="0"/>
                    <w:jc w:val="both"/>
                    <w:rPr>
                      <w:rFonts w:hint="default"/>
                      <w:b w:val="0"/>
                      <w:bCs/>
                      <w:lang w:val="en-US" w:eastAsia="zh-CN"/>
                    </w:rPr>
                  </w:pPr>
                  <w:r>
                    <w:rPr>
                      <w:rFonts w:hint="default"/>
                      <w:b w:val="0"/>
                      <w:bCs/>
                      <w:lang w:val="en-US" w:eastAsia="zh-CN"/>
                    </w:rPr>
                    <w:t>本项目其他工序有组织颗粒物排放浓度不高于10mg/m</w:t>
                  </w:r>
                  <w:r>
                    <w:rPr>
                      <w:rFonts w:hint="default"/>
                      <w:b w:val="0"/>
                      <w:bCs/>
                      <w:vertAlign w:val="superscript"/>
                      <w:lang w:val="en-US" w:eastAsia="zh-CN"/>
                    </w:rPr>
                    <w:t>3</w:t>
                  </w:r>
                </w:p>
              </w:tc>
              <w:tc>
                <w:tcPr>
                  <w:tcW w:w="479" w:type="pct"/>
                  <w:shd w:val="clear" w:color="auto" w:fill="auto"/>
                  <w:vAlign w:val="center"/>
                </w:tcPr>
                <w:p w14:paraId="3FBEB3A7">
                  <w:pPr>
                    <w:pStyle w:val="36"/>
                    <w:bidi w:val="0"/>
                    <w:rPr>
                      <w:rFonts w:hint="default"/>
                      <w:b w:val="0"/>
                      <w:bCs/>
                      <w:lang w:val="en-US" w:eastAsia="zh-CN"/>
                    </w:rPr>
                  </w:pPr>
                  <w:r>
                    <w:rPr>
                      <w:rFonts w:hint="default"/>
                      <w:b w:val="0"/>
                      <w:bCs/>
                      <w:lang w:val="en-US" w:eastAsia="zh-CN"/>
                    </w:rPr>
                    <w:t>相符</w:t>
                  </w:r>
                </w:p>
              </w:tc>
            </w:tr>
            <w:tr w14:paraId="17ECED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71" w:type="pct"/>
                  <w:gridSpan w:val="2"/>
                  <w:shd w:val="clear" w:color="auto" w:fill="auto"/>
                  <w:vAlign w:val="center"/>
                </w:tcPr>
                <w:p w14:paraId="375BB996">
                  <w:pPr>
                    <w:pStyle w:val="36"/>
                    <w:bidi w:val="0"/>
                    <w:rPr>
                      <w:rFonts w:hint="default"/>
                      <w:b w:val="0"/>
                      <w:bCs/>
                      <w:lang w:val="en-US" w:eastAsia="zh-CN"/>
                    </w:rPr>
                  </w:pPr>
                  <w:r>
                    <w:rPr>
                      <w:rFonts w:hint="default"/>
                      <w:b w:val="0"/>
                      <w:bCs/>
                      <w:lang w:val="en-US" w:eastAsia="zh-CN"/>
                    </w:rPr>
                    <w:t>监测监控水平</w:t>
                  </w:r>
                </w:p>
              </w:tc>
              <w:tc>
                <w:tcPr>
                  <w:tcW w:w="2000" w:type="pct"/>
                  <w:gridSpan w:val="2"/>
                  <w:shd w:val="clear" w:color="auto" w:fill="auto"/>
                  <w:vAlign w:val="center"/>
                </w:tcPr>
                <w:p w14:paraId="46E022BB">
                  <w:pPr>
                    <w:pStyle w:val="36"/>
                    <w:bidi w:val="0"/>
                    <w:jc w:val="both"/>
                    <w:rPr>
                      <w:rFonts w:hint="default"/>
                      <w:b w:val="0"/>
                      <w:bCs/>
                      <w:lang w:val="en-US" w:eastAsia="zh-CN"/>
                    </w:rPr>
                  </w:pPr>
                  <w:r>
                    <w:rPr>
                      <w:rFonts w:hint="default"/>
                      <w:b w:val="0"/>
                      <w:bCs/>
                      <w:lang w:val="en-US" w:eastAsia="zh-CN"/>
                    </w:rPr>
                    <w:t>重点排污企业主要排放口</w:t>
                  </w:r>
                  <w:r>
                    <w:rPr>
                      <w:rFonts w:hint="default"/>
                      <w:b w:val="0"/>
                      <w:bCs/>
                      <w:vertAlign w:val="superscript"/>
                      <w:lang w:val="en-US" w:eastAsia="zh-CN"/>
                    </w:rPr>
                    <w:t>[6]</w:t>
                  </w:r>
                  <w:r>
                    <w:rPr>
                      <w:rFonts w:hint="default"/>
                      <w:b w:val="0"/>
                      <w:bCs/>
                      <w:lang w:val="en-US" w:eastAsia="zh-CN"/>
                    </w:rPr>
                    <w:t>安装CEMS，记录生产设施运行情况，并按要求与省厅联网；CEMS数据至少保存最近12个月的1分钟均值，36个月的1小时均值及60个月的日均值和月均值。（投产或安装时间不满一年以上的企业，以现有数据为准）。</w:t>
                  </w:r>
                </w:p>
              </w:tc>
              <w:tc>
                <w:tcPr>
                  <w:tcW w:w="1948" w:type="pct"/>
                  <w:shd w:val="clear" w:color="auto" w:fill="auto"/>
                  <w:vAlign w:val="center"/>
                </w:tcPr>
                <w:p w14:paraId="488A7B2D">
                  <w:pPr>
                    <w:pStyle w:val="36"/>
                    <w:bidi w:val="0"/>
                    <w:jc w:val="both"/>
                    <w:rPr>
                      <w:rFonts w:hint="default"/>
                      <w:b w:val="0"/>
                      <w:bCs/>
                      <w:lang w:val="en-US" w:eastAsia="zh-CN"/>
                    </w:rPr>
                  </w:pPr>
                  <w:r>
                    <w:rPr>
                      <w:rFonts w:hint="default"/>
                      <w:b w:val="0"/>
                      <w:bCs/>
                      <w:lang w:val="en-US" w:eastAsia="zh-CN"/>
                    </w:rPr>
                    <w:t>本项目严格按照此项要求和当地环保政策执行</w:t>
                  </w:r>
                </w:p>
              </w:tc>
              <w:tc>
                <w:tcPr>
                  <w:tcW w:w="479" w:type="pct"/>
                  <w:shd w:val="clear" w:color="auto" w:fill="auto"/>
                  <w:vAlign w:val="center"/>
                </w:tcPr>
                <w:p w14:paraId="41B48E3E">
                  <w:pPr>
                    <w:pStyle w:val="36"/>
                    <w:bidi w:val="0"/>
                    <w:rPr>
                      <w:rFonts w:hint="default"/>
                      <w:b w:val="0"/>
                      <w:bCs/>
                      <w:lang w:val="en-US" w:eastAsia="zh-CN"/>
                    </w:rPr>
                  </w:pPr>
                  <w:r>
                    <w:rPr>
                      <w:rFonts w:hint="default"/>
                      <w:b w:val="0"/>
                      <w:bCs/>
                      <w:lang w:val="en-US" w:eastAsia="zh-CN"/>
                    </w:rPr>
                    <w:t>相符</w:t>
                  </w:r>
                </w:p>
              </w:tc>
            </w:tr>
            <w:tr w14:paraId="701972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00" w:type="pct"/>
                  <w:gridSpan w:val="6"/>
                  <w:shd w:val="clear" w:color="auto" w:fill="auto"/>
                  <w:vAlign w:val="center"/>
                </w:tcPr>
                <w:p w14:paraId="57445E5A">
                  <w:pPr>
                    <w:pStyle w:val="36"/>
                    <w:bidi w:val="0"/>
                    <w:jc w:val="both"/>
                    <w:rPr>
                      <w:rFonts w:hint="default"/>
                      <w:b w:val="0"/>
                      <w:bCs/>
                      <w:lang w:val="en-US" w:eastAsia="zh-CN"/>
                    </w:rPr>
                  </w:pPr>
                  <w:r>
                    <w:rPr>
                      <w:rFonts w:hint="default"/>
                      <w:b w:val="0"/>
                      <w:bCs/>
                      <w:lang w:val="en-US" w:eastAsia="zh-CN"/>
                    </w:rPr>
                    <w:t>备注[1]：燃气锅炉在PM稳定达到排放限值情况下可不采用除尘工艺；</w:t>
                  </w:r>
                </w:p>
                <w:p w14:paraId="50D50C54">
                  <w:pPr>
                    <w:pStyle w:val="36"/>
                    <w:bidi w:val="0"/>
                    <w:jc w:val="both"/>
                    <w:rPr>
                      <w:rFonts w:hint="default"/>
                      <w:b w:val="0"/>
                      <w:bCs/>
                      <w:lang w:val="en-US" w:eastAsia="zh-CN"/>
                    </w:rPr>
                  </w:pPr>
                  <w:r>
                    <w:rPr>
                      <w:rFonts w:hint="default"/>
                      <w:b w:val="0"/>
                      <w:bCs/>
                      <w:lang w:val="en-US" w:eastAsia="zh-CN"/>
                    </w:rPr>
                    <w:t>备注[2]：温度低于800℃的燃气/燃油的干燥窑、热处理窑和燃气/生物质锅炉，在稳定达到排放限值情况下可不采用SCR/SNCR等工艺；</w:t>
                  </w:r>
                </w:p>
                <w:p w14:paraId="21A1A43C">
                  <w:pPr>
                    <w:pStyle w:val="36"/>
                    <w:bidi w:val="0"/>
                    <w:jc w:val="both"/>
                    <w:rPr>
                      <w:rFonts w:hint="default"/>
                      <w:b w:val="0"/>
                      <w:bCs/>
                      <w:lang w:val="en-US" w:eastAsia="zh-CN"/>
                    </w:rPr>
                  </w:pPr>
                  <w:r>
                    <w:rPr>
                      <w:rFonts w:hint="default"/>
                      <w:b w:val="0"/>
                      <w:bCs/>
                      <w:lang w:val="en-US" w:eastAsia="zh-CN"/>
                    </w:rPr>
                    <w:t>备注[3]：采用纯生物质锅炉、炉窑，在SO2稳定达到排放限值情况下可不采用脱硫工艺；</w:t>
                  </w:r>
                </w:p>
                <w:p w14:paraId="7FB79686">
                  <w:pPr>
                    <w:pStyle w:val="36"/>
                    <w:bidi w:val="0"/>
                    <w:jc w:val="both"/>
                    <w:rPr>
                      <w:rFonts w:hint="default"/>
                      <w:b w:val="0"/>
                      <w:bCs/>
                      <w:lang w:val="en-US" w:eastAsia="zh-CN"/>
                    </w:rPr>
                  </w:pPr>
                  <w:r>
                    <w:rPr>
                      <w:rFonts w:hint="default"/>
                      <w:b w:val="0"/>
                      <w:bCs/>
                      <w:lang w:val="en-US" w:eastAsia="zh-CN"/>
                    </w:rPr>
                    <w:t>备注[4]：新建燃气锅炉和需要采取特别保护措施的区域，执行该排放限值；</w:t>
                  </w:r>
                </w:p>
                <w:p w14:paraId="47D554E4">
                  <w:pPr>
                    <w:pStyle w:val="36"/>
                    <w:bidi w:val="0"/>
                    <w:jc w:val="both"/>
                    <w:rPr>
                      <w:rFonts w:hint="default"/>
                      <w:b w:val="0"/>
                      <w:bCs/>
                      <w:lang w:val="en-US" w:eastAsia="zh-CN"/>
                    </w:rPr>
                  </w:pPr>
                  <w:r>
                    <w:rPr>
                      <w:rFonts w:hint="default"/>
                      <w:b w:val="0"/>
                      <w:bCs/>
                      <w:lang w:val="en-US" w:eastAsia="zh-CN"/>
                    </w:rPr>
                    <w:t>备注[5]：确定生物质发电锅炉基准含氧量按6%计；</w:t>
                  </w:r>
                </w:p>
                <w:p w14:paraId="393E9A13">
                  <w:pPr>
                    <w:pStyle w:val="36"/>
                    <w:bidi w:val="0"/>
                    <w:jc w:val="both"/>
                    <w:rPr>
                      <w:rFonts w:hint="default"/>
                      <w:b w:val="0"/>
                      <w:bCs/>
                      <w:lang w:val="en-US" w:eastAsia="zh-CN"/>
                    </w:rPr>
                  </w:pPr>
                  <w:r>
                    <w:rPr>
                      <w:rFonts w:hint="default"/>
                      <w:b w:val="0"/>
                      <w:bCs/>
                      <w:lang w:val="en-US" w:eastAsia="zh-CN"/>
                    </w:rPr>
                    <w:t>备注[6]：主要排放口按照《排污许可证申请与核发技术规范 XX工业》确定。</w:t>
                  </w:r>
                </w:p>
              </w:tc>
            </w:tr>
          </w:tbl>
          <w:p w14:paraId="4867178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rPr>
            </w:pPr>
            <w:r>
              <w:rPr>
                <w:rFonts w:hint="default"/>
              </w:rPr>
              <w:t>由</w:t>
            </w:r>
            <w:r>
              <w:rPr>
                <w:rFonts w:hint="default"/>
                <w:lang w:val="en-US" w:eastAsia="zh-CN"/>
              </w:rPr>
              <w:t>以上两表</w:t>
            </w:r>
            <w:r>
              <w:rPr>
                <w:rFonts w:hint="default"/>
              </w:rPr>
              <w:t>分析可知，项目建设符合《河南省重污染天气通用行业应急减排措施制定技术指南（202</w:t>
            </w:r>
            <w:r>
              <w:rPr>
                <w:rFonts w:hint="default"/>
                <w:lang w:val="en-US" w:eastAsia="zh-CN"/>
              </w:rPr>
              <w:t>4</w:t>
            </w:r>
            <w:r>
              <w:rPr>
                <w:rFonts w:hint="default"/>
              </w:rPr>
              <w:t>年修订版)》</w:t>
            </w:r>
            <w:r>
              <w:rPr>
                <w:rFonts w:hint="default"/>
                <w:lang w:val="en-US" w:eastAsia="zh-CN"/>
              </w:rPr>
              <w:t>中相应</w:t>
            </w:r>
            <w:r>
              <w:rPr>
                <w:rFonts w:hint="default"/>
              </w:rPr>
              <w:t>要求。</w:t>
            </w:r>
          </w:p>
          <w:p w14:paraId="08826ABF">
            <w:pPr>
              <w:tabs>
                <w:tab w:val="left" w:pos="1081"/>
              </w:tabs>
              <w:spacing w:line="360" w:lineRule="auto"/>
              <w:ind w:firstLine="482" w:firstLineChars="200"/>
              <w:rPr>
                <w:b/>
                <w:sz w:val="24"/>
              </w:rPr>
            </w:pPr>
            <w:r>
              <w:rPr>
                <w:b/>
                <w:sz w:val="24"/>
              </w:rPr>
              <w:t>3.</w:t>
            </w:r>
            <w:r>
              <w:rPr>
                <w:rFonts w:hint="eastAsia"/>
                <w:b/>
                <w:sz w:val="24"/>
                <w:lang w:val="en-US" w:eastAsia="zh-CN"/>
              </w:rPr>
              <w:t>3</w:t>
            </w:r>
            <w:r>
              <w:rPr>
                <w:b/>
                <w:sz w:val="24"/>
              </w:rPr>
              <w:t>、项目与《南阳市人民政府办公室关于印发南阳市环境空气质量限期达标行动实施方案（2024—2025年）的通知》（宛政办〔2024〕3号）的相符性分析</w:t>
            </w:r>
          </w:p>
          <w:p w14:paraId="06AD95B2">
            <w:pPr>
              <w:spacing w:line="360" w:lineRule="auto"/>
              <w:jc w:val="center"/>
              <w:rPr>
                <w:b/>
                <w:bCs/>
                <w:sz w:val="24"/>
              </w:rPr>
            </w:pPr>
            <w:r>
              <w:rPr>
                <w:b/>
                <w:bCs/>
                <w:sz w:val="24"/>
              </w:rPr>
              <w:t>表1-</w:t>
            </w:r>
            <w:r>
              <w:rPr>
                <w:rFonts w:hint="eastAsia"/>
                <w:b/>
                <w:bCs/>
                <w:sz w:val="24"/>
                <w:lang w:val="en-US" w:eastAsia="zh-CN"/>
              </w:rPr>
              <w:t>4</w:t>
            </w:r>
            <w:r>
              <w:rPr>
                <w:rFonts w:hint="eastAsia"/>
                <w:b/>
                <w:bCs/>
                <w:sz w:val="24"/>
              </w:rPr>
              <w:t xml:space="preserve">  </w:t>
            </w:r>
            <w:r>
              <w:rPr>
                <w:b/>
                <w:bCs/>
                <w:sz w:val="24"/>
              </w:rPr>
              <w:t>项目与《南阳市人民政府办公室关于印发南阳市环境空气质量限期达标行动实施方案（2024—2025年）的通知》（宛政办〔2024〕3号）相符性分析比对表</w:t>
            </w:r>
          </w:p>
          <w:tbl>
            <w:tblPr>
              <w:tblStyle w:val="29"/>
              <w:tblW w:w="4997"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 w:type="dxa"/>
                <w:bottom w:w="0" w:type="dxa"/>
                <w:right w:w="10" w:type="dxa"/>
              </w:tblCellMar>
            </w:tblPr>
            <w:tblGrid>
              <w:gridCol w:w="830"/>
              <w:gridCol w:w="3708"/>
              <w:gridCol w:w="2826"/>
              <w:gridCol w:w="743"/>
            </w:tblGrid>
            <w:tr w14:paraId="12CA538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454" w:hRule="atLeast"/>
                <w:jc w:val="center"/>
              </w:trPr>
              <w:tc>
                <w:tcPr>
                  <w:tcW w:w="2798" w:type="pct"/>
                  <w:gridSpan w:val="2"/>
                  <w:tcBorders>
                    <w:top w:val="single" w:color="auto" w:sz="6" w:space="0"/>
                    <w:left w:val="single" w:color="auto" w:sz="6" w:space="0"/>
                    <w:bottom w:val="single" w:color="auto" w:sz="4" w:space="0"/>
                    <w:right w:val="single" w:color="auto" w:sz="4" w:space="0"/>
                  </w:tcBorders>
                  <w:noWrap w:val="0"/>
                  <w:vAlign w:val="center"/>
                </w:tcPr>
                <w:p w14:paraId="43E95C14">
                  <w:pPr>
                    <w:snapToGrid w:val="0"/>
                    <w:jc w:val="center"/>
                    <w:rPr>
                      <w:sz w:val="21"/>
                      <w:szCs w:val="21"/>
                    </w:rPr>
                  </w:pPr>
                  <w:r>
                    <w:rPr>
                      <w:rStyle w:val="44"/>
                      <w:rFonts w:hint="default" w:ascii="Times New Roman" w:hAnsi="Times New Roman" w:eastAsia="宋体" w:cs="Times New Roman"/>
                      <w:color w:val="auto"/>
                      <w:sz w:val="21"/>
                      <w:szCs w:val="21"/>
                    </w:rPr>
                    <w:t>要求</w:t>
                  </w:r>
                </w:p>
              </w:tc>
              <w:tc>
                <w:tcPr>
                  <w:tcW w:w="1742" w:type="pct"/>
                  <w:tcBorders>
                    <w:top w:val="single" w:color="auto" w:sz="6" w:space="0"/>
                    <w:left w:val="single" w:color="auto" w:sz="4" w:space="0"/>
                    <w:bottom w:val="single" w:color="auto" w:sz="4" w:space="0"/>
                    <w:right w:val="single" w:color="auto" w:sz="4" w:space="0"/>
                  </w:tcBorders>
                  <w:noWrap w:val="0"/>
                  <w:vAlign w:val="center"/>
                </w:tcPr>
                <w:p w14:paraId="47E45F4B">
                  <w:pPr>
                    <w:snapToGrid w:val="0"/>
                    <w:jc w:val="center"/>
                    <w:rPr>
                      <w:sz w:val="21"/>
                      <w:szCs w:val="21"/>
                    </w:rPr>
                  </w:pPr>
                  <w:r>
                    <w:rPr>
                      <w:rStyle w:val="44"/>
                      <w:rFonts w:hint="default" w:ascii="Times New Roman" w:hAnsi="Times New Roman" w:eastAsia="宋体" w:cs="Times New Roman"/>
                      <w:color w:val="auto"/>
                      <w:sz w:val="21"/>
                      <w:szCs w:val="21"/>
                    </w:rPr>
                    <w:t>本项目情况</w:t>
                  </w:r>
                </w:p>
              </w:tc>
              <w:tc>
                <w:tcPr>
                  <w:tcW w:w="458" w:type="pct"/>
                  <w:tcBorders>
                    <w:top w:val="single" w:color="auto" w:sz="6" w:space="0"/>
                    <w:left w:val="single" w:color="auto" w:sz="4" w:space="0"/>
                    <w:bottom w:val="single" w:color="auto" w:sz="4" w:space="0"/>
                    <w:right w:val="single" w:color="auto" w:sz="6" w:space="0"/>
                  </w:tcBorders>
                  <w:noWrap w:val="0"/>
                  <w:vAlign w:val="center"/>
                </w:tcPr>
                <w:p w14:paraId="5F150F91">
                  <w:pPr>
                    <w:snapToGrid w:val="0"/>
                    <w:jc w:val="center"/>
                    <w:rPr>
                      <w:sz w:val="21"/>
                      <w:szCs w:val="21"/>
                    </w:rPr>
                  </w:pPr>
                  <w:r>
                    <w:rPr>
                      <w:rStyle w:val="44"/>
                      <w:rFonts w:hint="default" w:ascii="Times New Roman" w:hAnsi="Times New Roman" w:eastAsia="宋体" w:cs="Times New Roman"/>
                      <w:color w:val="auto"/>
                      <w:sz w:val="21"/>
                      <w:szCs w:val="21"/>
                    </w:rPr>
                    <w:t>相符性</w:t>
                  </w:r>
                </w:p>
              </w:tc>
            </w:tr>
            <w:tr w14:paraId="6D975EB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454" w:hRule="atLeast"/>
                <w:jc w:val="center"/>
              </w:trPr>
              <w:tc>
                <w:tcPr>
                  <w:tcW w:w="512" w:type="pct"/>
                  <w:tcBorders>
                    <w:top w:val="single" w:color="auto" w:sz="4" w:space="0"/>
                    <w:left w:val="single" w:color="auto" w:sz="6" w:space="0"/>
                    <w:right w:val="single" w:color="auto" w:sz="4" w:space="0"/>
                  </w:tcBorders>
                  <w:noWrap w:val="0"/>
                  <w:vAlign w:val="center"/>
                </w:tcPr>
                <w:p w14:paraId="1637D966">
                  <w:pPr>
                    <w:snapToGrid w:val="0"/>
                    <w:jc w:val="center"/>
                    <w:rPr>
                      <w:sz w:val="21"/>
                      <w:szCs w:val="21"/>
                    </w:rPr>
                  </w:pPr>
                  <w:r>
                    <w:rPr>
                      <w:sz w:val="21"/>
                      <w:szCs w:val="21"/>
                    </w:rPr>
                    <w:t>（一）持续推进产业结构优化调整</w:t>
                  </w:r>
                </w:p>
              </w:tc>
              <w:tc>
                <w:tcPr>
                  <w:tcW w:w="2286" w:type="pct"/>
                  <w:tcBorders>
                    <w:top w:val="single" w:color="auto" w:sz="4" w:space="0"/>
                    <w:left w:val="single" w:color="auto" w:sz="4" w:space="0"/>
                    <w:bottom w:val="single" w:color="auto" w:sz="4" w:space="0"/>
                    <w:right w:val="single" w:color="auto" w:sz="4" w:space="0"/>
                  </w:tcBorders>
                  <w:noWrap w:val="0"/>
                  <w:vAlign w:val="center"/>
                </w:tcPr>
                <w:p w14:paraId="002613E9">
                  <w:pPr>
                    <w:widowControl/>
                    <w:rPr>
                      <w:sz w:val="21"/>
                      <w:szCs w:val="21"/>
                    </w:rPr>
                  </w:pPr>
                  <w:r>
                    <w:rPr>
                      <w:sz w:val="21"/>
                      <w:szCs w:val="21"/>
                    </w:rPr>
                    <w:t>2.坚决遏制两高项目盲目发展。严格落实国家和省、市产业规划、产业政策、</w:t>
                  </w:r>
                  <w:r>
                    <w:rPr>
                      <w:rFonts w:hint="eastAsia"/>
                      <w:bCs/>
                      <w:kern w:val="0"/>
                      <w:sz w:val="21"/>
                      <w:szCs w:val="21"/>
                    </w:rPr>
                    <w:t>“</w:t>
                  </w:r>
                  <w:r>
                    <w:rPr>
                      <w:bCs/>
                      <w:kern w:val="0"/>
                      <w:sz w:val="21"/>
                      <w:szCs w:val="21"/>
                    </w:rPr>
                    <w:t>三线一单</w:t>
                  </w:r>
                  <w:r>
                    <w:rPr>
                      <w:rFonts w:hint="eastAsia"/>
                      <w:bCs/>
                      <w:kern w:val="0"/>
                      <w:sz w:val="21"/>
                      <w:szCs w:val="21"/>
                    </w:rPr>
                    <w:t>”</w:t>
                  </w:r>
                  <w:r>
                    <w:rPr>
                      <w:sz w:val="21"/>
                      <w:szCs w:val="21"/>
                    </w:rPr>
                    <w:t>、规划环评，以及产能置换、煤炭消费减量替代、区域污染物削减等要求，严把高耗能、高排放、低水平项目</w:t>
                  </w:r>
                  <w:r>
                    <w:rPr>
                      <w:sz w:val="21"/>
                      <w:szCs w:val="21"/>
                    </w:rPr>
                    <w:cr/>
                  </w:r>
                  <w:r>
                    <w:rPr>
                      <w:sz w:val="21"/>
                      <w:szCs w:val="21"/>
                    </w:rPr>
                    <w:t>入关口。</w:t>
                  </w:r>
                </w:p>
              </w:tc>
              <w:tc>
                <w:tcPr>
                  <w:tcW w:w="1742" w:type="pct"/>
                  <w:tcBorders>
                    <w:top w:val="single" w:color="auto" w:sz="4" w:space="0"/>
                    <w:left w:val="single" w:color="auto" w:sz="4" w:space="0"/>
                    <w:bottom w:val="single" w:color="auto" w:sz="4" w:space="0"/>
                    <w:right w:val="single" w:color="auto" w:sz="4" w:space="0"/>
                  </w:tcBorders>
                  <w:noWrap w:val="0"/>
                  <w:vAlign w:val="center"/>
                </w:tcPr>
                <w:p w14:paraId="1EE9777E">
                  <w:pPr>
                    <w:pStyle w:val="11"/>
                    <w:keepNext w:val="0"/>
                    <w:keepLines w:val="0"/>
                    <w:suppressLineNumbers w:val="0"/>
                    <w:spacing w:before="0" w:beforeAutospacing="0" w:after="0" w:afterAutospacing="0"/>
                    <w:ind w:left="0" w:leftChars="0" w:right="0" w:rightChars="0"/>
                    <w:rPr>
                      <w:kern w:val="0"/>
                      <w:sz w:val="21"/>
                      <w:szCs w:val="21"/>
                    </w:rPr>
                  </w:pPr>
                  <w:r>
                    <w:rPr>
                      <w:rFonts w:hint="default" w:ascii="Times New Roman" w:hAnsi="Times New Roman" w:eastAsia="宋体" w:cs="Times New Roman"/>
                      <w:bCs/>
                      <w:color w:val="000000" w:themeColor="text1"/>
                      <w:kern w:val="0"/>
                      <w:sz w:val="21"/>
                      <w:szCs w:val="21"/>
                      <w:highlight w:val="none"/>
                      <w:u w:val="none"/>
                      <w14:textFill>
                        <w14:solidFill>
                          <w14:schemeClr w14:val="tx1"/>
                        </w14:solidFill>
                      </w14:textFill>
                    </w:rPr>
                    <w:t>经比对《河南省“两高”项目管理目录（2023年修订）》，本项目不属于“两高”项目；项目不属于新增钢铁产能，符合区域“三线一单”管控要求，符合规划环评要求。</w:t>
                  </w:r>
                </w:p>
              </w:tc>
              <w:tc>
                <w:tcPr>
                  <w:tcW w:w="458" w:type="pct"/>
                  <w:tcBorders>
                    <w:top w:val="single" w:color="auto" w:sz="4" w:space="0"/>
                    <w:left w:val="single" w:color="auto" w:sz="4" w:space="0"/>
                    <w:bottom w:val="single" w:color="auto" w:sz="4" w:space="0"/>
                    <w:right w:val="single" w:color="auto" w:sz="6" w:space="0"/>
                  </w:tcBorders>
                  <w:noWrap w:val="0"/>
                  <w:vAlign w:val="center"/>
                </w:tcPr>
                <w:p w14:paraId="6BFDA181">
                  <w:pPr>
                    <w:snapToGrid w:val="0"/>
                    <w:jc w:val="center"/>
                    <w:rPr>
                      <w:sz w:val="21"/>
                      <w:szCs w:val="21"/>
                    </w:rPr>
                  </w:pPr>
                  <w:r>
                    <w:rPr>
                      <w:rStyle w:val="44"/>
                      <w:rFonts w:hint="default" w:ascii="Times New Roman" w:hAnsi="Times New Roman" w:eastAsia="宋体" w:cs="Times New Roman"/>
                      <w:color w:val="auto"/>
                      <w:sz w:val="21"/>
                      <w:szCs w:val="21"/>
                    </w:rPr>
                    <w:t>相符</w:t>
                  </w:r>
                </w:p>
              </w:tc>
            </w:tr>
            <w:tr w14:paraId="04C4491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454" w:hRule="atLeast"/>
                <w:jc w:val="center"/>
              </w:trPr>
              <w:tc>
                <w:tcPr>
                  <w:tcW w:w="512" w:type="pct"/>
                  <w:vMerge w:val="restart"/>
                  <w:tcBorders>
                    <w:top w:val="single" w:color="auto" w:sz="4" w:space="0"/>
                    <w:left w:val="single" w:color="auto" w:sz="6" w:space="0"/>
                    <w:right w:val="single" w:color="auto" w:sz="4" w:space="0"/>
                  </w:tcBorders>
                  <w:noWrap w:val="0"/>
                  <w:vAlign w:val="center"/>
                </w:tcPr>
                <w:p w14:paraId="5760B14D">
                  <w:pPr>
                    <w:widowControl/>
                    <w:jc w:val="center"/>
                    <w:rPr>
                      <w:sz w:val="21"/>
                      <w:szCs w:val="21"/>
                    </w:rPr>
                  </w:pPr>
                  <w:r>
                    <w:rPr>
                      <w:sz w:val="21"/>
                      <w:szCs w:val="21"/>
                    </w:rPr>
                    <w:t>（二）深入推进能源结构优化调整</w:t>
                  </w:r>
                </w:p>
              </w:tc>
              <w:tc>
                <w:tcPr>
                  <w:tcW w:w="2286" w:type="pct"/>
                  <w:tcBorders>
                    <w:top w:val="single" w:color="auto" w:sz="4" w:space="0"/>
                    <w:left w:val="single" w:color="auto" w:sz="4" w:space="0"/>
                    <w:bottom w:val="single" w:color="auto" w:sz="4" w:space="0"/>
                    <w:right w:val="single" w:color="auto" w:sz="4" w:space="0"/>
                  </w:tcBorders>
                  <w:noWrap w:val="0"/>
                  <w:vAlign w:val="center"/>
                </w:tcPr>
                <w:p w14:paraId="40AD86AF">
                  <w:pPr>
                    <w:widowControl/>
                    <w:jc w:val="both"/>
                    <w:rPr>
                      <w:sz w:val="21"/>
                      <w:szCs w:val="21"/>
                      <w:u w:val="none" w:color="auto"/>
                    </w:rPr>
                  </w:pPr>
                  <w:r>
                    <w:rPr>
                      <w:sz w:val="21"/>
                      <w:szCs w:val="21"/>
                      <w:u w:val="none" w:color="auto"/>
                    </w:rPr>
                    <w:t>5.大力发展清洁能源。加快非化石能源发展，以光伏发电、风电为重点，以生物质、抽水蓄能、地热能、氢能等为补充，因地制宜推动可再生能源多元化、协同化发展。优先支持</w:t>
                  </w:r>
                  <w:r>
                    <w:rPr>
                      <w:rFonts w:hint="eastAsia"/>
                      <w:sz w:val="21"/>
                      <w:szCs w:val="21"/>
                      <w:u w:val="none" w:color="auto"/>
                    </w:rPr>
                    <w:t>“</w:t>
                  </w:r>
                  <w:r>
                    <w:rPr>
                      <w:sz w:val="21"/>
                      <w:szCs w:val="21"/>
                      <w:u w:val="none" w:color="auto"/>
                    </w:rPr>
                    <w:t>源网荷储一体化</w:t>
                  </w:r>
                  <w:r>
                    <w:rPr>
                      <w:rFonts w:hint="eastAsia"/>
                      <w:sz w:val="21"/>
                      <w:szCs w:val="21"/>
                      <w:u w:val="none" w:color="auto"/>
                    </w:rPr>
                    <w:t>”“</w:t>
                  </w:r>
                  <w:r>
                    <w:rPr>
                      <w:sz w:val="21"/>
                      <w:szCs w:val="21"/>
                      <w:u w:val="none" w:color="auto"/>
                    </w:rPr>
                    <w:t>风电＋高比例储能</w:t>
                  </w:r>
                  <w:r>
                    <w:rPr>
                      <w:rFonts w:hint="eastAsia"/>
                      <w:sz w:val="21"/>
                      <w:szCs w:val="21"/>
                      <w:u w:val="none" w:color="auto"/>
                    </w:rPr>
                    <w:t>”“</w:t>
                  </w:r>
                  <w:r>
                    <w:rPr>
                      <w:sz w:val="21"/>
                      <w:szCs w:val="21"/>
                      <w:u w:val="none" w:color="auto"/>
                    </w:rPr>
                    <w:t>光伏＋高比例储能</w:t>
                  </w:r>
                  <w:r>
                    <w:rPr>
                      <w:rFonts w:hint="eastAsia"/>
                      <w:sz w:val="21"/>
                      <w:szCs w:val="21"/>
                      <w:u w:val="none" w:color="auto"/>
                    </w:rPr>
                    <w:t>”“</w:t>
                  </w:r>
                  <w:r>
                    <w:rPr>
                      <w:sz w:val="21"/>
                      <w:szCs w:val="21"/>
                      <w:u w:val="none" w:color="auto"/>
                    </w:rPr>
                    <w:t>风光火储一体化</w:t>
                  </w:r>
                  <w:r>
                    <w:rPr>
                      <w:rFonts w:hint="eastAsia"/>
                      <w:sz w:val="21"/>
                      <w:szCs w:val="21"/>
                      <w:u w:val="none" w:color="auto"/>
                    </w:rPr>
                    <w:t>”</w:t>
                  </w:r>
                  <w:r>
                    <w:rPr>
                      <w:sz w:val="21"/>
                      <w:szCs w:val="21"/>
                      <w:u w:val="none" w:color="auto"/>
                    </w:rPr>
                    <w:t>等项目建设，到2025年，风电装机容量达到260万千瓦以上，光伏发电装机容量达到430万千瓦以上，全市可再</w:t>
                  </w:r>
                  <w:r>
                    <w:rPr>
                      <w:sz w:val="21"/>
                      <w:szCs w:val="21"/>
                      <w:u w:val="none" w:color="auto"/>
                    </w:rPr>
                    <w:cr/>
                  </w:r>
                  <w:r>
                    <w:rPr>
                      <w:sz w:val="21"/>
                      <w:szCs w:val="21"/>
                      <w:u w:val="none" w:color="auto"/>
                    </w:rPr>
                    <w:t>能源发电装机容量达到850万千瓦以上，新能源发电全部市内自用，不外输。</w:t>
                  </w:r>
                </w:p>
              </w:tc>
              <w:tc>
                <w:tcPr>
                  <w:tcW w:w="1742" w:type="pct"/>
                  <w:tcBorders>
                    <w:top w:val="single" w:color="auto" w:sz="4" w:space="0"/>
                    <w:left w:val="single" w:color="auto" w:sz="4" w:space="0"/>
                    <w:bottom w:val="single" w:color="auto" w:sz="4" w:space="0"/>
                    <w:right w:val="single" w:color="auto" w:sz="4" w:space="0"/>
                  </w:tcBorders>
                  <w:noWrap w:val="0"/>
                  <w:vAlign w:val="center"/>
                </w:tcPr>
                <w:p w14:paraId="30AA0317">
                  <w:pPr>
                    <w:keepNext w:val="0"/>
                    <w:keepLines w:val="0"/>
                    <w:widowControl/>
                    <w:suppressLineNumbers w:val="0"/>
                    <w:spacing w:before="0" w:beforeAutospacing="0" w:after="0" w:afterAutospacing="0"/>
                    <w:ind w:left="0" w:leftChars="0" w:right="0" w:rightChars="0"/>
                    <w:jc w:val="both"/>
                    <w:rPr>
                      <w:sz w:val="21"/>
                      <w:szCs w:val="21"/>
                      <w:highlight w:val="yellow"/>
                      <w:u w:val="none" w:color="auto"/>
                    </w:rPr>
                  </w:pPr>
                  <w:r>
                    <w:rPr>
                      <w:rFonts w:hint="eastAsia" w:cs="Times New Roman"/>
                      <w:b w:val="0"/>
                      <w:bCs/>
                      <w:color w:val="000000" w:themeColor="text1"/>
                      <w:kern w:val="0"/>
                      <w:sz w:val="21"/>
                      <w:szCs w:val="21"/>
                      <w:highlight w:val="none"/>
                      <w:u w:val="none" w:color="auto"/>
                      <w:lang w:val="en-US" w:eastAsia="zh-CN" w:bidi="ar"/>
                      <w14:textFill>
                        <w14:solidFill>
                          <w14:schemeClr w14:val="tx1"/>
                        </w14:solidFill>
                      </w14:textFill>
                    </w:rPr>
                    <w:t>本项目烘干工序采用电能和木煤气作为燃料来源；炭化窑在有木煤气贮存情况下，采用储存的木煤气为引火及启动的初始阶段燃料来源，木煤气为清洁能源；在生产线刚启动木煤气无储存的情况下，引火及启动的初始阶段采用生物质点火。</w:t>
                  </w:r>
                </w:p>
              </w:tc>
              <w:tc>
                <w:tcPr>
                  <w:tcW w:w="458" w:type="pct"/>
                  <w:tcBorders>
                    <w:top w:val="single" w:color="auto" w:sz="4" w:space="0"/>
                    <w:left w:val="single" w:color="auto" w:sz="4" w:space="0"/>
                    <w:bottom w:val="single" w:color="auto" w:sz="4" w:space="0"/>
                    <w:right w:val="single" w:color="auto" w:sz="6" w:space="0"/>
                  </w:tcBorders>
                  <w:noWrap w:val="0"/>
                  <w:vAlign w:val="center"/>
                </w:tcPr>
                <w:p w14:paraId="69027C4C">
                  <w:pPr>
                    <w:snapToGrid w:val="0"/>
                    <w:jc w:val="center"/>
                    <w:rPr>
                      <w:sz w:val="21"/>
                      <w:szCs w:val="21"/>
                    </w:rPr>
                  </w:pPr>
                  <w:r>
                    <w:rPr>
                      <w:rStyle w:val="44"/>
                      <w:rFonts w:hint="default" w:ascii="Times New Roman" w:hAnsi="Times New Roman" w:eastAsia="宋体" w:cs="Times New Roman"/>
                      <w:color w:val="auto"/>
                      <w:sz w:val="21"/>
                      <w:szCs w:val="21"/>
                    </w:rPr>
                    <w:t>相符</w:t>
                  </w:r>
                </w:p>
              </w:tc>
            </w:tr>
            <w:tr w14:paraId="281D982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454" w:hRule="atLeast"/>
                <w:jc w:val="center"/>
              </w:trPr>
              <w:tc>
                <w:tcPr>
                  <w:tcW w:w="512" w:type="pct"/>
                  <w:vMerge w:val="continue"/>
                  <w:tcBorders>
                    <w:left w:val="single" w:color="auto" w:sz="6" w:space="0"/>
                    <w:right w:val="single" w:color="auto" w:sz="4" w:space="0"/>
                  </w:tcBorders>
                  <w:noWrap w:val="0"/>
                  <w:vAlign w:val="center"/>
                </w:tcPr>
                <w:p w14:paraId="3F446DD3">
                  <w:pPr>
                    <w:snapToGrid w:val="0"/>
                    <w:jc w:val="center"/>
                    <w:rPr>
                      <w:sz w:val="21"/>
                      <w:szCs w:val="21"/>
                    </w:rPr>
                  </w:pPr>
                </w:p>
              </w:tc>
              <w:tc>
                <w:tcPr>
                  <w:tcW w:w="2286" w:type="pct"/>
                  <w:tcBorders>
                    <w:top w:val="single" w:color="auto" w:sz="4" w:space="0"/>
                    <w:left w:val="single" w:color="auto" w:sz="4" w:space="0"/>
                    <w:bottom w:val="single" w:color="auto" w:sz="4" w:space="0"/>
                    <w:right w:val="single" w:color="auto" w:sz="4" w:space="0"/>
                  </w:tcBorders>
                  <w:noWrap w:val="0"/>
                  <w:vAlign w:val="center"/>
                </w:tcPr>
                <w:p w14:paraId="46AC62DD">
                  <w:pPr>
                    <w:snapToGrid w:val="0"/>
                    <w:rPr>
                      <w:sz w:val="21"/>
                      <w:szCs w:val="21"/>
                    </w:rPr>
                  </w:pPr>
                  <w:r>
                    <w:rPr>
                      <w:sz w:val="21"/>
                      <w:szCs w:val="21"/>
                    </w:rPr>
                    <w:t>7.加快推进工业炉窑清洁能源替代。大力推进电能替代煤炭，稳妥推进以气代煤。2024年年底前，全市分散建设的燃料类煤气发生炉完成清洁能源替代，或者园区（集群）集中供气、分散使用。到2025年，现有使用高污染燃料的加热炉、热处理炉、干燥炉、熔化炉等工业炉窑改用清洁低碳能源。</w:t>
                  </w:r>
                </w:p>
              </w:tc>
              <w:tc>
                <w:tcPr>
                  <w:tcW w:w="1742" w:type="pct"/>
                  <w:tcBorders>
                    <w:top w:val="single" w:color="auto" w:sz="4" w:space="0"/>
                    <w:left w:val="single" w:color="auto" w:sz="4" w:space="0"/>
                    <w:bottom w:val="single" w:color="auto" w:sz="4" w:space="0"/>
                    <w:right w:val="single" w:color="auto" w:sz="4" w:space="0"/>
                  </w:tcBorders>
                  <w:noWrap w:val="0"/>
                  <w:vAlign w:val="center"/>
                </w:tcPr>
                <w:p w14:paraId="38E66E2B">
                  <w:pPr>
                    <w:pStyle w:val="11"/>
                    <w:keepNext w:val="0"/>
                    <w:keepLines w:val="0"/>
                    <w:suppressLineNumbers w:val="0"/>
                    <w:spacing w:before="0" w:beforeAutospacing="0" w:after="0" w:afterAutospacing="0"/>
                    <w:ind w:left="0" w:leftChars="0" w:right="0" w:rightChars="0"/>
                    <w:rPr>
                      <w:sz w:val="21"/>
                      <w:szCs w:val="21"/>
                      <w:highlight w:val="yellow"/>
                    </w:rPr>
                  </w:pPr>
                  <w:r>
                    <w:rPr>
                      <w:rFonts w:hint="eastAsia" w:cs="Times New Roman"/>
                      <w:b w:val="0"/>
                      <w:bCs/>
                      <w:color w:val="000000" w:themeColor="text1"/>
                      <w:kern w:val="0"/>
                      <w:sz w:val="21"/>
                      <w:szCs w:val="21"/>
                      <w:highlight w:val="none"/>
                      <w:u w:val="none" w:color="auto"/>
                      <w:lang w:val="en-US" w:eastAsia="zh-CN" w:bidi="ar"/>
                      <w14:textFill>
                        <w14:solidFill>
                          <w14:schemeClr w14:val="tx1"/>
                        </w14:solidFill>
                      </w14:textFill>
                    </w:rPr>
                    <w:t>本项目烘干工序采用电能和木煤气作为燃料来源；炭化窑在有木煤气贮存情况下，采用储存的木煤气为引火及启动的初始阶段燃料来源，木煤气为清洁能源；在生产线刚启动木煤气无储存的情况下，引火及启动的初始阶段采用生物质点火。</w:t>
                  </w:r>
                </w:p>
              </w:tc>
              <w:tc>
                <w:tcPr>
                  <w:tcW w:w="458" w:type="pct"/>
                  <w:tcBorders>
                    <w:top w:val="single" w:color="auto" w:sz="4" w:space="0"/>
                    <w:left w:val="single" w:color="auto" w:sz="4" w:space="0"/>
                    <w:bottom w:val="single" w:color="auto" w:sz="4" w:space="0"/>
                    <w:right w:val="single" w:color="auto" w:sz="6" w:space="0"/>
                  </w:tcBorders>
                  <w:noWrap w:val="0"/>
                  <w:vAlign w:val="center"/>
                </w:tcPr>
                <w:p w14:paraId="08FFD412">
                  <w:pPr>
                    <w:snapToGrid w:val="0"/>
                    <w:jc w:val="center"/>
                    <w:rPr>
                      <w:sz w:val="21"/>
                      <w:szCs w:val="21"/>
                    </w:rPr>
                  </w:pPr>
                  <w:r>
                    <w:rPr>
                      <w:rStyle w:val="44"/>
                      <w:rFonts w:hint="default" w:ascii="Times New Roman" w:hAnsi="Times New Roman" w:eastAsia="宋体" w:cs="Times New Roman"/>
                      <w:color w:val="auto"/>
                      <w:sz w:val="21"/>
                      <w:szCs w:val="21"/>
                    </w:rPr>
                    <w:t>相符</w:t>
                  </w:r>
                </w:p>
              </w:tc>
            </w:tr>
          </w:tbl>
          <w:p w14:paraId="34DDB5F3">
            <w:pPr>
              <w:tabs>
                <w:tab w:val="left" w:pos="1081"/>
              </w:tabs>
              <w:spacing w:line="360" w:lineRule="auto"/>
              <w:ind w:firstLine="480" w:firstLineChars="200"/>
              <w:rPr>
                <w:sz w:val="24"/>
              </w:rPr>
            </w:pPr>
            <w:r>
              <w:rPr>
                <w:sz w:val="24"/>
              </w:rPr>
              <w:t>由上表分析可知，项目建设符合《南阳市人民政府办公室关于印发南阳市环境空气质量限期达标行动实施方案（2024—2025年）的通知》（宛政办〔2024〕3号）中相关要求。</w:t>
            </w:r>
          </w:p>
          <w:p w14:paraId="28E84816">
            <w:pPr>
              <w:adjustRightInd w:val="0"/>
              <w:snapToGrid w:val="0"/>
              <w:spacing w:line="360" w:lineRule="auto"/>
              <w:ind w:firstLine="482" w:firstLineChars="200"/>
              <w:rPr>
                <w:b/>
                <w:bCs/>
                <w:color w:val="000000" w:themeColor="text1"/>
                <w:sz w:val="24"/>
                <w14:textFill>
                  <w14:solidFill>
                    <w14:schemeClr w14:val="tx1"/>
                  </w14:solidFill>
                </w14:textFill>
              </w:rPr>
            </w:pPr>
            <w:r>
              <w:rPr>
                <w:rFonts w:hint="eastAsia"/>
                <w:b/>
                <w:bCs/>
                <w:color w:val="000000" w:themeColor="text1"/>
                <w:sz w:val="24"/>
                <w14:textFill>
                  <w14:solidFill>
                    <w14:schemeClr w14:val="tx1"/>
                  </w14:solidFill>
                </w14:textFill>
              </w:rPr>
              <w:t>3.</w:t>
            </w:r>
            <w:r>
              <w:rPr>
                <w:rFonts w:hint="eastAsia"/>
                <w:b/>
                <w:bCs/>
                <w:color w:val="000000" w:themeColor="text1"/>
                <w:sz w:val="24"/>
                <w:lang w:val="en-US" w:eastAsia="zh-CN"/>
                <w14:textFill>
                  <w14:solidFill>
                    <w14:schemeClr w14:val="tx1"/>
                  </w14:solidFill>
                </w14:textFill>
              </w:rPr>
              <w:t>4</w:t>
            </w:r>
            <w:r>
              <w:rPr>
                <w:rFonts w:hint="eastAsia"/>
                <w:b/>
                <w:bCs/>
                <w:color w:val="000000" w:themeColor="text1"/>
                <w:sz w:val="24"/>
                <w14:textFill>
                  <w14:solidFill>
                    <w14:schemeClr w14:val="tx1"/>
                  </w14:solidFill>
                </w14:textFill>
              </w:rPr>
              <w:t xml:space="preserve"> 项目与《南阳市人民政府关于印发南阳市空气质量持续改善行动实施方案的通知》（宛政〔2024〕6号）相符性分析</w:t>
            </w:r>
          </w:p>
          <w:p w14:paraId="3553BDF7">
            <w:pPr>
              <w:adjustRightInd w:val="0"/>
              <w:snapToGrid w:val="0"/>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2024年9月13日，南阳市人民政府印发南阳市空气质量持续改善行动计划的通知（宛政〔2024〕6号），项目与南阳市空气质量持续改善行动实施方案相符性分析见下表。</w:t>
            </w:r>
          </w:p>
          <w:p w14:paraId="3601072A">
            <w:pPr>
              <w:adjustRightInd w:val="0"/>
              <w:snapToGrid w:val="0"/>
              <w:spacing w:line="360" w:lineRule="auto"/>
              <w:jc w:val="center"/>
              <w:rPr>
                <w:b/>
                <w:bCs/>
                <w:color w:val="000000" w:themeColor="text1"/>
                <w:sz w:val="24"/>
                <w14:textFill>
                  <w14:solidFill>
                    <w14:schemeClr w14:val="tx1"/>
                  </w14:solidFill>
                </w14:textFill>
              </w:rPr>
            </w:pPr>
            <w:r>
              <w:rPr>
                <w:b/>
                <w:bCs/>
                <w:color w:val="000000" w:themeColor="text1"/>
                <w:sz w:val="24"/>
                <w14:textFill>
                  <w14:solidFill>
                    <w14:schemeClr w14:val="tx1"/>
                  </w14:solidFill>
                </w14:textFill>
              </w:rPr>
              <w:t>表</w:t>
            </w:r>
            <w:r>
              <w:rPr>
                <w:rFonts w:hint="eastAsia"/>
                <w:b/>
                <w:bCs/>
                <w:color w:val="000000" w:themeColor="text1"/>
                <w:sz w:val="24"/>
                <w14:textFill>
                  <w14:solidFill>
                    <w14:schemeClr w14:val="tx1"/>
                  </w14:solidFill>
                </w14:textFill>
              </w:rPr>
              <w:t>1-</w:t>
            </w:r>
            <w:r>
              <w:rPr>
                <w:rFonts w:hint="eastAsia"/>
                <w:b/>
                <w:bCs/>
                <w:color w:val="000000" w:themeColor="text1"/>
                <w:sz w:val="24"/>
                <w:lang w:val="en-US" w:eastAsia="zh-CN"/>
                <w14:textFill>
                  <w14:solidFill>
                    <w14:schemeClr w14:val="tx1"/>
                  </w14:solidFill>
                </w14:textFill>
              </w:rPr>
              <w:t>5</w:t>
            </w:r>
            <w:r>
              <w:rPr>
                <w:b/>
                <w:bCs/>
                <w:color w:val="000000" w:themeColor="text1"/>
                <w:sz w:val="24"/>
                <w14:textFill>
                  <w14:solidFill>
                    <w14:schemeClr w14:val="tx1"/>
                  </w14:solidFill>
                </w14:textFill>
              </w:rPr>
              <w:t xml:space="preserve"> </w:t>
            </w:r>
            <w:r>
              <w:rPr>
                <w:rFonts w:hint="eastAsia"/>
                <w:b/>
                <w:bCs/>
                <w:color w:val="000000" w:themeColor="text1"/>
                <w:sz w:val="24"/>
                <w14:textFill>
                  <w14:solidFill>
                    <w14:schemeClr w14:val="tx1"/>
                  </w14:solidFill>
                </w14:textFill>
              </w:rPr>
              <w:t xml:space="preserve"> </w:t>
            </w:r>
            <w:r>
              <w:rPr>
                <w:b/>
                <w:bCs/>
                <w:color w:val="000000" w:themeColor="text1"/>
                <w:sz w:val="24"/>
                <w14:textFill>
                  <w14:solidFill>
                    <w14:schemeClr w14:val="tx1"/>
                  </w14:solidFill>
                </w14:textFill>
              </w:rPr>
              <w:t>项目与南阳市空气质量持续改善行动实施方案相符性分析</w:t>
            </w:r>
          </w:p>
          <w:tbl>
            <w:tblPr>
              <w:tblStyle w:val="29"/>
              <w:tblW w:w="498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 w:type="dxa"/>
                <w:bottom w:w="0" w:type="dxa"/>
                <w:right w:w="10" w:type="dxa"/>
              </w:tblCellMar>
            </w:tblPr>
            <w:tblGrid>
              <w:gridCol w:w="829"/>
              <w:gridCol w:w="3701"/>
              <w:gridCol w:w="2822"/>
              <w:gridCol w:w="741"/>
            </w:tblGrid>
            <w:tr w14:paraId="2A133AA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454" w:hRule="atLeast"/>
                <w:jc w:val="center"/>
              </w:trPr>
              <w:tc>
                <w:tcPr>
                  <w:tcW w:w="2798" w:type="pct"/>
                  <w:gridSpan w:val="2"/>
                  <w:tcBorders>
                    <w:top w:val="single" w:color="auto" w:sz="6" w:space="0"/>
                    <w:left w:val="single" w:color="auto" w:sz="6" w:space="0"/>
                    <w:bottom w:val="single" w:color="auto" w:sz="4" w:space="0"/>
                    <w:right w:val="single" w:color="auto" w:sz="4" w:space="0"/>
                  </w:tcBorders>
                  <w:noWrap w:val="0"/>
                  <w:vAlign w:val="center"/>
                </w:tcPr>
                <w:p w14:paraId="67BB566B">
                  <w:pPr>
                    <w:snapToGrid w:val="0"/>
                    <w:jc w:val="center"/>
                    <w:rPr>
                      <w:color w:val="000000" w:themeColor="text1"/>
                      <w:sz w:val="21"/>
                      <w:szCs w:val="21"/>
                      <w14:textFill>
                        <w14:solidFill>
                          <w14:schemeClr w14:val="tx1"/>
                        </w14:solidFill>
                      </w14:textFill>
                    </w:rPr>
                  </w:pPr>
                  <w:r>
                    <w:rPr>
                      <w:rStyle w:val="44"/>
                      <w:rFonts w:hint="default" w:ascii="Times New Roman" w:hAnsi="Times New Roman" w:eastAsia="宋体" w:cs="Times New Roman"/>
                      <w:color w:val="000000" w:themeColor="text1"/>
                      <w:sz w:val="21"/>
                      <w:szCs w:val="21"/>
                      <w14:textFill>
                        <w14:solidFill>
                          <w14:schemeClr w14:val="tx1"/>
                        </w14:solidFill>
                      </w14:textFill>
                    </w:rPr>
                    <w:t>要求</w:t>
                  </w:r>
                </w:p>
              </w:tc>
              <w:tc>
                <w:tcPr>
                  <w:tcW w:w="1743" w:type="pct"/>
                  <w:tcBorders>
                    <w:top w:val="single" w:color="auto" w:sz="6" w:space="0"/>
                    <w:left w:val="single" w:color="auto" w:sz="4" w:space="0"/>
                    <w:bottom w:val="single" w:color="auto" w:sz="4" w:space="0"/>
                    <w:right w:val="single" w:color="auto" w:sz="4" w:space="0"/>
                  </w:tcBorders>
                  <w:noWrap w:val="0"/>
                  <w:vAlign w:val="center"/>
                </w:tcPr>
                <w:p w14:paraId="2A6959BC">
                  <w:pPr>
                    <w:snapToGrid w:val="0"/>
                    <w:jc w:val="center"/>
                    <w:rPr>
                      <w:color w:val="000000" w:themeColor="text1"/>
                      <w:sz w:val="21"/>
                      <w:szCs w:val="21"/>
                      <w14:textFill>
                        <w14:solidFill>
                          <w14:schemeClr w14:val="tx1"/>
                        </w14:solidFill>
                      </w14:textFill>
                    </w:rPr>
                  </w:pPr>
                  <w:r>
                    <w:rPr>
                      <w:rStyle w:val="44"/>
                      <w:rFonts w:hint="default" w:ascii="Times New Roman" w:hAnsi="Times New Roman" w:eastAsia="宋体" w:cs="Times New Roman"/>
                      <w:color w:val="000000" w:themeColor="text1"/>
                      <w:sz w:val="21"/>
                      <w:szCs w:val="21"/>
                      <w14:textFill>
                        <w14:solidFill>
                          <w14:schemeClr w14:val="tx1"/>
                        </w14:solidFill>
                      </w14:textFill>
                    </w:rPr>
                    <w:t>本项目情况</w:t>
                  </w:r>
                </w:p>
              </w:tc>
              <w:tc>
                <w:tcPr>
                  <w:tcW w:w="457" w:type="pct"/>
                  <w:tcBorders>
                    <w:top w:val="single" w:color="auto" w:sz="6" w:space="0"/>
                    <w:left w:val="single" w:color="auto" w:sz="4" w:space="0"/>
                    <w:bottom w:val="single" w:color="auto" w:sz="4" w:space="0"/>
                    <w:right w:val="single" w:color="auto" w:sz="6" w:space="0"/>
                  </w:tcBorders>
                  <w:noWrap w:val="0"/>
                  <w:vAlign w:val="center"/>
                </w:tcPr>
                <w:p w14:paraId="6BF5C6D3">
                  <w:pPr>
                    <w:snapToGrid w:val="0"/>
                    <w:jc w:val="center"/>
                    <w:rPr>
                      <w:color w:val="000000" w:themeColor="text1"/>
                      <w:sz w:val="21"/>
                      <w:szCs w:val="21"/>
                      <w14:textFill>
                        <w14:solidFill>
                          <w14:schemeClr w14:val="tx1"/>
                        </w14:solidFill>
                      </w14:textFill>
                    </w:rPr>
                  </w:pPr>
                  <w:r>
                    <w:rPr>
                      <w:rStyle w:val="44"/>
                      <w:rFonts w:hint="default" w:ascii="Times New Roman" w:hAnsi="Times New Roman" w:eastAsia="宋体" w:cs="Times New Roman"/>
                      <w:color w:val="000000" w:themeColor="text1"/>
                      <w:sz w:val="21"/>
                      <w:szCs w:val="21"/>
                      <w14:textFill>
                        <w14:solidFill>
                          <w14:schemeClr w14:val="tx1"/>
                        </w14:solidFill>
                      </w14:textFill>
                    </w:rPr>
                    <w:t>相符性</w:t>
                  </w:r>
                </w:p>
              </w:tc>
            </w:tr>
            <w:tr w14:paraId="3997B36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454" w:hRule="atLeast"/>
                <w:jc w:val="center"/>
              </w:trPr>
              <w:tc>
                <w:tcPr>
                  <w:tcW w:w="512" w:type="pct"/>
                  <w:tcBorders>
                    <w:top w:val="single" w:color="auto" w:sz="4" w:space="0"/>
                    <w:left w:val="single" w:color="auto" w:sz="6" w:space="0"/>
                    <w:right w:val="single" w:color="auto" w:sz="4" w:space="0"/>
                  </w:tcBorders>
                  <w:noWrap w:val="0"/>
                  <w:vAlign w:val="center"/>
                </w:tcPr>
                <w:p w14:paraId="1BDD5BD8">
                  <w:pPr>
                    <w:snapToGri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二、优化产业结构</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促进产业绿色发展</w:t>
                  </w:r>
                </w:p>
              </w:tc>
              <w:tc>
                <w:tcPr>
                  <w:tcW w:w="2286" w:type="pct"/>
                  <w:tcBorders>
                    <w:top w:val="single" w:color="auto" w:sz="4" w:space="0"/>
                    <w:left w:val="single" w:color="auto" w:sz="4" w:space="0"/>
                    <w:bottom w:val="single" w:color="auto" w:sz="4" w:space="0"/>
                    <w:right w:val="single" w:color="auto" w:sz="4" w:space="0"/>
                  </w:tcBorders>
                  <w:noWrap w:val="0"/>
                  <w:vAlign w:val="center"/>
                </w:tcPr>
                <w:p w14:paraId="43F24D48">
                  <w:pPr>
                    <w:widowControl/>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(一)严把</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两高</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项目准入关口。严格落实国家、省</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两高</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项目相关要求</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严禁新增钢铁产能。严格执行有关行业产能置换政策</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被置换产能及其配套设施关停后</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新建项目方可投产。国家、省绩效分级重点行业以及涉及锅炉炉窑的其他行业</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新</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改、扩</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建项目原则上达到环境绩效A级或国内清洁生产先进水平。</w:t>
                  </w:r>
                </w:p>
              </w:tc>
              <w:tc>
                <w:tcPr>
                  <w:tcW w:w="1743" w:type="pct"/>
                  <w:tcBorders>
                    <w:top w:val="single" w:color="auto" w:sz="4" w:space="0"/>
                    <w:left w:val="single" w:color="auto" w:sz="4" w:space="0"/>
                    <w:bottom w:val="single" w:color="auto" w:sz="4" w:space="0"/>
                    <w:right w:val="single" w:color="auto" w:sz="4" w:space="0"/>
                  </w:tcBorders>
                  <w:noWrap w:val="0"/>
                  <w:vAlign w:val="center"/>
                </w:tcPr>
                <w:p w14:paraId="62E9B13C">
                  <w:pPr>
                    <w:widowControl/>
                    <w:rPr>
                      <w:color w:val="000000" w:themeColor="text1"/>
                      <w:kern w:val="0"/>
                      <w:sz w:val="21"/>
                      <w:szCs w:val="21"/>
                      <w14:textFill>
                        <w14:solidFill>
                          <w14:schemeClr w14:val="tx1"/>
                        </w14:solidFill>
                      </w14:textFill>
                    </w:rPr>
                  </w:pPr>
                  <w:r>
                    <w:rPr>
                      <w:rFonts w:hint="eastAsia"/>
                      <w:bCs/>
                      <w:color w:val="000000" w:themeColor="text1"/>
                      <w:kern w:val="0"/>
                      <w:sz w:val="21"/>
                      <w:szCs w:val="21"/>
                      <w:u w:val="none"/>
                      <w:lang w:val="en-US" w:eastAsia="zh-CN"/>
                      <w14:textFill>
                        <w14:solidFill>
                          <w14:schemeClr w14:val="tx1"/>
                        </w14:solidFill>
                      </w14:textFill>
                    </w:rPr>
                    <w:t>经比对</w:t>
                  </w:r>
                  <w:r>
                    <w:rPr>
                      <w:rFonts w:hint="default"/>
                      <w:bCs/>
                      <w:color w:val="000000" w:themeColor="text1"/>
                      <w:kern w:val="0"/>
                      <w:sz w:val="21"/>
                      <w:szCs w:val="21"/>
                      <w:u w:val="none"/>
                      <w14:textFill>
                        <w14:solidFill>
                          <w14:schemeClr w14:val="tx1"/>
                        </w14:solidFill>
                      </w14:textFill>
                    </w:rPr>
                    <w:t>项目不属于“两高”项目；项目不属于新增钢铁产能，符合区域“三线一单”管控要求；经</w:t>
                  </w:r>
                  <w:r>
                    <w:rPr>
                      <w:rFonts w:hint="default"/>
                      <w:bCs/>
                      <w:color w:val="000000" w:themeColor="text1"/>
                      <w:kern w:val="0"/>
                      <w:sz w:val="21"/>
                      <w:szCs w:val="21"/>
                      <w:highlight w:val="none"/>
                      <w:u w:val="none"/>
                      <w14:textFill>
                        <w14:solidFill>
                          <w14:schemeClr w14:val="tx1"/>
                        </w14:solidFill>
                      </w14:textFill>
                    </w:rPr>
                    <w:t>比对《河南省重污染天气通用行业应急减排措施制定技术指南》（202</w:t>
                  </w:r>
                  <w:r>
                    <w:rPr>
                      <w:rFonts w:hint="eastAsia"/>
                      <w:bCs/>
                      <w:color w:val="000000" w:themeColor="text1"/>
                      <w:kern w:val="0"/>
                      <w:sz w:val="21"/>
                      <w:szCs w:val="21"/>
                      <w:highlight w:val="none"/>
                      <w:u w:val="none"/>
                      <w:lang w:val="en-US" w:eastAsia="zh-CN"/>
                      <w14:textFill>
                        <w14:solidFill>
                          <w14:schemeClr w14:val="tx1"/>
                        </w14:solidFill>
                      </w14:textFill>
                    </w:rPr>
                    <w:t>4</w:t>
                  </w:r>
                  <w:r>
                    <w:rPr>
                      <w:rFonts w:hint="default"/>
                      <w:bCs/>
                      <w:color w:val="000000" w:themeColor="text1"/>
                      <w:kern w:val="0"/>
                      <w:sz w:val="21"/>
                      <w:szCs w:val="21"/>
                      <w:highlight w:val="none"/>
                      <w:u w:val="none"/>
                      <w14:textFill>
                        <w14:solidFill>
                          <w14:schemeClr w14:val="tx1"/>
                        </w14:solidFill>
                      </w14:textFill>
                    </w:rPr>
                    <w:t>年修订版）中通用行业，</w:t>
                  </w:r>
                  <w:r>
                    <w:rPr>
                      <w:rFonts w:hint="default"/>
                      <w:bCs/>
                      <w:color w:val="000000" w:themeColor="text1"/>
                      <w:kern w:val="0"/>
                      <w:sz w:val="21"/>
                      <w:szCs w:val="21"/>
                      <w:u w:val="none"/>
                      <w14:textFill>
                        <w14:solidFill>
                          <w14:schemeClr w14:val="tx1"/>
                        </w14:solidFill>
                      </w14:textFill>
                    </w:rPr>
                    <w:t>项目营运期按本环评提出的污染防治措施落实到位后，可达到</w:t>
                  </w:r>
                  <w:r>
                    <w:rPr>
                      <w:rFonts w:hint="eastAsia"/>
                      <w:color w:val="000000" w:themeColor="text1"/>
                      <w:sz w:val="21"/>
                      <w:szCs w:val="21"/>
                      <w:u w:val="none"/>
                      <w:lang w:val="en-US" w:eastAsia="zh-CN"/>
                      <w14:textFill>
                        <w14:solidFill>
                          <w14:schemeClr w14:val="tx1"/>
                        </w14:solidFill>
                      </w14:textFill>
                    </w:rPr>
                    <w:t>通用行业基本要求</w:t>
                  </w:r>
                  <w:r>
                    <w:rPr>
                      <w:rFonts w:hint="default"/>
                      <w:bCs/>
                      <w:color w:val="000000" w:themeColor="text1"/>
                      <w:kern w:val="0"/>
                      <w:sz w:val="21"/>
                      <w:szCs w:val="21"/>
                      <w:u w:val="none"/>
                      <w14:textFill>
                        <w14:solidFill>
                          <w14:schemeClr w14:val="tx1"/>
                        </w14:solidFill>
                      </w14:textFill>
                    </w:rPr>
                    <w:t>。</w:t>
                  </w:r>
                </w:p>
              </w:tc>
              <w:tc>
                <w:tcPr>
                  <w:tcW w:w="457" w:type="pct"/>
                  <w:tcBorders>
                    <w:top w:val="single" w:color="auto" w:sz="4" w:space="0"/>
                    <w:left w:val="single" w:color="auto" w:sz="4" w:space="0"/>
                    <w:bottom w:val="single" w:color="auto" w:sz="4" w:space="0"/>
                    <w:right w:val="single" w:color="auto" w:sz="6" w:space="0"/>
                  </w:tcBorders>
                  <w:noWrap w:val="0"/>
                  <w:vAlign w:val="center"/>
                </w:tcPr>
                <w:p w14:paraId="65895E06">
                  <w:pPr>
                    <w:snapToGrid w:val="0"/>
                    <w:jc w:val="center"/>
                    <w:rPr>
                      <w:color w:val="000000" w:themeColor="text1"/>
                      <w:sz w:val="21"/>
                      <w:szCs w:val="21"/>
                      <w14:textFill>
                        <w14:solidFill>
                          <w14:schemeClr w14:val="tx1"/>
                        </w14:solidFill>
                      </w14:textFill>
                    </w:rPr>
                  </w:pPr>
                  <w:r>
                    <w:rPr>
                      <w:rStyle w:val="44"/>
                      <w:rFonts w:hint="default" w:ascii="Times New Roman" w:hAnsi="Times New Roman" w:eastAsia="宋体" w:cs="Times New Roman"/>
                      <w:color w:val="000000" w:themeColor="text1"/>
                      <w:sz w:val="21"/>
                      <w:szCs w:val="21"/>
                      <w14:textFill>
                        <w14:solidFill>
                          <w14:schemeClr w14:val="tx1"/>
                        </w14:solidFill>
                      </w14:textFill>
                    </w:rPr>
                    <w:t>相符</w:t>
                  </w:r>
                </w:p>
              </w:tc>
            </w:tr>
            <w:tr w14:paraId="7EA2A5A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454" w:hRule="atLeast"/>
                <w:jc w:val="center"/>
              </w:trPr>
              <w:tc>
                <w:tcPr>
                  <w:tcW w:w="512" w:type="pct"/>
                  <w:vMerge w:val="restart"/>
                  <w:tcBorders>
                    <w:top w:val="single" w:color="auto" w:sz="4" w:space="0"/>
                    <w:left w:val="single" w:color="auto" w:sz="6" w:space="0"/>
                    <w:right w:val="single" w:color="auto" w:sz="4" w:space="0"/>
                  </w:tcBorders>
                  <w:noWrap w:val="0"/>
                  <w:vAlign w:val="center"/>
                </w:tcPr>
                <w:p w14:paraId="4ACBEEF1">
                  <w:pPr>
                    <w:widowControl/>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三、优化能源结构</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加快能源绿色低碳发展</w:t>
                  </w:r>
                </w:p>
              </w:tc>
              <w:tc>
                <w:tcPr>
                  <w:tcW w:w="2286" w:type="pct"/>
                  <w:tcBorders>
                    <w:top w:val="single" w:color="auto" w:sz="4" w:space="0"/>
                    <w:left w:val="single" w:color="auto" w:sz="4" w:space="0"/>
                    <w:bottom w:val="single" w:color="auto" w:sz="4" w:space="0"/>
                    <w:right w:val="single" w:color="auto" w:sz="4" w:space="0"/>
                  </w:tcBorders>
                  <w:noWrap w:val="0"/>
                  <w:vAlign w:val="center"/>
                </w:tcPr>
                <w:p w14:paraId="6599D8CC">
                  <w:pPr>
                    <w:widowControl/>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(一)大力发展清洁能源。加快非化石能源发展</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以光伏发电、风电为重点</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以生物质、抽水蓄能、地热能、氢能等为补充</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因地制宜推动可再生能源多元化、协同化发展。到2025年</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风电装机容量达到260万千瓦以上</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光伏发电装机容量达到430万千瓦以上</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可再生能源发电装机容量力争达到850万千瓦以上。</w:t>
                  </w:r>
                </w:p>
              </w:tc>
              <w:tc>
                <w:tcPr>
                  <w:tcW w:w="1743" w:type="pct"/>
                  <w:tcBorders>
                    <w:top w:val="single" w:color="auto" w:sz="4" w:space="0"/>
                    <w:left w:val="single" w:color="auto" w:sz="4" w:space="0"/>
                    <w:bottom w:val="single" w:color="auto" w:sz="4" w:space="0"/>
                    <w:right w:val="single" w:color="auto" w:sz="4" w:space="0"/>
                  </w:tcBorders>
                  <w:noWrap w:val="0"/>
                  <w:vAlign w:val="center"/>
                </w:tcPr>
                <w:p w14:paraId="19CCD987">
                  <w:pPr>
                    <w:widowControl/>
                    <w:rPr>
                      <w:color w:val="000000" w:themeColor="text1"/>
                      <w:sz w:val="21"/>
                      <w:szCs w:val="21"/>
                      <w:highlight w:val="yellow"/>
                      <w14:textFill>
                        <w14:solidFill>
                          <w14:schemeClr w14:val="tx1"/>
                        </w14:solidFill>
                      </w14:textFill>
                    </w:rPr>
                  </w:pPr>
                  <w:r>
                    <w:rPr>
                      <w:rFonts w:hint="default"/>
                      <w:color w:val="000000" w:themeColor="text1"/>
                      <w:sz w:val="21"/>
                      <w:szCs w:val="21"/>
                      <w:highlight w:val="none"/>
                      <w:lang w:val="en-US" w:eastAsia="zh-CN"/>
                      <w14:textFill>
                        <w14:solidFill>
                          <w14:schemeClr w14:val="tx1"/>
                        </w14:solidFill>
                      </w14:textFill>
                    </w:rPr>
                    <w:t>本项目炭化窑在有木煤气贮存情况下，采用储存的木煤气为引火及启动的初始阶段燃料来源，木煤气为清洁能源；在生产线刚启动木煤气无储存的情况下，引火及启动的初始阶段采用生物质点火。</w:t>
                  </w:r>
                </w:p>
              </w:tc>
              <w:tc>
                <w:tcPr>
                  <w:tcW w:w="457" w:type="pct"/>
                  <w:tcBorders>
                    <w:top w:val="single" w:color="auto" w:sz="4" w:space="0"/>
                    <w:left w:val="single" w:color="auto" w:sz="4" w:space="0"/>
                    <w:bottom w:val="single" w:color="auto" w:sz="4" w:space="0"/>
                    <w:right w:val="single" w:color="auto" w:sz="6" w:space="0"/>
                  </w:tcBorders>
                  <w:noWrap w:val="0"/>
                  <w:vAlign w:val="center"/>
                </w:tcPr>
                <w:p w14:paraId="3481F90B">
                  <w:pPr>
                    <w:snapToGrid w:val="0"/>
                    <w:jc w:val="center"/>
                    <w:rPr>
                      <w:color w:val="000000" w:themeColor="text1"/>
                      <w:sz w:val="21"/>
                      <w:szCs w:val="21"/>
                      <w14:textFill>
                        <w14:solidFill>
                          <w14:schemeClr w14:val="tx1"/>
                        </w14:solidFill>
                      </w14:textFill>
                    </w:rPr>
                  </w:pPr>
                  <w:r>
                    <w:rPr>
                      <w:rStyle w:val="44"/>
                      <w:rFonts w:hint="default" w:ascii="Times New Roman" w:hAnsi="Times New Roman" w:eastAsia="宋体" w:cs="Times New Roman"/>
                      <w:color w:val="000000" w:themeColor="text1"/>
                      <w:sz w:val="21"/>
                      <w:szCs w:val="21"/>
                      <w14:textFill>
                        <w14:solidFill>
                          <w14:schemeClr w14:val="tx1"/>
                        </w14:solidFill>
                      </w14:textFill>
                    </w:rPr>
                    <w:t>相符</w:t>
                  </w:r>
                </w:p>
              </w:tc>
            </w:tr>
            <w:tr w14:paraId="0A2203E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454" w:hRule="atLeast"/>
                <w:jc w:val="center"/>
              </w:trPr>
              <w:tc>
                <w:tcPr>
                  <w:tcW w:w="512" w:type="pct"/>
                  <w:vMerge w:val="continue"/>
                  <w:tcBorders>
                    <w:left w:val="single" w:color="auto" w:sz="6" w:space="0"/>
                    <w:right w:val="single" w:color="auto" w:sz="4" w:space="0"/>
                  </w:tcBorders>
                  <w:noWrap w:val="0"/>
                  <w:vAlign w:val="center"/>
                </w:tcPr>
                <w:p w14:paraId="6A5BE0A9">
                  <w:pPr>
                    <w:snapToGrid w:val="0"/>
                    <w:jc w:val="center"/>
                    <w:rPr>
                      <w:color w:val="000000" w:themeColor="text1"/>
                      <w:sz w:val="21"/>
                      <w:szCs w:val="21"/>
                      <w14:textFill>
                        <w14:solidFill>
                          <w14:schemeClr w14:val="tx1"/>
                        </w14:solidFill>
                      </w14:textFill>
                    </w:rPr>
                  </w:pPr>
                </w:p>
              </w:tc>
              <w:tc>
                <w:tcPr>
                  <w:tcW w:w="2286" w:type="pct"/>
                  <w:tcBorders>
                    <w:top w:val="single" w:color="auto" w:sz="4" w:space="0"/>
                    <w:left w:val="single" w:color="auto" w:sz="4" w:space="0"/>
                    <w:bottom w:val="single" w:color="auto" w:sz="4" w:space="0"/>
                    <w:right w:val="single" w:color="auto" w:sz="4" w:space="0"/>
                  </w:tcBorders>
                  <w:noWrap w:val="0"/>
                  <w:vAlign w:val="center"/>
                </w:tcPr>
                <w:p w14:paraId="7969A2CC">
                  <w:pPr>
                    <w:snapToGrid w:val="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(四)实施工业炉窑清洁能源替代。全市不再新增燃料类煤气发生炉</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新</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改、扩</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建加热炉、热处理炉、干燥炉、熔化炉原则上采用清洁低碳能源。2025年年底前</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使用高污染燃料的加热炉、热处理炉、干燥炉、熔化炉改用清洁低碳能源</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淘汰不能稳定达标的燃煤锅炉和以煤、石油焦、渣油、重油等为燃料的工业炉窑。</w:t>
                  </w:r>
                </w:p>
              </w:tc>
              <w:tc>
                <w:tcPr>
                  <w:tcW w:w="1743" w:type="pct"/>
                  <w:tcBorders>
                    <w:top w:val="single" w:color="auto" w:sz="4" w:space="0"/>
                    <w:left w:val="single" w:color="auto" w:sz="4" w:space="0"/>
                    <w:bottom w:val="single" w:color="auto" w:sz="4" w:space="0"/>
                    <w:right w:val="single" w:color="auto" w:sz="4" w:space="0"/>
                  </w:tcBorders>
                  <w:noWrap w:val="0"/>
                  <w:vAlign w:val="center"/>
                </w:tcPr>
                <w:p w14:paraId="765D4A81">
                  <w:pPr>
                    <w:snapToGrid w:val="0"/>
                    <w:rPr>
                      <w:color w:val="000000" w:themeColor="text1"/>
                      <w:sz w:val="21"/>
                      <w:szCs w:val="21"/>
                      <w:highlight w:val="yellow"/>
                      <w14:textFill>
                        <w14:solidFill>
                          <w14:schemeClr w14:val="tx1"/>
                        </w14:solidFill>
                      </w14:textFill>
                    </w:rPr>
                  </w:pPr>
                  <w:r>
                    <w:rPr>
                      <w:rFonts w:hint="default"/>
                      <w:color w:val="000000" w:themeColor="text1"/>
                      <w:sz w:val="21"/>
                      <w:szCs w:val="21"/>
                      <w:highlight w:val="none"/>
                      <w:lang w:val="en-US" w:eastAsia="zh-CN"/>
                      <w14:textFill>
                        <w14:solidFill>
                          <w14:schemeClr w14:val="tx1"/>
                        </w14:solidFill>
                      </w14:textFill>
                    </w:rPr>
                    <w:t>本项目炭化窑在有木煤气贮存情况下，采用储存的木煤气为引火及启动的初始阶段燃料来源，木煤气为清洁能源；在生产线刚启动木煤气无储存的情况下，引火及启动的初始阶段采用生物质点火。</w:t>
                  </w:r>
                </w:p>
              </w:tc>
              <w:tc>
                <w:tcPr>
                  <w:tcW w:w="457" w:type="pct"/>
                  <w:tcBorders>
                    <w:top w:val="single" w:color="auto" w:sz="4" w:space="0"/>
                    <w:left w:val="single" w:color="auto" w:sz="4" w:space="0"/>
                    <w:bottom w:val="single" w:color="auto" w:sz="4" w:space="0"/>
                    <w:right w:val="single" w:color="auto" w:sz="6" w:space="0"/>
                  </w:tcBorders>
                  <w:noWrap w:val="0"/>
                  <w:vAlign w:val="center"/>
                </w:tcPr>
                <w:p w14:paraId="20A5E996">
                  <w:pPr>
                    <w:snapToGrid w:val="0"/>
                    <w:jc w:val="center"/>
                    <w:rPr>
                      <w:color w:val="000000" w:themeColor="text1"/>
                      <w:sz w:val="21"/>
                      <w:szCs w:val="21"/>
                      <w14:textFill>
                        <w14:solidFill>
                          <w14:schemeClr w14:val="tx1"/>
                        </w14:solidFill>
                      </w14:textFill>
                    </w:rPr>
                  </w:pPr>
                  <w:r>
                    <w:rPr>
                      <w:rStyle w:val="44"/>
                      <w:rFonts w:hint="default" w:ascii="Times New Roman" w:hAnsi="Times New Roman" w:eastAsia="宋体" w:cs="Times New Roman"/>
                      <w:color w:val="000000" w:themeColor="text1"/>
                      <w:sz w:val="21"/>
                      <w:szCs w:val="21"/>
                      <w14:textFill>
                        <w14:solidFill>
                          <w14:schemeClr w14:val="tx1"/>
                        </w14:solidFill>
                      </w14:textFill>
                    </w:rPr>
                    <w:t>相符</w:t>
                  </w:r>
                </w:p>
              </w:tc>
            </w:tr>
            <w:tr w14:paraId="0C13BD1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454" w:hRule="atLeast"/>
                <w:jc w:val="center"/>
              </w:trPr>
              <w:tc>
                <w:tcPr>
                  <w:tcW w:w="512" w:type="pct"/>
                  <w:tcBorders>
                    <w:left w:val="single" w:color="auto" w:sz="6" w:space="0"/>
                    <w:right w:val="single" w:color="auto" w:sz="4" w:space="0"/>
                  </w:tcBorders>
                  <w:noWrap w:val="0"/>
                  <w:vAlign w:val="center"/>
                </w:tcPr>
                <w:p w14:paraId="5DDF3C9B">
                  <w:pPr>
                    <w:snapToGri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五、强化面源污染治理</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提升精细化管理水平</w:t>
                  </w:r>
                </w:p>
              </w:tc>
              <w:tc>
                <w:tcPr>
                  <w:tcW w:w="2286" w:type="pct"/>
                  <w:tcBorders>
                    <w:top w:val="single" w:color="auto" w:sz="4" w:space="0"/>
                    <w:left w:val="single" w:color="auto" w:sz="4" w:space="0"/>
                    <w:bottom w:val="single" w:color="auto" w:sz="4" w:space="0"/>
                    <w:right w:val="single" w:color="auto" w:sz="4" w:space="0"/>
                  </w:tcBorders>
                  <w:noWrap w:val="0"/>
                  <w:vAlign w:val="center"/>
                </w:tcPr>
                <w:p w14:paraId="33D03516">
                  <w:pPr>
                    <w:snapToGrid w:val="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(一)深化扬尘污染综合治理。严格落实扬尘治理</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两个标准</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要求</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加强施工围挡、车辆冲洗、湿法作业、密闭运输、地面硬化、物料覆盖等精细化管理</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鼓励建筑项目积极采用装配式建造等绿色施工技术。市政道路、水务等长距离线性工程实行分段施工</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逐步推动5000平方米以上建筑工地安装在线监测和视频监控设施并接入监管平台。将防治扬尘污染费用纳入工程造价。持续开展城市清洁行动</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强化道路扬尘综合整治</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对长期未开发的建设裸地进行排查整治。到2025年</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城市建成区主次干道机械化清扫率达到90%以上。</w:t>
                  </w:r>
                </w:p>
              </w:tc>
              <w:tc>
                <w:tcPr>
                  <w:tcW w:w="1743" w:type="pct"/>
                  <w:tcBorders>
                    <w:top w:val="single" w:color="auto" w:sz="4" w:space="0"/>
                    <w:left w:val="single" w:color="auto" w:sz="4" w:space="0"/>
                    <w:bottom w:val="single" w:color="auto" w:sz="4" w:space="0"/>
                    <w:right w:val="single" w:color="auto" w:sz="4" w:space="0"/>
                  </w:tcBorders>
                  <w:noWrap w:val="0"/>
                  <w:vAlign w:val="center"/>
                </w:tcPr>
                <w:p w14:paraId="0F7C58B1">
                  <w:pPr>
                    <w:snapToGrid w:val="0"/>
                    <w:rPr>
                      <w:color w:val="000000" w:themeColor="text1"/>
                      <w:sz w:val="21"/>
                      <w:szCs w:val="21"/>
                      <w14:textFill>
                        <w14:solidFill>
                          <w14:schemeClr w14:val="tx1"/>
                        </w14:solidFill>
                      </w14:textFill>
                    </w:rPr>
                  </w:pPr>
                  <w:r>
                    <w:rPr>
                      <w:rFonts w:hint="default"/>
                      <w:bCs/>
                      <w:color w:val="000000" w:themeColor="text1"/>
                      <w:sz w:val="21"/>
                      <w:szCs w:val="21"/>
                      <w:highlight w:val="none"/>
                      <w:u w:val="none"/>
                      <w14:textFill>
                        <w14:solidFill>
                          <w14:schemeClr w14:val="tx1"/>
                        </w14:solidFill>
                      </w14:textFill>
                    </w:rPr>
                    <w:t>本项目施工期</w:t>
                  </w:r>
                  <w:r>
                    <w:rPr>
                      <w:rFonts w:hint="default"/>
                      <w:bCs/>
                      <w:color w:val="000000" w:themeColor="text1"/>
                      <w:kern w:val="0"/>
                      <w:sz w:val="21"/>
                      <w:szCs w:val="21"/>
                      <w:highlight w:val="none"/>
                      <w:u w:val="none"/>
                      <w14:textFill>
                        <w14:solidFill>
                          <w14:schemeClr w14:val="tx1"/>
                        </w14:solidFill>
                      </w14:textFill>
                    </w:rPr>
                    <w:t>严格落实扬尘污染防治“两个标准”要求，</w:t>
                  </w:r>
                  <w:r>
                    <w:rPr>
                      <w:rFonts w:hint="default"/>
                      <w:color w:val="000000" w:themeColor="text1"/>
                      <w:sz w:val="21"/>
                      <w:szCs w:val="21"/>
                      <w:highlight w:val="none"/>
                      <w:u w:val="none"/>
                      <w14:textFill>
                        <w14:solidFill>
                          <w14:schemeClr w14:val="tx1"/>
                        </w14:solidFill>
                      </w14:textFill>
                    </w:rPr>
                    <w:t>加强车辆冲洗、湿法作业、密闭运输、</w:t>
                  </w:r>
                  <w:r>
                    <w:rPr>
                      <w:rFonts w:hint="eastAsia"/>
                      <w:color w:val="000000" w:themeColor="text1"/>
                      <w:sz w:val="21"/>
                      <w:szCs w:val="21"/>
                      <w:highlight w:val="none"/>
                      <w:u w:val="none"/>
                      <w:lang w:val="en-US" w:eastAsia="zh-CN"/>
                      <w14:textFill>
                        <w14:solidFill>
                          <w14:schemeClr w14:val="tx1"/>
                        </w14:solidFill>
                      </w14:textFill>
                    </w:rPr>
                    <w:t>路面</w:t>
                  </w:r>
                  <w:r>
                    <w:rPr>
                      <w:rFonts w:hint="default"/>
                      <w:color w:val="000000" w:themeColor="text1"/>
                      <w:sz w:val="21"/>
                      <w:szCs w:val="21"/>
                      <w:highlight w:val="none"/>
                      <w:u w:val="none"/>
                      <w14:textFill>
                        <w14:solidFill>
                          <w14:schemeClr w14:val="tx1"/>
                        </w14:solidFill>
                      </w14:textFill>
                    </w:rPr>
                    <w:t>硬化、物料覆盖等精细化管理</w:t>
                  </w:r>
                  <w:r>
                    <w:rPr>
                      <w:rFonts w:hint="default"/>
                      <w:bCs/>
                      <w:color w:val="000000" w:themeColor="text1"/>
                      <w:kern w:val="0"/>
                      <w:sz w:val="21"/>
                      <w:szCs w:val="21"/>
                      <w:highlight w:val="none"/>
                      <w:u w:val="none"/>
                      <w14:textFill>
                        <w14:solidFill>
                          <w14:schemeClr w14:val="tx1"/>
                        </w14:solidFill>
                      </w14:textFill>
                    </w:rPr>
                    <w:t>。</w:t>
                  </w:r>
                </w:p>
              </w:tc>
              <w:tc>
                <w:tcPr>
                  <w:tcW w:w="457" w:type="pct"/>
                  <w:tcBorders>
                    <w:top w:val="single" w:color="auto" w:sz="4" w:space="0"/>
                    <w:left w:val="single" w:color="auto" w:sz="4" w:space="0"/>
                    <w:bottom w:val="single" w:color="auto" w:sz="4" w:space="0"/>
                    <w:right w:val="single" w:color="auto" w:sz="6" w:space="0"/>
                  </w:tcBorders>
                  <w:noWrap w:val="0"/>
                  <w:vAlign w:val="center"/>
                </w:tcPr>
                <w:p w14:paraId="0C2B9D62">
                  <w:pPr>
                    <w:snapToGrid w:val="0"/>
                    <w:jc w:val="center"/>
                    <w:rPr>
                      <w:rStyle w:val="44"/>
                      <w:rFonts w:hint="default" w:ascii="Times New Roman" w:hAnsi="Times New Roman" w:eastAsia="宋体" w:cs="Times New Roman"/>
                      <w:color w:val="000000" w:themeColor="text1"/>
                      <w:sz w:val="21"/>
                      <w:szCs w:val="21"/>
                      <w14:textFill>
                        <w14:solidFill>
                          <w14:schemeClr w14:val="tx1"/>
                        </w14:solidFill>
                      </w14:textFill>
                    </w:rPr>
                  </w:pPr>
                  <w:r>
                    <w:rPr>
                      <w:rStyle w:val="44"/>
                      <w:rFonts w:hint="default" w:ascii="Times New Roman" w:hAnsi="Times New Roman" w:eastAsia="宋体" w:cs="Times New Roman"/>
                      <w:color w:val="000000" w:themeColor="text1"/>
                      <w:sz w:val="21"/>
                      <w:szCs w:val="21"/>
                      <w14:textFill>
                        <w14:solidFill>
                          <w14:schemeClr w14:val="tx1"/>
                        </w14:solidFill>
                      </w14:textFill>
                    </w:rPr>
                    <w:t>相符</w:t>
                  </w:r>
                </w:p>
              </w:tc>
            </w:tr>
          </w:tbl>
          <w:p w14:paraId="349CD052">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综上所述，项目建设符合《南阳市人民政府关于印发南阳市空气质量持续改善行动计划的通知》（宛政〔2024〕6号）中相关要求。</w:t>
            </w:r>
          </w:p>
          <w:p w14:paraId="3416B595">
            <w:pPr>
              <w:adjustRightInd w:val="0"/>
              <w:snapToGrid w:val="0"/>
              <w:spacing w:line="360" w:lineRule="auto"/>
              <w:ind w:firstLine="482" w:firstLineChars="200"/>
              <w:textAlignment w:val="baseline"/>
              <w:rPr>
                <w:b/>
                <w:sz w:val="24"/>
              </w:rPr>
            </w:pPr>
            <w:r>
              <w:rPr>
                <w:b/>
                <w:sz w:val="24"/>
              </w:rPr>
              <w:t>4、项目与“三线一单”的相符性</w:t>
            </w:r>
          </w:p>
          <w:p w14:paraId="1210BC4E">
            <w:pPr>
              <w:adjustRightInd w:val="0"/>
              <w:snapToGrid w:val="0"/>
              <w:spacing w:line="360" w:lineRule="auto"/>
              <w:ind w:firstLine="480" w:firstLineChars="200"/>
              <w:textAlignment w:val="baseline"/>
              <w:rPr>
                <w:bCs/>
                <w:color w:val="000000"/>
                <w:kern w:val="0"/>
                <w:sz w:val="24"/>
              </w:rPr>
            </w:pPr>
            <w:r>
              <w:rPr>
                <w:bCs/>
                <w:color w:val="000000"/>
                <w:kern w:val="0"/>
                <w:sz w:val="24"/>
              </w:rPr>
              <w:t>根据环保部发布的《关于以改善环境质量为核心加强环境影响评价管理的通知》（以下简称《通知》），《通知》要求切实加强环境影响评价管理，落实“生态保护红线、环境质量底线、资源利用上线和环境准入负面清单”约束，建立项目环评审批与规划环评、现有项目环境管理、区域环境质量联动机制，更好地发挥环评制度从源头防范环境污染和生态破坏的作用，加快推进改善环境质量。</w:t>
            </w:r>
          </w:p>
          <w:p w14:paraId="4B080F60">
            <w:pPr>
              <w:spacing w:line="360" w:lineRule="auto"/>
              <w:ind w:firstLine="480" w:firstLineChars="200"/>
              <w:textAlignment w:val="baseline"/>
              <w:rPr>
                <w:bCs/>
                <w:color w:val="000000"/>
                <w:kern w:val="0"/>
                <w:sz w:val="24"/>
              </w:rPr>
            </w:pPr>
            <w:r>
              <w:rPr>
                <w:bCs/>
                <w:color w:val="000000"/>
                <w:kern w:val="0"/>
                <w:sz w:val="24"/>
              </w:rPr>
              <w:t>（1）生态保护红线</w:t>
            </w:r>
          </w:p>
          <w:p w14:paraId="61FB5845">
            <w:pPr>
              <w:spacing w:line="360" w:lineRule="auto"/>
              <w:ind w:firstLine="480" w:firstLineChars="200"/>
              <w:textAlignment w:val="baseline"/>
              <w:rPr>
                <w:bCs/>
                <w:color w:val="000000"/>
                <w:kern w:val="0"/>
                <w:sz w:val="24"/>
              </w:rPr>
            </w:pPr>
            <w:r>
              <w:rPr>
                <w:bCs/>
                <w:color w:val="000000"/>
                <w:kern w:val="0"/>
                <w:sz w:val="24"/>
              </w:rPr>
              <w:t>“生态保护红线”是“生态空间范围内具有特殊重要生态功能必须实行强制性严格保护的区域。相关规划环评应将生态空间管控作为重要内容，规划区域涉及生态保护红线的，在规划环评结论和审查意见中应落实生态保护红线的管理要求，提出相应对策措施。除受自然条件限制、确实无法避让的铁路、公路、航道、防洪、管道、干渠、通讯、输变电等重要基础设施项目外，在生态保护红线范围内，严控各类开发建设活动，依法不予审批新建工业项目和矿产开发项目的环评文件。需依法在重点生态功能区、生态环境敏感区和脆弱区等区域划定的严格管控边界，是国家和区域生态安全的底线，对于维护生态安全格局、保障生态服务功能、支撑经济社会可持续发展具有重要作用。</w:t>
            </w:r>
          </w:p>
          <w:p w14:paraId="78BE858A">
            <w:pPr>
              <w:spacing w:line="360" w:lineRule="auto"/>
              <w:ind w:firstLine="480" w:firstLineChars="200"/>
              <w:textAlignment w:val="baseline"/>
              <w:rPr>
                <w:bCs/>
                <w:color w:val="000000"/>
                <w:kern w:val="0"/>
                <w:sz w:val="24"/>
              </w:rPr>
            </w:pPr>
            <w:r>
              <w:rPr>
                <w:bCs/>
                <w:color w:val="000000"/>
                <w:kern w:val="0"/>
                <w:sz w:val="24"/>
              </w:rPr>
              <w:t>本项目位于</w:t>
            </w:r>
            <w:r>
              <w:rPr>
                <w:rFonts w:hint="eastAsia"/>
                <w:color w:val="000000" w:themeColor="text1"/>
                <w:sz w:val="24"/>
                <w14:textFill>
                  <w14:solidFill>
                    <w14:schemeClr w14:val="tx1"/>
                  </w14:solidFill>
                </w14:textFill>
              </w:rPr>
              <w:t>南阳市方城县四里店镇小店村何家庄</w:t>
            </w:r>
            <w:r>
              <w:rPr>
                <w:bCs/>
                <w:color w:val="000000"/>
                <w:kern w:val="0"/>
                <w:sz w:val="24"/>
              </w:rPr>
              <w:t>，项目选址不在自然保护区、</w:t>
            </w:r>
            <w:r>
              <w:rPr>
                <w:rFonts w:hint="eastAsia"/>
                <w:bCs/>
                <w:color w:val="000000"/>
                <w:kern w:val="0"/>
                <w:sz w:val="24"/>
                <w:lang w:val="en-US" w:eastAsia="zh-CN"/>
              </w:rPr>
              <w:t>方城</w:t>
            </w:r>
            <w:r>
              <w:rPr>
                <w:bCs/>
                <w:color w:val="000000"/>
                <w:kern w:val="0"/>
                <w:sz w:val="24"/>
              </w:rPr>
              <w:t>县饮用水源保护区、南水北调中线工程总干渠两侧水源保护区等生态保护目标范围内，距离自然保护区、水源保护区等生态保护目标较远，因此项目建设符合区域生态保护红线要求。</w:t>
            </w:r>
          </w:p>
          <w:p w14:paraId="18AB5360">
            <w:pPr>
              <w:spacing w:line="360" w:lineRule="auto"/>
              <w:ind w:firstLine="480" w:firstLineChars="200"/>
              <w:textAlignment w:val="baseline"/>
              <w:rPr>
                <w:bCs/>
                <w:color w:val="000000"/>
                <w:kern w:val="0"/>
                <w:sz w:val="24"/>
              </w:rPr>
            </w:pPr>
            <w:r>
              <w:rPr>
                <w:bCs/>
                <w:color w:val="000000"/>
                <w:kern w:val="0"/>
                <w:sz w:val="24"/>
              </w:rPr>
              <w:t>（2）环境质量底线</w:t>
            </w:r>
          </w:p>
          <w:p w14:paraId="554DF8E0">
            <w:pPr>
              <w:spacing w:line="360" w:lineRule="auto"/>
              <w:ind w:firstLine="480" w:firstLineChars="200"/>
              <w:textAlignment w:val="baseline"/>
              <w:rPr>
                <w:bCs/>
                <w:color w:val="000000"/>
                <w:kern w:val="0"/>
                <w:sz w:val="24"/>
              </w:rPr>
            </w:pPr>
            <w:r>
              <w:rPr>
                <w:bCs/>
                <w:color w:val="000000"/>
                <w:kern w:val="0"/>
                <w:sz w:val="24"/>
              </w:rPr>
              <w:t>“环境质量底线”是国家和地方设置的大气、水和土壤环境质量目标，也是改善环境质量的基准线。有关规划环评应落实区域环境质量目标管理要求，提出区域或者行业污染物排放总量管控建议以及优化区域或行业发展布局、结构和规模的对策措施。项目环评应对照区域环境质量目标，深入分析预测项目建设对环境质量的影响，强化污染防治措施和污染物排放控制要求。</w:t>
            </w:r>
          </w:p>
          <w:p w14:paraId="14C83FE8">
            <w:pPr>
              <w:spacing w:line="360" w:lineRule="auto"/>
              <w:ind w:firstLine="480" w:firstLineChars="200"/>
              <w:rPr>
                <w:bCs/>
                <w:color w:val="000000"/>
                <w:kern w:val="0"/>
                <w:sz w:val="24"/>
              </w:rPr>
            </w:pPr>
            <w:r>
              <w:rPr>
                <w:bCs/>
                <w:kern w:val="0"/>
                <w:sz w:val="24"/>
              </w:rPr>
              <w:t>项目所在区域环境空气功能为二类区，执行《环境空气质量标准》（GB3095-2012）二级标准。根据</w:t>
            </w:r>
            <w:r>
              <w:rPr>
                <w:bCs/>
                <w:sz w:val="24"/>
              </w:rPr>
              <w:t>《2023年河南省南阳市生态环境质量报告》中“2023年南阳市各县（市、区）环境空气主要项目监测结果统计”中</w:t>
            </w:r>
            <w:r>
              <w:rPr>
                <w:rFonts w:hint="eastAsia"/>
                <w:bCs/>
                <w:sz w:val="24"/>
                <w:lang w:val="en-US" w:eastAsia="zh-CN"/>
              </w:rPr>
              <w:t>方城</w:t>
            </w:r>
            <w:r>
              <w:rPr>
                <w:bCs/>
                <w:sz w:val="24"/>
              </w:rPr>
              <w:t>县的数据</w:t>
            </w:r>
            <w:r>
              <w:rPr>
                <w:bCs/>
                <w:kern w:val="0"/>
                <w:sz w:val="24"/>
              </w:rPr>
              <w:t>，项目区域环境空气质量为不达标区，超标因子为</w:t>
            </w:r>
            <w:r>
              <w:rPr>
                <w:bCs/>
                <w:sz w:val="24"/>
              </w:rPr>
              <w:t>PM</w:t>
            </w:r>
            <w:r>
              <w:rPr>
                <w:bCs/>
                <w:sz w:val="24"/>
                <w:vertAlign w:val="subscript"/>
              </w:rPr>
              <w:t>10</w:t>
            </w:r>
            <w:r>
              <w:rPr>
                <w:bCs/>
                <w:sz w:val="24"/>
              </w:rPr>
              <w:t>、PM</w:t>
            </w:r>
            <w:r>
              <w:rPr>
                <w:bCs/>
                <w:sz w:val="24"/>
                <w:vertAlign w:val="subscript"/>
              </w:rPr>
              <w:t>2.5</w:t>
            </w:r>
            <w:r>
              <w:rPr>
                <w:bCs/>
                <w:kern w:val="0"/>
                <w:sz w:val="24"/>
              </w:rPr>
              <w:t>。</w:t>
            </w:r>
            <w:r>
              <w:rPr>
                <w:rFonts w:hint="default" w:ascii="Times New Roman" w:hAnsi="Times New Roman" w:cs="Times New Roman"/>
                <w:sz w:val="24"/>
                <w:highlight w:val="none"/>
                <w:lang w:eastAsia="zh-TW" w:bidi="ar"/>
              </w:rPr>
              <w:t>为此，南阳市生态环境保护委员会已经制定了《南阳市202</w:t>
            </w:r>
            <w:r>
              <w:rPr>
                <w:rFonts w:hint="default" w:ascii="Times New Roman" w:hAnsi="Times New Roman" w:cs="Times New Roman"/>
                <w:sz w:val="24"/>
                <w:highlight w:val="none"/>
                <w:lang w:val="en-US" w:eastAsia="zh-TW" w:bidi="ar"/>
              </w:rPr>
              <w:t>5</w:t>
            </w:r>
            <w:r>
              <w:rPr>
                <w:rFonts w:hint="default" w:ascii="Times New Roman" w:hAnsi="Times New Roman" w:cs="Times New Roman"/>
                <w:sz w:val="24"/>
                <w:highlight w:val="none"/>
                <w:lang w:eastAsia="zh-TW" w:bidi="ar"/>
              </w:rPr>
              <w:t>年蓝天保卫战实施方案》（宛环委办〔202</w:t>
            </w:r>
            <w:r>
              <w:rPr>
                <w:rFonts w:hint="default" w:ascii="Times New Roman" w:hAnsi="Times New Roman" w:cs="Times New Roman"/>
                <w:sz w:val="24"/>
                <w:highlight w:val="none"/>
                <w:lang w:val="en-US" w:eastAsia="zh-TW" w:bidi="ar"/>
              </w:rPr>
              <w:t>5</w:t>
            </w:r>
            <w:r>
              <w:rPr>
                <w:rFonts w:hint="default" w:ascii="Times New Roman" w:hAnsi="Times New Roman" w:cs="Times New Roman"/>
                <w:sz w:val="24"/>
                <w:highlight w:val="none"/>
                <w:lang w:eastAsia="zh-TW" w:bidi="ar"/>
              </w:rPr>
              <w:t>〕</w:t>
            </w:r>
            <w:r>
              <w:rPr>
                <w:rFonts w:hint="default" w:ascii="Times New Roman" w:hAnsi="Times New Roman" w:cs="Times New Roman"/>
                <w:sz w:val="24"/>
                <w:highlight w:val="none"/>
                <w:lang w:val="en-US" w:eastAsia="zh-TW" w:bidi="ar"/>
              </w:rPr>
              <w:t>5</w:t>
            </w:r>
            <w:r>
              <w:rPr>
                <w:rFonts w:hint="default" w:ascii="Times New Roman" w:hAnsi="Times New Roman" w:cs="Times New Roman"/>
                <w:sz w:val="24"/>
                <w:highlight w:val="none"/>
                <w:lang w:eastAsia="zh-TW" w:bidi="ar"/>
              </w:rPr>
              <w:t>号），</w:t>
            </w:r>
            <w:r>
              <w:rPr>
                <w:rFonts w:hint="default" w:ascii="Times New Roman" w:hAnsi="Times New Roman" w:cs="Times New Roman"/>
                <w:bCs/>
                <w:sz w:val="24"/>
                <w:highlight w:val="none"/>
              </w:rPr>
              <w:t>南阳市将坚持稳中求进工作总基调，以改善环境空气质量为核心，以降低细颗粒物（PM</w:t>
            </w:r>
            <w:r>
              <w:rPr>
                <w:rFonts w:hint="default" w:ascii="Times New Roman" w:hAnsi="Times New Roman" w:cs="Times New Roman"/>
                <w:bCs/>
                <w:sz w:val="24"/>
                <w:highlight w:val="none"/>
                <w:vertAlign w:val="subscript"/>
              </w:rPr>
              <w:t>2.5</w:t>
            </w:r>
            <w:r>
              <w:rPr>
                <w:rFonts w:hint="default" w:ascii="Times New Roman" w:hAnsi="Times New Roman" w:cs="Times New Roman"/>
                <w:bCs/>
                <w:sz w:val="24"/>
                <w:highlight w:val="none"/>
              </w:rPr>
              <w:t>）浓度为主线，协同推进降碳、减污、扩绿、增长，以更高标准打好秋冬季重污染天气消除、夏季臭氧污染防治和柴油货车污染治理攻坚战，扎实抓好减污降碳协同增效、工业污染治理减排、移动源污染控制、面源污染综合治理、重污染天气联合应对、科技支撑能力建设六个攻坚行动，加快推动发展方式绿色低碳转型，完成省定年度空气质量改善目标任务，为推进美丽南阳建设贡献力量</w:t>
            </w:r>
            <w:r>
              <w:rPr>
                <w:rFonts w:hint="eastAsia" w:cs="Times New Roman"/>
                <w:bCs/>
                <w:sz w:val="24"/>
                <w:highlight w:val="none"/>
                <w:lang w:eastAsia="zh-CN"/>
              </w:rPr>
              <w:t>，</w:t>
            </w:r>
            <w:r>
              <w:rPr>
                <w:rFonts w:hint="default" w:ascii="Times New Roman" w:hAnsi="Times New Roman" w:cs="Times New Roman"/>
                <w:bCs/>
                <w:sz w:val="24"/>
                <w:highlight w:val="none"/>
              </w:rPr>
              <w:t>为高水平建强省域副中心城市提供生态保障</w:t>
            </w:r>
            <w:r>
              <w:rPr>
                <w:rFonts w:hint="default" w:ascii="Times New Roman" w:hAnsi="Times New Roman" w:cs="Times New Roman"/>
                <w:sz w:val="24"/>
                <w:highlight w:val="none"/>
                <w:lang w:eastAsia="zh-TW" w:bidi="ar"/>
              </w:rPr>
              <w:t>。</w:t>
            </w:r>
          </w:p>
          <w:p w14:paraId="0A40BCC5">
            <w:pPr>
              <w:spacing w:line="360" w:lineRule="auto"/>
              <w:ind w:firstLine="480" w:firstLineChars="200"/>
              <w:rPr>
                <w:bCs/>
                <w:kern w:val="0"/>
                <w:sz w:val="24"/>
              </w:rPr>
            </w:pPr>
            <w:r>
              <w:rPr>
                <w:sz w:val="24"/>
              </w:rPr>
              <w:t>项目区附近地表水体主要为</w:t>
            </w:r>
            <w:r>
              <w:rPr>
                <w:rFonts w:hint="eastAsia"/>
                <w:sz w:val="24"/>
                <w:lang w:val="en-US" w:eastAsia="zh-CN"/>
              </w:rPr>
              <w:t>北</w:t>
            </w:r>
            <w:r>
              <w:rPr>
                <w:sz w:val="24"/>
              </w:rPr>
              <w:t>侧</w:t>
            </w:r>
            <w:r>
              <w:rPr>
                <w:rFonts w:hint="eastAsia"/>
                <w:sz w:val="24"/>
                <w:lang w:val="en-US" w:eastAsia="zh-CN"/>
              </w:rPr>
              <w:t>39</w:t>
            </w:r>
            <w:r>
              <w:rPr>
                <w:sz w:val="24"/>
              </w:rPr>
              <w:t>m的</w:t>
            </w:r>
            <w:r>
              <w:rPr>
                <w:rFonts w:hint="eastAsia"/>
                <w:sz w:val="24"/>
                <w:lang w:val="en-US" w:eastAsia="zh-CN"/>
              </w:rPr>
              <w:t>澧</w:t>
            </w:r>
            <w:r>
              <w:rPr>
                <w:sz w:val="24"/>
              </w:rPr>
              <w:t>河。</w:t>
            </w:r>
            <w:r>
              <w:rPr>
                <w:sz w:val="24"/>
                <w:highlight w:val="none"/>
              </w:rPr>
              <w:t>项目区雨水经厂区雨水排放口依地势排入项目西侧的</w:t>
            </w:r>
            <w:r>
              <w:rPr>
                <w:rFonts w:hint="eastAsia"/>
                <w:sz w:val="24"/>
                <w:highlight w:val="none"/>
                <w:lang w:val="en-US" w:eastAsia="zh-CN"/>
              </w:rPr>
              <w:t>自然沟，再向北流入</w:t>
            </w:r>
            <w:r>
              <w:rPr>
                <w:rFonts w:hint="eastAsia"/>
                <w:sz w:val="24"/>
                <w:lang w:val="en-US" w:eastAsia="zh-CN"/>
              </w:rPr>
              <w:t>澧</w:t>
            </w:r>
            <w:r>
              <w:rPr>
                <w:sz w:val="24"/>
              </w:rPr>
              <w:t>河</w:t>
            </w:r>
            <w:r>
              <w:rPr>
                <w:sz w:val="24"/>
                <w:highlight w:val="none"/>
              </w:rPr>
              <w:t>，</w:t>
            </w:r>
            <w:r>
              <w:rPr>
                <w:rFonts w:hint="eastAsia"/>
                <w:sz w:val="24"/>
                <w:highlight w:val="none"/>
                <w:lang w:val="en-US" w:eastAsia="zh-CN"/>
              </w:rPr>
              <w:t>最终</w:t>
            </w:r>
            <w:r>
              <w:rPr>
                <w:sz w:val="24"/>
                <w:highlight w:val="none"/>
              </w:rPr>
              <w:t>汇入</w:t>
            </w:r>
            <w:r>
              <w:rPr>
                <w:rFonts w:hint="eastAsia"/>
                <w:sz w:val="24"/>
                <w:highlight w:val="none"/>
                <w:lang w:val="en-US" w:eastAsia="zh-CN"/>
              </w:rPr>
              <w:t>沙</w:t>
            </w:r>
            <w:r>
              <w:rPr>
                <w:sz w:val="24"/>
                <w:highlight w:val="none"/>
              </w:rPr>
              <w:t>河</w:t>
            </w:r>
            <w:r>
              <w:rPr>
                <w:sz w:val="24"/>
              </w:rPr>
              <w:t>；</w:t>
            </w:r>
            <w:r>
              <w:rPr>
                <w:rFonts w:hint="default" w:ascii="Times New Roman" w:hAnsi="Times New Roman" w:cs="Times New Roman"/>
                <w:sz w:val="24"/>
                <w:szCs w:val="24"/>
                <w:highlight w:val="none"/>
              </w:rPr>
              <w:t>且</w:t>
            </w:r>
            <w:r>
              <w:rPr>
                <w:rFonts w:hint="default" w:ascii="Times New Roman" w:hAnsi="Times New Roman" w:cs="Times New Roman"/>
                <w:sz w:val="24"/>
                <w:szCs w:val="24"/>
                <w:highlight w:val="none"/>
                <w:lang w:val="en-US" w:eastAsia="zh-CN"/>
              </w:rPr>
              <w:t>本项目</w:t>
            </w:r>
            <w:r>
              <w:rPr>
                <w:rFonts w:hint="default" w:ascii="Times New Roman" w:hAnsi="Times New Roman" w:eastAsia="宋体" w:cs="Times New Roman"/>
                <w:color w:val="auto"/>
                <w:sz w:val="24"/>
                <w:szCs w:val="24"/>
                <w:highlight w:val="none"/>
                <w:u w:val="none" w:color="auto"/>
              </w:rPr>
              <w:t>生活污水经经化粪池（容积</w:t>
            </w:r>
            <w:r>
              <w:rPr>
                <w:rFonts w:hint="eastAsia" w:cs="Times New Roman"/>
                <w:color w:val="auto"/>
                <w:sz w:val="24"/>
                <w:szCs w:val="24"/>
                <w:highlight w:val="none"/>
                <w:u w:val="none" w:color="auto"/>
                <w:lang w:val="en-US" w:eastAsia="zh-CN"/>
              </w:rPr>
              <w:t>10</w:t>
            </w:r>
            <w:r>
              <w:rPr>
                <w:rFonts w:hint="default" w:ascii="Times New Roman" w:hAnsi="Times New Roman" w:eastAsia="宋体" w:cs="Times New Roman"/>
                <w:color w:val="auto"/>
                <w:sz w:val="24"/>
                <w:szCs w:val="24"/>
                <w:highlight w:val="none"/>
                <w:u w:val="none" w:color="auto"/>
              </w:rPr>
              <w:t>m</w:t>
            </w:r>
            <w:r>
              <w:rPr>
                <w:rFonts w:hint="default" w:ascii="Times New Roman" w:hAnsi="Times New Roman" w:eastAsia="宋体" w:cs="Times New Roman"/>
                <w:color w:val="auto"/>
                <w:sz w:val="24"/>
                <w:szCs w:val="24"/>
                <w:highlight w:val="none"/>
                <w:u w:val="none" w:color="auto"/>
                <w:vertAlign w:val="superscript"/>
              </w:rPr>
              <w:t>3</w:t>
            </w:r>
            <w:r>
              <w:rPr>
                <w:rFonts w:hint="default" w:ascii="Times New Roman" w:hAnsi="Times New Roman" w:eastAsia="宋体" w:cs="Times New Roman"/>
                <w:color w:val="auto"/>
                <w:sz w:val="24"/>
                <w:szCs w:val="24"/>
                <w:highlight w:val="none"/>
                <w:u w:val="none" w:color="auto"/>
              </w:rPr>
              <w:t>，三防措施）处理后用于周边农田的施肥</w:t>
            </w:r>
            <w:r>
              <w:rPr>
                <w:rFonts w:hint="default" w:ascii="Times New Roman" w:hAnsi="Times New Roman" w:cs="Times New Roman"/>
                <w:sz w:val="24"/>
                <w:highlight w:val="none"/>
              </w:rPr>
              <w:t>；</w:t>
            </w:r>
            <w:r>
              <w:rPr>
                <w:rFonts w:hint="default" w:ascii="Times New Roman" w:hAnsi="Times New Roman" w:cs="Times New Roman"/>
                <w:sz w:val="24"/>
                <w:lang w:val="en-US" w:eastAsia="zh-CN"/>
              </w:rPr>
              <w:t>2023年南阳市33个监测断面全部优于或符合Ⅲ类标准。因此，澧河能够满足《地表水环境质量标准》（GB3838-2002）中Ⅲ类标准要求，项目区域为地表水环境达标区。</w:t>
            </w:r>
          </w:p>
          <w:p w14:paraId="238FAB43">
            <w:pPr>
              <w:spacing w:line="360" w:lineRule="auto"/>
              <w:ind w:firstLine="480" w:firstLineChars="200"/>
              <w:textAlignment w:val="baseline"/>
              <w:rPr>
                <w:bCs/>
                <w:kern w:val="0"/>
                <w:sz w:val="24"/>
              </w:rPr>
            </w:pPr>
            <w:r>
              <w:rPr>
                <w:bCs/>
                <w:kern w:val="0"/>
                <w:sz w:val="24"/>
              </w:rPr>
              <w:t>因此项目建成后不会对区域地表水体的环境造成不良影响。</w:t>
            </w:r>
          </w:p>
          <w:p w14:paraId="78C9C01E">
            <w:pPr>
              <w:spacing w:line="360" w:lineRule="auto"/>
              <w:ind w:firstLine="480" w:firstLineChars="200"/>
              <w:textAlignment w:val="baseline"/>
              <w:rPr>
                <w:bCs/>
                <w:kern w:val="0"/>
                <w:sz w:val="24"/>
              </w:rPr>
            </w:pPr>
            <w:r>
              <w:rPr>
                <w:bCs/>
                <w:kern w:val="0"/>
                <w:sz w:val="24"/>
              </w:rPr>
              <w:t>本项目所在区域为2类声环境功能区，项目区域目前能够满足《声环境质量标准》2类标准要求，本项目建成后经采取隔声、减振等降噪措施后，经距离衰减，预计四周厂界</w:t>
            </w:r>
            <w:r>
              <w:rPr>
                <w:sz w:val="24"/>
              </w:rPr>
              <w:t>噪声影响值可达到《工业企业厂界环境噪声排放标准》（GB12348-2008）中2类标准；</w:t>
            </w:r>
            <w:r>
              <w:rPr>
                <w:bCs/>
                <w:kern w:val="0"/>
                <w:sz w:val="24"/>
              </w:rPr>
              <w:t>本项目建设运营不会改变项目所在区域的声环境功能，因此项目建设声环境质量是符合要求的。</w:t>
            </w:r>
          </w:p>
          <w:p w14:paraId="182A974C">
            <w:pPr>
              <w:spacing w:line="360" w:lineRule="auto"/>
              <w:ind w:firstLine="480" w:firstLineChars="200"/>
              <w:textAlignment w:val="baseline"/>
              <w:rPr>
                <w:bCs/>
                <w:color w:val="000000"/>
                <w:kern w:val="0"/>
                <w:sz w:val="24"/>
              </w:rPr>
            </w:pPr>
            <w:r>
              <w:rPr>
                <w:bCs/>
                <w:color w:val="000000"/>
                <w:kern w:val="0"/>
                <w:sz w:val="24"/>
              </w:rPr>
              <w:t>综上所述，本项目建设是符合环境质量底线要求的。</w:t>
            </w:r>
          </w:p>
          <w:p w14:paraId="30EDA9C2">
            <w:pPr>
              <w:spacing w:line="360" w:lineRule="auto"/>
              <w:ind w:firstLine="480" w:firstLineChars="200"/>
              <w:textAlignment w:val="baseline"/>
              <w:rPr>
                <w:bCs/>
                <w:color w:val="000000"/>
                <w:kern w:val="0"/>
                <w:sz w:val="24"/>
              </w:rPr>
            </w:pPr>
            <w:r>
              <w:rPr>
                <w:bCs/>
                <w:color w:val="000000"/>
                <w:kern w:val="0"/>
                <w:sz w:val="24"/>
              </w:rPr>
              <w:t>（3）资源利用上线</w:t>
            </w:r>
          </w:p>
          <w:p w14:paraId="18E1361B">
            <w:pPr>
              <w:spacing w:line="360" w:lineRule="auto"/>
              <w:ind w:firstLine="480" w:firstLineChars="200"/>
              <w:textAlignment w:val="baseline"/>
              <w:rPr>
                <w:bCs/>
                <w:color w:val="000000"/>
                <w:kern w:val="0"/>
                <w:sz w:val="24"/>
              </w:rPr>
            </w:pPr>
            <w:r>
              <w:rPr>
                <w:bCs/>
                <w:color w:val="000000"/>
                <w:kern w:val="0"/>
                <w:sz w:val="24"/>
              </w:rPr>
              <w:t>资源是环境的载体，“资源利用上线”地区能源、水、土地等资源消耗不得突破的“天花板”。相关规划环评应依据有关资源利用上线，对规划实施以及规划内项目的资源开发利用，区分不同行业，从能源资源开发等量或减量替代、开采方式和规模控制、利用效率和保护措施等方面提出建议，为规划编制和审批决策提供重要依据。</w:t>
            </w:r>
          </w:p>
          <w:p w14:paraId="23A12FD4">
            <w:pPr>
              <w:spacing w:line="360" w:lineRule="auto"/>
              <w:ind w:firstLine="480" w:firstLineChars="200"/>
              <w:textAlignment w:val="baseline"/>
              <w:rPr>
                <w:bCs/>
                <w:color w:val="000000"/>
                <w:kern w:val="0"/>
                <w:sz w:val="24"/>
              </w:rPr>
            </w:pPr>
            <w:r>
              <w:rPr>
                <w:bCs/>
                <w:color w:val="000000"/>
                <w:kern w:val="0"/>
                <w:sz w:val="24"/>
              </w:rPr>
              <w:t>本项目用水由市政供水系统供给，可以满足项目生产及生活用水需求；项目生产过程设备均用电，由市政供电系统提供</w:t>
            </w:r>
            <w:r>
              <w:rPr>
                <w:bCs/>
                <w:kern w:val="0"/>
                <w:sz w:val="24"/>
              </w:rPr>
              <w:t>；项目用地性质为工业用地，不占用基本农田，土地资源消耗符合要求，因此</w:t>
            </w:r>
            <w:r>
              <w:rPr>
                <w:bCs/>
                <w:color w:val="000000"/>
                <w:kern w:val="0"/>
                <w:sz w:val="24"/>
              </w:rPr>
              <w:t>项目资源利用满足要求。</w:t>
            </w:r>
          </w:p>
          <w:p w14:paraId="57F592A5">
            <w:pPr>
              <w:spacing w:line="360" w:lineRule="auto"/>
              <w:ind w:firstLine="480" w:firstLineChars="200"/>
              <w:textAlignment w:val="baseline"/>
              <w:rPr>
                <w:bCs/>
                <w:color w:val="000000"/>
                <w:kern w:val="0"/>
                <w:sz w:val="24"/>
              </w:rPr>
            </w:pPr>
            <w:r>
              <w:rPr>
                <w:bCs/>
                <w:color w:val="000000"/>
                <w:kern w:val="0"/>
                <w:sz w:val="24"/>
              </w:rPr>
              <w:t>（4）环境准入负面清单</w:t>
            </w:r>
          </w:p>
          <w:p w14:paraId="126FEB6C">
            <w:pPr>
              <w:tabs>
                <w:tab w:val="left" w:pos="1081"/>
              </w:tabs>
              <w:spacing w:line="360" w:lineRule="auto"/>
              <w:ind w:firstLine="480" w:firstLineChars="200"/>
              <w:rPr>
                <w:sz w:val="24"/>
              </w:rPr>
            </w:pPr>
            <w:r>
              <w:rPr>
                <w:sz w:val="24"/>
              </w:rPr>
              <w:t>本项目位于</w:t>
            </w:r>
            <w:r>
              <w:rPr>
                <w:rFonts w:hint="eastAsia"/>
                <w:sz w:val="24"/>
              </w:rPr>
              <w:t>南阳市方城县四里店镇小店村何家庄</w:t>
            </w:r>
            <w:r>
              <w:rPr>
                <w:sz w:val="24"/>
              </w:rPr>
              <w:t>，经比对《南阳市“三线一单”生态环境准入清单（2023年更新）》及河南省生态环境厅三线一单综合信息应用平台，本项目涉及1个环境管控单元，单元名称为：</w:t>
            </w:r>
            <w:r>
              <w:rPr>
                <w:rFonts w:hint="eastAsia"/>
                <w:sz w:val="24"/>
                <w:lang w:val="en-US" w:eastAsia="zh-CN"/>
              </w:rPr>
              <w:t>方城县一般管控单元</w:t>
            </w:r>
            <w:r>
              <w:rPr>
                <w:sz w:val="24"/>
              </w:rPr>
              <w:t>，单元编号：</w:t>
            </w:r>
            <w:r>
              <w:rPr>
                <w:rFonts w:hint="eastAsia"/>
                <w:sz w:val="24"/>
                <w:lang w:val="en-US" w:eastAsia="zh-CN"/>
              </w:rPr>
              <w:t>ZH41132230001</w:t>
            </w:r>
            <w:r>
              <w:rPr>
                <w:sz w:val="24"/>
              </w:rPr>
              <w:t>，研判分析及对比结果如下。</w:t>
            </w:r>
          </w:p>
          <w:p w14:paraId="517B18A2">
            <w:pPr>
              <w:spacing w:line="360" w:lineRule="auto"/>
              <w:ind w:firstLine="480" w:firstLineChars="200"/>
              <w:rPr>
                <w:color w:val="000000"/>
                <w:sz w:val="24"/>
              </w:rPr>
            </w:pPr>
            <w:r>
              <w:rPr>
                <w:sz w:val="24"/>
              </w:rPr>
              <w:t>经比对，项目涉及1个河南省环境管控单元，其中优先保护单元0个,重点管控单元</w:t>
            </w:r>
            <w:r>
              <w:rPr>
                <w:rFonts w:hint="eastAsia"/>
                <w:sz w:val="24"/>
                <w:lang w:val="en-US" w:eastAsia="zh-CN"/>
              </w:rPr>
              <w:t>0</w:t>
            </w:r>
            <w:r>
              <w:rPr>
                <w:sz w:val="24"/>
              </w:rPr>
              <w:t>个</w:t>
            </w:r>
            <w:r>
              <w:rPr>
                <w:rFonts w:hint="eastAsia"/>
                <w:sz w:val="24"/>
                <w:lang w:eastAsia="zh-CN"/>
              </w:rPr>
              <w:t>，</w:t>
            </w:r>
            <w:r>
              <w:rPr>
                <w:sz w:val="24"/>
              </w:rPr>
              <w:t>一般管控单元</w:t>
            </w:r>
            <w:r>
              <w:rPr>
                <w:rFonts w:hint="eastAsia"/>
                <w:sz w:val="24"/>
                <w:lang w:val="en-US" w:eastAsia="zh-CN"/>
              </w:rPr>
              <w:t>1</w:t>
            </w:r>
            <w:r>
              <w:rPr>
                <w:sz w:val="24"/>
              </w:rPr>
              <w:t>个，详见下表。</w:t>
            </w:r>
          </w:p>
        </w:tc>
      </w:tr>
    </w:tbl>
    <w:p w14:paraId="60BD9F0D">
      <w:pPr>
        <w:ind w:left="0" w:leftChars="0" w:firstLine="0" w:firstLineChars="0"/>
        <w:sectPr>
          <w:footerReference r:id="rId5" w:type="default"/>
          <w:pgSz w:w="11906" w:h="16838"/>
          <w:pgMar w:top="1440" w:right="1083" w:bottom="1440" w:left="1083" w:header="851" w:footer="992" w:gutter="0"/>
          <w:pgNumType w:fmt="decimal" w:start="1"/>
          <w:cols w:space="0" w:num="1"/>
          <w:rtlGutter w:val="0"/>
          <w:docGrid w:type="lines" w:linePitch="312" w:charSpace="0"/>
        </w:sectPr>
      </w:pPr>
    </w:p>
    <w:p w14:paraId="5C8C3B16">
      <w:pPr>
        <w:tabs>
          <w:tab w:val="left" w:pos="1081"/>
        </w:tabs>
        <w:adjustRightInd w:val="0"/>
        <w:snapToGrid w:val="0"/>
        <w:spacing w:line="360" w:lineRule="auto"/>
        <w:ind w:firstLine="482" w:firstLineChars="200"/>
        <w:jc w:val="center"/>
        <w:rPr>
          <w:b/>
          <w:bCs/>
          <w:spacing w:val="-2"/>
          <w:sz w:val="24"/>
        </w:rPr>
      </w:pPr>
      <w:r>
        <w:rPr>
          <w:b/>
          <w:bCs/>
          <w:sz w:val="24"/>
        </w:rPr>
        <w:t>表</w:t>
      </w:r>
      <w:r>
        <w:rPr>
          <w:rFonts w:hint="eastAsia"/>
          <w:b/>
          <w:bCs/>
          <w:sz w:val="24"/>
        </w:rPr>
        <w:t>1-</w:t>
      </w:r>
      <w:r>
        <w:rPr>
          <w:rFonts w:hint="eastAsia"/>
          <w:b/>
          <w:bCs/>
          <w:sz w:val="24"/>
          <w:lang w:val="en-US" w:eastAsia="zh-CN"/>
        </w:rPr>
        <w:t>6</w:t>
      </w:r>
      <w:r>
        <w:rPr>
          <w:b/>
          <w:bCs/>
          <w:sz w:val="24"/>
        </w:rPr>
        <w:t xml:space="preserve">  </w:t>
      </w:r>
      <w:r>
        <w:rPr>
          <w:b/>
          <w:bCs/>
          <w:spacing w:val="-2"/>
          <w:sz w:val="24"/>
        </w:rPr>
        <w:t>项目</w:t>
      </w:r>
      <w:r>
        <w:rPr>
          <w:b/>
          <w:bCs/>
          <w:kern w:val="0"/>
          <w:sz w:val="24"/>
        </w:rPr>
        <w:t>河南省生态环境厅三线一单综合信息应用平台比对分析</w:t>
      </w:r>
    </w:p>
    <w:tbl>
      <w:tblPr>
        <w:tblStyle w:val="29"/>
        <w:tblW w:w="4996"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842"/>
        <w:gridCol w:w="701"/>
        <w:gridCol w:w="346"/>
        <w:gridCol w:w="425"/>
        <w:gridCol w:w="425"/>
        <w:gridCol w:w="465"/>
        <w:gridCol w:w="722"/>
        <w:gridCol w:w="637"/>
        <w:gridCol w:w="4776"/>
        <w:gridCol w:w="3150"/>
        <w:gridCol w:w="674"/>
      </w:tblGrid>
      <w:tr w14:paraId="49EB9EB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650" w:type="pct"/>
            <w:vMerge w:val="restart"/>
            <w:noWrap w:val="0"/>
            <w:vAlign w:val="center"/>
          </w:tcPr>
          <w:p w14:paraId="022252C4">
            <w:pPr>
              <w:jc w:val="center"/>
              <w:rPr>
                <w:b w:val="0"/>
                <w:bCs w:val="0"/>
                <w:color w:val="000000"/>
                <w:sz w:val="21"/>
                <w:szCs w:val="21"/>
              </w:rPr>
            </w:pPr>
            <w:r>
              <w:rPr>
                <w:rFonts w:hint="eastAsia"/>
                <w:b w:val="0"/>
                <w:bCs w:val="0"/>
                <w:color w:val="000000"/>
                <w:sz w:val="21"/>
                <w:szCs w:val="21"/>
              </w:rPr>
              <w:t>环境管控单元编码</w:t>
            </w:r>
          </w:p>
        </w:tc>
        <w:tc>
          <w:tcPr>
            <w:tcW w:w="247" w:type="pct"/>
            <w:vMerge w:val="restart"/>
            <w:noWrap w:val="0"/>
            <w:vAlign w:val="center"/>
          </w:tcPr>
          <w:p w14:paraId="6ACE4D07">
            <w:pPr>
              <w:jc w:val="center"/>
              <w:rPr>
                <w:b w:val="0"/>
                <w:bCs w:val="0"/>
                <w:color w:val="000000"/>
                <w:sz w:val="21"/>
                <w:szCs w:val="21"/>
              </w:rPr>
            </w:pPr>
            <w:r>
              <w:rPr>
                <w:rFonts w:hint="eastAsia"/>
                <w:b w:val="0"/>
                <w:bCs w:val="0"/>
                <w:color w:val="000000"/>
                <w:sz w:val="21"/>
                <w:szCs w:val="21"/>
              </w:rPr>
              <w:t>环境管控单元名称</w:t>
            </w:r>
          </w:p>
        </w:tc>
        <w:tc>
          <w:tcPr>
            <w:tcW w:w="586" w:type="pct"/>
            <w:gridSpan w:val="4"/>
            <w:noWrap w:val="0"/>
            <w:vAlign w:val="center"/>
          </w:tcPr>
          <w:p w14:paraId="74AEB7C8">
            <w:pPr>
              <w:jc w:val="center"/>
              <w:rPr>
                <w:b w:val="0"/>
                <w:bCs w:val="0"/>
                <w:color w:val="000000"/>
                <w:sz w:val="21"/>
                <w:szCs w:val="21"/>
              </w:rPr>
            </w:pPr>
            <w:r>
              <w:rPr>
                <w:rFonts w:hint="eastAsia"/>
                <w:b w:val="0"/>
                <w:bCs w:val="0"/>
                <w:color w:val="000000"/>
                <w:sz w:val="21"/>
                <w:szCs w:val="21"/>
              </w:rPr>
              <w:t>行政区划</w:t>
            </w:r>
          </w:p>
        </w:tc>
        <w:tc>
          <w:tcPr>
            <w:tcW w:w="254" w:type="pct"/>
            <w:vMerge w:val="restart"/>
            <w:noWrap w:val="0"/>
            <w:vAlign w:val="center"/>
          </w:tcPr>
          <w:p w14:paraId="2EE73335">
            <w:pPr>
              <w:jc w:val="center"/>
              <w:rPr>
                <w:b w:val="0"/>
                <w:bCs w:val="0"/>
                <w:color w:val="000000"/>
                <w:sz w:val="21"/>
                <w:szCs w:val="21"/>
              </w:rPr>
            </w:pPr>
            <w:r>
              <w:rPr>
                <w:rFonts w:hint="eastAsia"/>
                <w:b w:val="0"/>
                <w:bCs w:val="0"/>
                <w:color w:val="000000"/>
                <w:sz w:val="21"/>
                <w:szCs w:val="21"/>
              </w:rPr>
              <w:t>管控单元分类</w:t>
            </w:r>
          </w:p>
        </w:tc>
        <w:tc>
          <w:tcPr>
            <w:tcW w:w="1910" w:type="pct"/>
            <w:gridSpan w:val="2"/>
            <w:vMerge w:val="restart"/>
            <w:noWrap w:val="0"/>
            <w:vAlign w:val="center"/>
          </w:tcPr>
          <w:p w14:paraId="2FF274CE">
            <w:pPr>
              <w:jc w:val="center"/>
              <w:rPr>
                <w:b w:val="0"/>
                <w:bCs w:val="0"/>
                <w:color w:val="000000"/>
                <w:sz w:val="21"/>
                <w:szCs w:val="21"/>
              </w:rPr>
            </w:pPr>
            <w:r>
              <w:rPr>
                <w:rFonts w:hint="eastAsia"/>
                <w:b w:val="0"/>
                <w:bCs w:val="0"/>
                <w:color w:val="000000"/>
                <w:sz w:val="21"/>
                <w:szCs w:val="21"/>
              </w:rPr>
              <w:t>管控要求</w:t>
            </w:r>
          </w:p>
        </w:tc>
        <w:tc>
          <w:tcPr>
            <w:tcW w:w="1112" w:type="pct"/>
            <w:vMerge w:val="restart"/>
            <w:noWrap w:val="0"/>
            <w:vAlign w:val="center"/>
          </w:tcPr>
          <w:p w14:paraId="7DCF11C6">
            <w:pPr>
              <w:jc w:val="center"/>
              <w:rPr>
                <w:b w:val="0"/>
                <w:bCs w:val="0"/>
                <w:color w:val="000000"/>
                <w:sz w:val="21"/>
                <w:szCs w:val="21"/>
              </w:rPr>
            </w:pPr>
            <w:r>
              <w:rPr>
                <w:rFonts w:hint="eastAsia"/>
                <w:b w:val="0"/>
                <w:bCs w:val="0"/>
                <w:color w:val="000000"/>
                <w:sz w:val="21"/>
                <w:szCs w:val="21"/>
              </w:rPr>
              <w:t>本项目情况</w:t>
            </w:r>
          </w:p>
        </w:tc>
        <w:tc>
          <w:tcPr>
            <w:tcW w:w="237" w:type="pct"/>
            <w:vMerge w:val="restart"/>
            <w:noWrap w:val="0"/>
            <w:vAlign w:val="center"/>
          </w:tcPr>
          <w:p w14:paraId="59592D86">
            <w:pPr>
              <w:jc w:val="center"/>
              <w:rPr>
                <w:b w:val="0"/>
                <w:bCs w:val="0"/>
                <w:color w:val="000000"/>
                <w:sz w:val="21"/>
                <w:szCs w:val="21"/>
              </w:rPr>
            </w:pPr>
            <w:r>
              <w:rPr>
                <w:rFonts w:hint="eastAsia"/>
                <w:b w:val="0"/>
                <w:bCs w:val="0"/>
                <w:color w:val="000000"/>
                <w:sz w:val="21"/>
                <w:szCs w:val="21"/>
              </w:rPr>
              <w:t>相符性</w:t>
            </w:r>
          </w:p>
        </w:tc>
      </w:tr>
      <w:tr w14:paraId="42F220D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650" w:type="pct"/>
            <w:vMerge w:val="continue"/>
            <w:noWrap w:val="0"/>
            <w:vAlign w:val="center"/>
          </w:tcPr>
          <w:p w14:paraId="44C4E893">
            <w:pPr>
              <w:jc w:val="center"/>
              <w:rPr>
                <w:b w:val="0"/>
                <w:bCs w:val="0"/>
                <w:color w:val="000000"/>
                <w:sz w:val="21"/>
                <w:szCs w:val="21"/>
              </w:rPr>
            </w:pPr>
          </w:p>
        </w:tc>
        <w:tc>
          <w:tcPr>
            <w:tcW w:w="247" w:type="pct"/>
            <w:vMerge w:val="continue"/>
            <w:noWrap w:val="0"/>
            <w:vAlign w:val="center"/>
          </w:tcPr>
          <w:p w14:paraId="3D306737">
            <w:pPr>
              <w:jc w:val="center"/>
              <w:rPr>
                <w:b w:val="0"/>
                <w:bCs w:val="0"/>
                <w:color w:val="000000"/>
                <w:sz w:val="21"/>
                <w:szCs w:val="21"/>
              </w:rPr>
            </w:pPr>
          </w:p>
        </w:tc>
        <w:tc>
          <w:tcPr>
            <w:tcW w:w="122" w:type="pct"/>
            <w:noWrap w:val="0"/>
            <w:vAlign w:val="center"/>
          </w:tcPr>
          <w:p w14:paraId="570332EA">
            <w:pPr>
              <w:jc w:val="center"/>
              <w:rPr>
                <w:b w:val="0"/>
                <w:bCs w:val="0"/>
                <w:color w:val="000000"/>
                <w:sz w:val="21"/>
                <w:szCs w:val="21"/>
              </w:rPr>
            </w:pPr>
            <w:r>
              <w:rPr>
                <w:rFonts w:hint="eastAsia"/>
                <w:b w:val="0"/>
                <w:bCs w:val="0"/>
                <w:color w:val="000000"/>
                <w:sz w:val="21"/>
                <w:szCs w:val="21"/>
              </w:rPr>
              <w:t>省</w:t>
            </w:r>
          </w:p>
        </w:tc>
        <w:tc>
          <w:tcPr>
            <w:tcW w:w="150" w:type="pct"/>
            <w:noWrap w:val="0"/>
            <w:vAlign w:val="center"/>
          </w:tcPr>
          <w:p w14:paraId="45F3898E">
            <w:pPr>
              <w:jc w:val="center"/>
              <w:rPr>
                <w:b w:val="0"/>
                <w:bCs w:val="0"/>
                <w:color w:val="000000"/>
                <w:sz w:val="21"/>
                <w:szCs w:val="21"/>
              </w:rPr>
            </w:pPr>
            <w:r>
              <w:rPr>
                <w:rFonts w:hint="eastAsia"/>
                <w:b w:val="0"/>
                <w:bCs w:val="0"/>
                <w:color w:val="000000"/>
                <w:sz w:val="21"/>
                <w:szCs w:val="21"/>
              </w:rPr>
              <w:t>市</w:t>
            </w:r>
          </w:p>
        </w:tc>
        <w:tc>
          <w:tcPr>
            <w:tcW w:w="150" w:type="pct"/>
            <w:noWrap w:val="0"/>
            <w:vAlign w:val="center"/>
          </w:tcPr>
          <w:p w14:paraId="0731A532">
            <w:pPr>
              <w:jc w:val="center"/>
              <w:rPr>
                <w:b w:val="0"/>
                <w:bCs w:val="0"/>
                <w:color w:val="000000"/>
                <w:sz w:val="21"/>
                <w:szCs w:val="21"/>
              </w:rPr>
            </w:pPr>
            <w:r>
              <w:rPr>
                <w:rFonts w:hint="eastAsia"/>
                <w:b w:val="0"/>
                <w:bCs w:val="0"/>
                <w:color w:val="000000"/>
                <w:sz w:val="21"/>
                <w:szCs w:val="21"/>
              </w:rPr>
              <w:t>区县</w:t>
            </w:r>
          </w:p>
        </w:tc>
        <w:tc>
          <w:tcPr>
            <w:tcW w:w="164" w:type="pct"/>
            <w:noWrap w:val="0"/>
            <w:vAlign w:val="center"/>
          </w:tcPr>
          <w:p w14:paraId="707595A0">
            <w:pPr>
              <w:jc w:val="center"/>
              <w:rPr>
                <w:b w:val="0"/>
                <w:bCs w:val="0"/>
                <w:color w:val="000000"/>
                <w:sz w:val="21"/>
                <w:szCs w:val="21"/>
              </w:rPr>
            </w:pPr>
            <w:r>
              <w:rPr>
                <w:rFonts w:hint="eastAsia"/>
                <w:b w:val="0"/>
                <w:bCs w:val="0"/>
                <w:color w:val="000000"/>
                <w:sz w:val="21"/>
                <w:szCs w:val="21"/>
              </w:rPr>
              <w:t>乡镇</w:t>
            </w:r>
          </w:p>
        </w:tc>
        <w:tc>
          <w:tcPr>
            <w:tcW w:w="254" w:type="pct"/>
            <w:vMerge w:val="continue"/>
            <w:noWrap w:val="0"/>
            <w:vAlign w:val="center"/>
          </w:tcPr>
          <w:p w14:paraId="511E9B1B">
            <w:pPr>
              <w:jc w:val="center"/>
              <w:rPr>
                <w:b w:val="0"/>
                <w:bCs w:val="0"/>
                <w:color w:val="000000"/>
                <w:sz w:val="21"/>
                <w:szCs w:val="21"/>
              </w:rPr>
            </w:pPr>
          </w:p>
        </w:tc>
        <w:tc>
          <w:tcPr>
            <w:tcW w:w="1910" w:type="pct"/>
            <w:gridSpan w:val="2"/>
            <w:vMerge w:val="continue"/>
            <w:noWrap w:val="0"/>
            <w:vAlign w:val="center"/>
          </w:tcPr>
          <w:p w14:paraId="4CCB5785">
            <w:pPr>
              <w:jc w:val="center"/>
              <w:rPr>
                <w:b w:val="0"/>
                <w:bCs w:val="0"/>
                <w:color w:val="000000"/>
                <w:sz w:val="21"/>
                <w:szCs w:val="21"/>
              </w:rPr>
            </w:pPr>
          </w:p>
        </w:tc>
        <w:tc>
          <w:tcPr>
            <w:tcW w:w="1112" w:type="pct"/>
            <w:vMerge w:val="continue"/>
            <w:noWrap w:val="0"/>
            <w:vAlign w:val="top"/>
          </w:tcPr>
          <w:p w14:paraId="526BF23D">
            <w:pPr>
              <w:jc w:val="center"/>
              <w:rPr>
                <w:b w:val="0"/>
                <w:bCs w:val="0"/>
                <w:color w:val="000000"/>
                <w:sz w:val="21"/>
                <w:szCs w:val="21"/>
              </w:rPr>
            </w:pPr>
          </w:p>
        </w:tc>
        <w:tc>
          <w:tcPr>
            <w:tcW w:w="237" w:type="pct"/>
            <w:vMerge w:val="continue"/>
            <w:noWrap w:val="0"/>
            <w:vAlign w:val="top"/>
          </w:tcPr>
          <w:p w14:paraId="36470DC0">
            <w:pPr>
              <w:jc w:val="center"/>
              <w:rPr>
                <w:b w:val="0"/>
                <w:bCs w:val="0"/>
                <w:color w:val="000000"/>
                <w:sz w:val="21"/>
                <w:szCs w:val="21"/>
              </w:rPr>
            </w:pPr>
          </w:p>
        </w:tc>
      </w:tr>
      <w:tr w14:paraId="32EC202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650" w:type="pct"/>
            <w:vMerge w:val="restart"/>
            <w:noWrap w:val="0"/>
            <w:vAlign w:val="center"/>
          </w:tcPr>
          <w:p w14:paraId="3CA5DB9D">
            <w:pPr>
              <w:pStyle w:val="45"/>
              <w:jc w:val="center"/>
              <w:rPr>
                <w:rFonts w:ascii="Times New Roman" w:hAnsi="Times New Roman"/>
                <w:b w:val="0"/>
                <w:bCs w:val="0"/>
                <w:sz w:val="21"/>
                <w:szCs w:val="21"/>
              </w:rPr>
            </w:pPr>
            <w:r>
              <w:rPr>
                <w:rFonts w:hint="eastAsia" w:ascii="Times New Roman" w:hAnsi="Times New Roman"/>
                <w:b w:val="0"/>
                <w:bCs w:val="0"/>
                <w:sz w:val="21"/>
                <w:szCs w:val="21"/>
                <w:lang w:val="en-US" w:eastAsia="zh-CN"/>
              </w:rPr>
              <w:t>ZH41132230001</w:t>
            </w:r>
          </w:p>
        </w:tc>
        <w:tc>
          <w:tcPr>
            <w:tcW w:w="247" w:type="pct"/>
            <w:vMerge w:val="restart"/>
            <w:noWrap w:val="0"/>
            <w:vAlign w:val="center"/>
          </w:tcPr>
          <w:p w14:paraId="414A7C28">
            <w:pPr>
              <w:pStyle w:val="45"/>
              <w:jc w:val="center"/>
              <w:rPr>
                <w:rFonts w:ascii="Times New Roman" w:hAnsi="Times New Roman"/>
                <w:b w:val="0"/>
                <w:bCs w:val="0"/>
                <w:sz w:val="21"/>
                <w:szCs w:val="21"/>
              </w:rPr>
            </w:pPr>
            <w:r>
              <w:rPr>
                <w:rFonts w:hint="eastAsia" w:ascii="Times New Roman" w:hAnsi="Times New Roman"/>
                <w:b w:val="0"/>
                <w:bCs w:val="0"/>
                <w:sz w:val="21"/>
                <w:szCs w:val="21"/>
                <w:lang w:val="en-US" w:eastAsia="zh-CN"/>
              </w:rPr>
              <w:t>方城县一般管控单元</w:t>
            </w:r>
          </w:p>
        </w:tc>
        <w:tc>
          <w:tcPr>
            <w:tcW w:w="122" w:type="pct"/>
            <w:vMerge w:val="restart"/>
            <w:noWrap w:val="0"/>
            <w:vAlign w:val="center"/>
          </w:tcPr>
          <w:p w14:paraId="2C878DCA">
            <w:pPr>
              <w:jc w:val="center"/>
              <w:rPr>
                <w:b w:val="0"/>
                <w:bCs w:val="0"/>
                <w:color w:val="000000"/>
                <w:sz w:val="21"/>
                <w:szCs w:val="21"/>
              </w:rPr>
            </w:pPr>
            <w:r>
              <w:rPr>
                <w:rFonts w:hint="eastAsia"/>
                <w:b w:val="0"/>
                <w:bCs w:val="0"/>
                <w:color w:val="000000"/>
                <w:sz w:val="21"/>
                <w:szCs w:val="21"/>
              </w:rPr>
              <w:t>河南省</w:t>
            </w:r>
          </w:p>
        </w:tc>
        <w:tc>
          <w:tcPr>
            <w:tcW w:w="150" w:type="pct"/>
            <w:vMerge w:val="restart"/>
            <w:noWrap w:val="0"/>
            <w:vAlign w:val="center"/>
          </w:tcPr>
          <w:p w14:paraId="1B470150">
            <w:pPr>
              <w:jc w:val="center"/>
              <w:rPr>
                <w:b w:val="0"/>
                <w:bCs w:val="0"/>
                <w:color w:val="000000"/>
                <w:sz w:val="21"/>
                <w:szCs w:val="21"/>
              </w:rPr>
            </w:pPr>
            <w:r>
              <w:rPr>
                <w:rFonts w:hint="eastAsia"/>
                <w:b w:val="0"/>
                <w:bCs w:val="0"/>
                <w:color w:val="000000"/>
                <w:sz w:val="21"/>
                <w:szCs w:val="21"/>
              </w:rPr>
              <w:t>南阳市</w:t>
            </w:r>
          </w:p>
        </w:tc>
        <w:tc>
          <w:tcPr>
            <w:tcW w:w="150" w:type="pct"/>
            <w:vMerge w:val="restart"/>
            <w:noWrap w:val="0"/>
            <w:vAlign w:val="center"/>
          </w:tcPr>
          <w:p w14:paraId="2E14F9A8">
            <w:pPr>
              <w:pStyle w:val="45"/>
              <w:jc w:val="center"/>
              <w:rPr>
                <w:rFonts w:ascii="Times New Roman" w:hAnsi="Times New Roman" w:cs="Times New Roman"/>
                <w:b w:val="0"/>
                <w:bCs w:val="0"/>
                <w:sz w:val="21"/>
                <w:szCs w:val="21"/>
                <w:lang w:eastAsia="zh-CN"/>
              </w:rPr>
            </w:pPr>
            <w:r>
              <w:rPr>
                <w:rFonts w:hint="eastAsia" w:ascii="Times New Roman" w:hAnsi="Times New Roman" w:cs="Times New Roman"/>
                <w:b w:val="0"/>
                <w:bCs w:val="0"/>
                <w:sz w:val="21"/>
                <w:szCs w:val="21"/>
                <w:lang w:val="en-US" w:eastAsia="zh-CN"/>
              </w:rPr>
              <w:t>方城县</w:t>
            </w:r>
          </w:p>
        </w:tc>
        <w:tc>
          <w:tcPr>
            <w:tcW w:w="164" w:type="pct"/>
            <w:vMerge w:val="restart"/>
            <w:noWrap w:val="0"/>
            <w:vAlign w:val="center"/>
          </w:tcPr>
          <w:p w14:paraId="3347EA56">
            <w:pPr>
              <w:jc w:val="center"/>
              <w:rPr>
                <w:b w:val="0"/>
                <w:bCs w:val="0"/>
                <w:color w:val="000000"/>
                <w:sz w:val="21"/>
                <w:szCs w:val="21"/>
              </w:rPr>
            </w:pPr>
            <w:r>
              <w:rPr>
                <w:rFonts w:hint="eastAsia"/>
                <w:b w:val="0"/>
                <w:bCs w:val="0"/>
                <w:color w:val="000000"/>
                <w:sz w:val="21"/>
                <w:szCs w:val="21"/>
              </w:rPr>
              <w:t>/</w:t>
            </w:r>
          </w:p>
        </w:tc>
        <w:tc>
          <w:tcPr>
            <w:tcW w:w="254" w:type="pct"/>
            <w:vMerge w:val="restart"/>
            <w:noWrap w:val="0"/>
            <w:vAlign w:val="center"/>
          </w:tcPr>
          <w:p w14:paraId="79CC59D4">
            <w:pPr>
              <w:jc w:val="center"/>
              <w:rPr>
                <w:b w:val="0"/>
                <w:bCs w:val="0"/>
                <w:color w:val="000000"/>
                <w:sz w:val="21"/>
                <w:szCs w:val="21"/>
              </w:rPr>
            </w:pPr>
            <w:r>
              <w:rPr>
                <w:rFonts w:hint="eastAsia" w:ascii="Times New Roman" w:hAnsi="Times New Roman"/>
                <w:b w:val="0"/>
                <w:bCs w:val="0"/>
                <w:sz w:val="21"/>
                <w:szCs w:val="21"/>
                <w:lang w:val="en-US" w:eastAsia="zh-CN"/>
              </w:rPr>
              <w:t>一般</w:t>
            </w:r>
            <w:r>
              <w:rPr>
                <w:b w:val="0"/>
                <w:bCs w:val="0"/>
                <w:color w:val="000000"/>
                <w:sz w:val="21"/>
                <w:szCs w:val="21"/>
              </w:rPr>
              <w:t>管控单元</w:t>
            </w:r>
          </w:p>
        </w:tc>
        <w:tc>
          <w:tcPr>
            <w:tcW w:w="224" w:type="pct"/>
            <w:noWrap w:val="0"/>
            <w:vAlign w:val="center"/>
          </w:tcPr>
          <w:p w14:paraId="4E8D7D17">
            <w:pPr>
              <w:pStyle w:val="46"/>
              <w:jc w:val="center"/>
              <w:rPr>
                <w:rFonts w:ascii="Times New Roman" w:hAnsi="Times New Roman"/>
                <w:b w:val="0"/>
                <w:bCs w:val="0"/>
                <w:sz w:val="21"/>
                <w:szCs w:val="21"/>
              </w:rPr>
            </w:pPr>
            <w:r>
              <w:rPr>
                <w:rFonts w:ascii="Times New Roman" w:hAnsi="Times New Roman"/>
                <w:b w:val="0"/>
                <w:bCs w:val="0"/>
                <w:sz w:val="21"/>
                <w:szCs w:val="21"/>
              </w:rPr>
              <w:t>空间布局约束</w:t>
            </w:r>
          </w:p>
        </w:tc>
        <w:tc>
          <w:tcPr>
            <w:tcW w:w="1686" w:type="pct"/>
            <w:noWrap w:val="0"/>
            <w:vAlign w:val="center"/>
          </w:tcPr>
          <w:p w14:paraId="64233DBA">
            <w:pPr>
              <w:pStyle w:val="46"/>
              <w:rPr>
                <w:rFonts w:hint="eastAsia" w:ascii="Times New Roman" w:hAnsi="Times New Roman"/>
                <w:b w:val="0"/>
                <w:bCs w:val="0"/>
                <w:color w:val="auto"/>
                <w:spacing w:val="-4"/>
                <w:sz w:val="21"/>
                <w:szCs w:val="21"/>
                <w:lang w:val="en-US" w:eastAsia="zh-CN"/>
              </w:rPr>
            </w:pPr>
            <w:r>
              <w:rPr>
                <w:rFonts w:hint="eastAsia" w:ascii="Times New Roman" w:hAnsi="Times New Roman"/>
                <w:b w:val="0"/>
                <w:bCs w:val="0"/>
                <w:color w:val="auto"/>
                <w:spacing w:val="-4"/>
                <w:sz w:val="21"/>
                <w:szCs w:val="21"/>
                <w:lang w:val="en-US" w:eastAsia="zh-CN"/>
              </w:rPr>
              <w:t xml:space="preserve">1、加强对农业空间转为生态空间的监督管理，未经国务院批准，禁止将永久基本农田转为城镇空间。鼓励城镇空间和符合国家生态退耕条件的农业空间转为生态空间。 </w:t>
            </w:r>
          </w:p>
          <w:p w14:paraId="1FE5903D">
            <w:pPr>
              <w:pStyle w:val="46"/>
              <w:rPr>
                <w:rFonts w:hint="eastAsia" w:ascii="Times New Roman" w:hAnsi="Times New Roman"/>
                <w:b w:val="0"/>
                <w:bCs w:val="0"/>
                <w:color w:val="auto"/>
                <w:spacing w:val="-4"/>
                <w:sz w:val="21"/>
                <w:szCs w:val="21"/>
                <w:lang w:val="en-US" w:eastAsia="zh-CN"/>
              </w:rPr>
            </w:pPr>
            <w:r>
              <w:rPr>
                <w:rFonts w:hint="eastAsia" w:ascii="Times New Roman" w:hAnsi="Times New Roman"/>
                <w:b w:val="0"/>
                <w:bCs w:val="0"/>
                <w:color w:val="auto"/>
                <w:spacing w:val="-4"/>
                <w:sz w:val="21"/>
                <w:szCs w:val="21"/>
                <w:lang w:val="en-US" w:eastAsia="zh-CN"/>
              </w:rPr>
              <w:t xml:space="preserve">2、严格管控涉重污染型企业进入农产品主产区。 </w:t>
            </w:r>
          </w:p>
          <w:p w14:paraId="796838F7">
            <w:pPr>
              <w:pStyle w:val="46"/>
              <w:rPr>
                <w:rFonts w:hint="eastAsia" w:ascii="Times New Roman" w:hAnsi="Times New Roman"/>
                <w:b w:val="0"/>
                <w:bCs w:val="0"/>
                <w:color w:val="auto"/>
                <w:spacing w:val="-4"/>
                <w:sz w:val="21"/>
                <w:szCs w:val="21"/>
                <w:lang w:val="en-US" w:eastAsia="zh-CN"/>
              </w:rPr>
            </w:pPr>
            <w:r>
              <w:rPr>
                <w:rFonts w:hint="eastAsia" w:ascii="Times New Roman" w:hAnsi="Times New Roman"/>
                <w:b w:val="0"/>
                <w:bCs w:val="0"/>
                <w:color w:val="auto"/>
                <w:spacing w:val="-4"/>
                <w:sz w:val="21"/>
                <w:szCs w:val="21"/>
                <w:lang w:val="en-US" w:eastAsia="zh-CN"/>
              </w:rPr>
              <w:t xml:space="preserve">3、新建涉高VOCs排放的石化、化工、包装印刷、工业涂装等重点行业企业要入先进制造业开发区，实行区域内VOCs排放等量或倍量削减替代。 </w:t>
            </w:r>
          </w:p>
          <w:p w14:paraId="230C63BF">
            <w:pPr>
              <w:pStyle w:val="46"/>
              <w:rPr>
                <w:rFonts w:ascii="Times New Roman" w:hAnsi="Times New Roman"/>
                <w:b w:val="0"/>
                <w:bCs w:val="0"/>
                <w:color w:val="auto"/>
                <w:spacing w:val="-4"/>
                <w:sz w:val="21"/>
                <w:szCs w:val="21"/>
              </w:rPr>
            </w:pPr>
            <w:r>
              <w:rPr>
                <w:rFonts w:hint="eastAsia" w:ascii="Times New Roman" w:hAnsi="Times New Roman"/>
                <w:b w:val="0"/>
                <w:bCs w:val="0"/>
                <w:color w:val="auto"/>
                <w:spacing w:val="-4"/>
                <w:sz w:val="21"/>
                <w:szCs w:val="21"/>
                <w:lang w:val="en-US" w:eastAsia="zh-CN"/>
              </w:rPr>
              <w:t>4、新建或扩建城镇污水处理厂必须达到或优于一级 A排放标准。</w:t>
            </w:r>
          </w:p>
        </w:tc>
        <w:tc>
          <w:tcPr>
            <w:tcW w:w="1112" w:type="pct"/>
            <w:noWrap w:val="0"/>
            <w:vAlign w:val="center"/>
          </w:tcPr>
          <w:p w14:paraId="3B9BB405">
            <w:pPr>
              <w:rPr>
                <w:b w:val="0"/>
                <w:bCs w:val="0"/>
                <w:sz w:val="21"/>
                <w:szCs w:val="21"/>
              </w:rPr>
            </w:pPr>
            <w:r>
              <w:rPr>
                <w:b w:val="0"/>
                <w:bCs w:val="0"/>
                <w:sz w:val="21"/>
                <w:szCs w:val="21"/>
              </w:rPr>
              <w:t>1、本项目不涉及；</w:t>
            </w:r>
          </w:p>
          <w:p w14:paraId="213F0F3F">
            <w:pPr>
              <w:rPr>
                <w:b w:val="0"/>
                <w:bCs w:val="0"/>
                <w:sz w:val="21"/>
                <w:szCs w:val="21"/>
              </w:rPr>
            </w:pPr>
            <w:r>
              <w:rPr>
                <w:b w:val="0"/>
                <w:bCs w:val="0"/>
                <w:sz w:val="21"/>
                <w:szCs w:val="21"/>
              </w:rPr>
              <w:t>2、本项目</w:t>
            </w:r>
            <w:r>
              <w:rPr>
                <w:rFonts w:hint="eastAsia"/>
                <w:b w:val="0"/>
                <w:bCs w:val="0"/>
                <w:sz w:val="21"/>
                <w:szCs w:val="21"/>
                <w:lang w:val="en-US" w:eastAsia="zh-CN"/>
              </w:rPr>
              <w:t>不属于涉重污染型企业</w:t>
            </w:r>
            <w:r>
              <w:rPr>
                <w:b w:val="0"/>
                <w:bCs w:val="0"/>
                <w:sz w:val="21"/>
                <w:szCs w:val="21"/>
              </w:rPr>
              <w:t>；</w:t>
            </w:r>
          </w:p>
          <w:p w14:paraId="53D1DC08">
            <w:pPr>
              <w:rPr>
                <w:b w:val="0"/>
                <w:bCs w:val="0"/>
                <w:spacing w:val="-4"/>
                <w:sz w:val="21"/>
                <w:szCs w:val="21"/>
              </w:rPr>
            </w:pPr>
            <w:r>
              <w:rPr>
                <w:b w:val="0"/>
                <w:bCs w:val="0"/>
                <w:sz w:val="21"/>
                <w:szCs w:val="21"/>
              </w:rPr>
              <w:t>3、本项目不属于</w:t>
            </w:r>
            <w:r>
              <w:rPr>
                <w:rFonts w:hint="eastAsia"/>
                <w:b w:val="0"/>
                <w:bCs w:val="0"/>
                <w:sz w:val="21"/>
                <w:szCs w:val="21"/>
                <w:lang w:val="en-US" w:eastAsia="zh-CN"/>
              </w:rPr>
              <w:t>新建涉高VOCs排放的石化、化工、包装印刷、工业涂装等重点行业企业</w:t>
            </w:r>
            <w:r>
              <w:rPr>
                <w:b w:val="0"/>
                <w:bCs w:val="0"/>
                <w:spacing w:val="-4"/>
                <w:sz w:val="21"/>
                <w:szCs w:val="21"/>
              </w:rPr>
              <w:t>；</w:t>
            </w:r>
          </w:p>
          <w:p w14:paraId="3CD7D050">
            <w:pPr>
              <w:rPr>
                <w:rFonts w:hint="default" w:eastAsia="宋体"/>
                <w:b w:val="0"/>
                <w:bCs w:val="0"/>
                <w:spacing w:val="-4"/>
                <w:sz w:val="21"/>
                <w:szCs w:val="21"/>
                <w:lang w:val="en-US" w:eastAsia="zh-CN"/>
              </w:rPr>
            </w:pPr>
            <w:r>
              <w:rPr>
                <w:rFonts w:hint="eastAsia"/>
                <w:b w:val="0"/>
                <w:bCs w:val="0"/>
                <w:spacing w:val="-4"/>
                <w:sz w:val="21"/>
                <w:szCs w:val="21"/>
                <w:lang w:val="en-US" w:eastAsia="zh-CN"/>
              </w:rPr>
              <w:t>4、本项目不涉及。</w:t>
            </w:r>
          </w:p>
        </w:tc>
        <w:tc>
          <w:tcPr>
            <w:tcW w:w="237" w:type="pct"/>
            <w:noWrap w:val="0"/>
            <w:vAlign w:val="center"/>
          </w:tcPr>
          <w:p w14:paraId="368D92AA">
            <w:pPr>
              <w:jc w:val="center"/>
              <w:rPr>
                <w:b w:val="0"/>
                <w:bCs w:val="0"/>
                <w:color w:val="000000"/>
                <w:sz w:val="21"/>
                <w:szCs w:val="21"/>
              </w:rPr>
            </w:pPr>
            <w:r>
              <w:rPr>
                <w:rFonts w:hint="eastAsia"/>
                <w:b w:val="0"/>
                <w:bCs w:val="0"/>
                <w:color w:val="000000"/>
                <w:sz w:val="21"/>
                <w:szCs w:val="21"/>
              </w:rPr>
              <w:t>相符</w:t>
            </w:r>
          </w:p>
        </w:tc>
      </w:tr>
      <w:tr w14:paraId="4BF2612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650" w:type="pct"/>
            <w:vMerge w:val="continue"/>
            <w:noWrap w:val="0"/>
            <w:vAlign w:val="center"/>
          </w:tcPr>
          <w:p w14:paraId="0A8B48E7">
            <w:pPr>
              <w:pStyle w:val="46"/>
              <w:jc w:val="center"/>
              <w:rPr>
                <w:rFonts w:ascii="Times New Roman" w:hAnsi="Times New Roman"/>
                <w:b w:val="0"/>
                <w:bCs w:val="0"/>
                <w:sz w:val="21"/>
                <w:szCs w:val="21"/>
              </w:rPr>
            </w:pPr>
          </w:p>
        </w:tc>
        <w:tc>
          <w:tcPr>
            <w:tcW w:w="247" w:type="pct"/>
            <w:vMerge w:val="continue"/>
            <w:noWrap w:val="0"/>
            <w:vAlign w:val="center"/>
          </w:tcPr>
          <w:p w14:paraId="56B33DC6">
            <w:pPr>
              <w:pStyle w:val="46"/>
              <w:jc w:val="center"/>
              <w:rPr>
                <w:rFonts w:ascii="Times New Roman" w:hAnsi="Times New Roman"/>
                <w:b w:val="0"/>
                <w:bCs w:val="0"/>
                <w:sz w:val="21"/>
                <w:szCs w:val="21"/>
              </w:rPr>
            </w:pPr>
          </w:p>
        </w:tc>
        <w:tc>
          <w:tcPr>
            <w:tcW w:w="122" w:type="pct"/>
            <w:vMerge w:val="continue"/>
            <w:noWrap w:val="0"/>
            <w:vAlign w:val="center"/>
          </w:tcPr>
          <w:p w14:paraId="17B715B9">
            <w:pPr>
              <w:jc w:val="center"/>
              <w:rPr>
                <w:b w:val="0"/>
                <w:bCs w:val="0"/>
                <w:color w:val="000000"/>
                <w:sz w:val="21"/>
                <w:szCs w:val="21"/>
              </w:rPr>
            </w:pPr>
          </w:p>
        </w:tc>
        <w:tc>
          <w:tcPr>
            <w:tcW w:w="150" w:type="pct"/>
            <w:vMerge w:val="continue"/>
            <w:noWrap w:val="0"/>
            <w:vAlign w:val="center"/>
          </w:tcPr>
          <w:p w14:paraId="5CF23CC3">
            <w:pPr>
              <w:jc w:val="center"/>
              <w:rPr>
                <w:b w:val="0"/>
                <w:bCs w:val="0"/>
                <w:color w:val="000000"/>
                <w:sz w:val="21"/>
                <w:szCs w:val="21"/>
              </w:rPr>
            </w:pPr>
          </w:p>
        </w:tc>
        <w:tc>
          <w:tcPr>
            <w:tcW w:w="150" w:type="pct"/>
            <w:vMerge w:val="continue"/>
            <w:noWrap w:val="0"/>
            <w:vAlign w:val="center"/>
          </w:tcPr>
          <w:p w14:paraId="3C7FF719">
            <w:pPr>
              <w:jc w:val="center"/>
              <w:rPr>
                <w:b w:val="0"/>
                <w:bCs w:val="0"/>
                <w:color w:val="000000"/>
                <w:sz w:val="21"/>
                <w:szCs w:val="21"/>
              </w:rPr>
            </w:pPr>
          </w:p>
        </w:tc>
        <w:tc>
          <w:tcPr>
            <w:tcW w:w="164" w:type="pct"/>
            <w:vMerge w:val="continue"/>
            <w:noWrap w:val="0"/>
            <w:vAlign w:val="center"/>
          </w:tcPr>
          <w:p w14:paraId="311C8C12">
            <w:pPr>
              <w:jc w:val="center"/>
              <w:rPr>
                <w:b w:val="0"/>
                <w:bCs w:val="0"/>
                <w:color w:val="000000"/>
                <w:sz w:val="21"/>
                <w:szCs w:val="21"/>
              </w:rPr>
            </w:pPr>
          </w:p>
        </w:tc>
        <w:tc>
          <w:tcPr>
            <w:tcW w:w="254" w:type="pct"/>
            <w:vMerge w:val="continue"/>
            <w:noWrap w:val="0"/>
            <w:vAlign w:val="center"/>
          </w:tcPr>
          <w:p w14:paraId="48B2C957">
            <w:pPr>
              <w:jc w:val="center"/>
              <w:rPr>
                <w:b w:val="0"/>
                <w:bCs w:val="0"/>
                <w:color w:val="000000"/>
                <w:sz w:val="21"/>
                <w:szCs w:val="21"/>
              </w:rPr>
            </w:pPr>
          </w:p>
        </w:tc>
        <w:tc>
          <w:tcPr>
            <w:tcW w:w="224" w:type="pct"/>
            <w:noWrap w:val="0"/>
            <w:vAlign w:val="center"/>
          </w:tcPr>
          <w:p w14:paraId="2F46D6D9">
            <w:pPr>
              <w:pStyle w:val="46"/>
              <w:jc w:val="center"/>
              <w:rPr>
                <w:rFonts w:ascii="Times New Roman" w:hAnsi="Times New Roman"/>
                <w:b w:val="0"/>
                <w:bCs w:val="0"/>
                <w:sz w:val="21"/>
                <w:szCs w:val="21"/>
              </w:rPr>
            </w:pPr>
            <w:r>
              <w:rPr>
                <w:rFonts w:ascii="Times New Roman" w:hAnsi="Times New Roman"/>
                <w:b w:val="0"/>
                <w:bCs w:val="0"/>
                <w:sz w:val="21"/>
                <w:szCs w:val="21"/>
              </w:rPr>
              <w:t>污染物排放管控</w:t>
            </w:r>
          </w:p>
        </w:tc>
        <w:tc>
          <w:tcPr>
            <w:tcW w:w="1686" w:type="pct"/>
            <w:noWrap w:val="0"/>
            <w:vAlign w:val="center"/>
          </w:tcPr>
          <w:p w14:paraId="3E472D3B">
            <w:pPr>
              <w:pStyle w:val="46"/>
              <w:rPr>
                <w:rFonts w:ascii="Times New Roman" w:hAnsi="Times New Roman"/>
                <w:b w:val="0"/>
                <w:bCs w:val="0"/>
                <w:color w:val="auto"/>
                <w:spacing w:val="-4"/>
                <w:sz w:val="21"/>
                <w:szCs w:val="21"/>
              </w:rPr>
            </w:pPr>
            <w:r>
              <w:rPr>
                <w:rFonts w:hint="eastAsia" w:ascii="Times New Roman" w:hAnsi="Times New Roman"/>
                <w:b w:val="0"/>
                <w:bCs w:val="0"/>
                <w:color w:val="auto"/>
                <w:spacing w:val="-4"/>
                <w:sz w:val="21"/>
                <w:szCs w:val="21"/>
                <w:lang w:val="en-US" w:eastAsia="zh-CN"/>
              </w:rPr>
              <w:t>禁止使用不符合国家标准和本省使用要求的机动车船、非道路移动机械用燃料。</w:t>
            </w:r>
          </w:p>
        </w:tc>
        <w:tc>
          <w:tcPr>
            <w:tcW w:w="1112" w:type="pct"/>
            <w:noWrap w:val="0"/>
            <w:vAlign w:val="center"/>
          </w:tcPr>
          <w:p w14:paraId="7B9760B8">
            <w:pPr>
              <w:rPr>
                <w:b w:val="0"/>
                <w:bCs w:val="0"/>
                <w:spacing w:val="-4"/>
                <w:sz w:val="21"/>
                <w:szCs w:val="21"/>
              </w:rPr>
            </w:pPr>
            <w:r>
              <w:rPr>
                <w:rFonts w:hint="eastAsia"/>
                <w:b w:val="0"/>
                <w:bCs w:val="0"/>
                <w:spacing w:val="-4"/>
                <w:sz w:val="21"/>
                <w:szCs w:val="21"/>
                <w:lang w:val="en-US" w:eastAsia="zh-CN"/>
              </w:rPr>
              <w:t>本项目物料、产品运输使用国五及以上排放标准的重型载货车辆（重型燃气车辆达到国六排放标准）或新能源车辆。</w:t>
            </w:r>
          </w:p>
        </w:tc>
        <w:tc>
          <w:tcPr>
            <w:tcW w:w="237" w:type="pct"/>
            <w:noWrap w:val="0"/>
            <w:vAlign w:val="center"/>
          </w:tcPr>
          <w:p w14:paraId="773CE4AA">
            <w:pPr>
              <w:jc w:val="center"/>
              <w:rPr>
                <w:rFonts w:hint="eastAsia" w:eastAsia="宋体"/>
                <w:b w:val="0"/>
                <w:bCs w:val="0"/>
                <w:color w:val="000000"/>
                <w:sz w:val="21"/>
                <w:szCs w:val="21"/>
                <w:lang w:eastAsia="zh-CN"/>
              </w:rPr>
            </w:pPr>
            <w:r>
              <w:rPr>
                <w:rFonts w:hint="eastAsia"/>
                <w:b w:val="0"/>
                <w:bCs w:val="0"/>
                <w:color w:val="000000"/>
                <w:sz w:val="21"/>
                <w:szCs w:val="21"/>
              </w:rPr>
              <w:t>相符</w:t>
            </w:r>
          </w:p>
        </w:tc>
      </w:tr>
      <w:tr w14:paraId="252D4A4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650" w:type="pct"/>
            <w:vMerge w:val="continue"/>
            <w:noWrap w:val="0"/>
            <w:vAlign w:val="center"/>
          </w:tcPr>
          <w:p w14:paraId="61086C8E">
            <w:pPr>
              <w:pStyle w:val="46"/>
              <w:jc w:val="center"/>
              <w:rPr>
                <w:rFonts w:ascii="Times New Roman" w:hAnsi="Times New Roman"/>
                <w:b w:val="0"/>
                <w:bCs w:val="0"/>
                <w:sz w:val="21"/>
                <w:szCs w:val="21"/>
              </w:rPr>
            </w:pPr>
          </w:p>
        </w:tc>
        <w:tc>
          <w:tcPr>
            <w:tcW w:w="247" w:type="pct"/>
            <w:vMerge w:val="continue"/>
            <w:noWrap w:val="0"/>
            <w:vAlign w:val="center"/>
          </w:tcPr>
          <w:p w14:paraId="068E9F26">
            <w:pPr>
              <w:pStyle w:val="46"/>
              <w:jc w:val="center"/>
              <w:rPr>
                <w:rFonts w:ascii="Times New Roman" w:hAnsi="Times New Roman"/>
                <w:b w:val="0"/>
                <w:bCs w:val="0"/>
                <w:sz w:val="21"/>
                <w:szCs w:val="21"/>
              </w:rPr>
            </w:pPr>
          </w:p>
        </w:tc>
        <w:tc>
          <w:tcPr>
            <w:tcW w:w="122" w:type="pct"/>
            <w:vMerge w:val="continue"/>
            <w:noWrap w:val="0"/>
            <w:vAlign w:val="center"/>
          </w:tcPr>
          <w:p w14:paraId="12F3AFCD">
            <w:pPr>
              <w:jc w:val="center"/>
              <w:rPr>
                <w:b w:val="0"/>
                <w:bCs w:val="0"/>
                <w:color w:val="000000"/>
                <w:sz w:val="21"/>
                <w:szCs w:val="21"/>
              </w:rPr>
            </w:pPr>
          </w:p>
        </w:tc>
        <w:tc>
          <w:tcPr>
            <w:tcW w:w="150" w:type="pct"/>
            <w:vMerge w:val="continue"/>
            <w:noWrap w:val="0"/>
            <w:vAlign w:val="center"/>
          </w:tcPr>
          <w:p w14:paraId="7406259E">
            <w:pPr>
              <w:jc w:val="center"/>
              <w:rPr>
                <w:b w:val="0"/>
                <w:bCs w:val="0"/>
                <w:color w:val="000000"/>
                <w:sz w:val="21"/>
                <w:szCs w:val="21"/>
              </w:rPr>
            </w:pPr>
          </w:p>
        </w:tc>
        <w:tc>
          <w:tcPr>
            <w:tcW w:w="150" w:type="pct"/>
            <w:vMerge w:val="continue"/>
            <w:noWrap w:val="0"/>
            <w:vAlign w:val="center"/>
          </w:tcPr>
          <w:p w14:paraId="30EBDA12">
            <w:pPr>
              <w:jc w:val="center"/>
              <w:rPr>
                <w:b w:val="0"/>
                <w:bCs w:val="0"/>
                <w:color w:val="000000"/>
                <w:sz w:val="21"/>
                <w:szCs w:val="21"/>
              </w:rPr>
            </w:pPr>
          </w:p>
        </w:tc>
        <w:tc>
          <w:tcPr>
            <w:tcW w:w="164" w:type="pct"/>
            <w:vMerge w:val="continue"/>
            <w:noWrap w:val="0"/>
            <w:vAlign w:val="center"/>
          </w:tcPr>
          <w:p w14:paraId="42E743A0">
            <w:pPr>
              <w:jc w:val="center"/>
              <w:rPr>
                <w:b w:val="0"/>
                <w:bCs w:val="0"/>
                <w:color w:val="000000"/>
                <w:sz w:val="21"/>
                <w:szCs w:val="21"/>
              </w:rPr>
            </w:pPr>
          </w:p>
        </w:tc>
        <w:tc>
          <w:tcPr>
            <w:tcW w:w="254" w:type="pct"/>
            <w:vMerge w:val="continue"/>
            <w:noWrap w:val="0"/>
            <w:vAlign w:val="center"/>
          </w:tcPr>
          <w:p w14:paraId="4186DC38">
            <w:pPr>
              <w:jc w:val="center"/>
              <w:rPr>
                <w:b w:val="0"/>
                <w:bCs w:val="0"/>
                <w:color w:val="000000"/>
                <w:sz w:val="21"/>
                <w:szCs w:val="21"/>
              </w:rPr>
            </w:pPr>
          </w:p>
        </w:tc>
        <w:tc>
          <w:tcPr>
            <w:tcW w:w="224" w:type="pct"/>
            <w:noWrap w:val="0"/>
            <w:vAlign w:val="center"/>
          </w:tcPr>
          <w:p w14:paraId="39BAEBFF">
            <w:pPr>
              <w:pStyle w:val="46"/>
              <w:jc w:val="center"/>
              <w:rPr>
                <w:rFonts w:ascii="Times New Roman" w:hAnsi="Times New Roman"/>
                <w:b w:val="0"/>
                <w:bCs w:val="0"/>
                <w:sz w:val="21"/>
                <w:szCs w:val="21"/>
              </w:rPr>
            </w:pPr>
            <w:r>
              <w:rPr>
                <w:rFonts w:hint="eastAsia" w:ascii="Times New Roman" w:hAnsi="Times New Roman"/>
                <w:b w:val="0"/>
                <w:bCs w:val="0"/>
                <w:sz w:val="21"/>
                <w:szCs w:val="21"/>
              </w:rPr>
              <w:t>环境风险防控</w:t>
            </w:r>
          </w:p>
        </w:tc>
        <w:tc>
          <w:tcPr>
            <w:tcW w:w="1686" w:type="pct"/>
            <w:noWrap w:val="0"/>
            <w:vAlign w:val="center"/>
          </w:tcPr>
          <w:p w14:paraId="5EDE2AC5">
            <w:pPr>
              <w:pStyle w:val="45"/>
              <w:jc w:val="both"/>
              <w:rPr>
                <w:rFonts w:ascii="Times New Roman" w:hAnsi="Times New Roman" w:cs="Times New Roman"/>
                <w:b w:val="0"/>
                <w:bCs w:val="0"/>
                <w:spacing w:val="-4"/>
                <w:sz w:val="21"/>
                <w:szCs w:val="21"/>
                <w:lang w:eastAsia="zh-CN"/>
              </w:rPr>
            </w:pPr>
            <w:r>
              <w:rPr>
                <w:rFonts w:hint="eastAsia" w:ascii="Times New Roman" w:hAnsi="Times New Roman" w:cs="Times New Roman"/>
                <w:b w:val="0"/>
                <w:bCs w:val="0"/>
                <w:spacing w:val="-4"/>
                <w:sz w:val="21"/>
                <w:szCs w:val="21"/>
                <w:lang w:val="en-US" w:eastAsia="zh-CN"/>
              </w:rPr>
              <w:t>以跨界河流水体为重点，加强涉水污染源治理和监管，建立上下游水污染防治联动协作机制，严格防范跨界水环境污染风险。</w:t>
            </w:r>
          </w:p>
        </w:tc>
        <w:tc>
          <w:tcPr>
            <w:tcW w:w="1112" w:type="pct"/>
            <w:noWrap w:val="0"/>
            <w:vAlign w:val="center"/>
          </w:tcPr>
          <w:p w14:paraId="5A6B5CD1">
            <w:pPr>
              <w:snapToGrid w:val="0"/>
              <w:jc w:val="both"/>
              <w:rPr>
                <w:b w:val="0"/>
                <w:bCs w:val="0"/>
                <w:sz w:val="21"/>
                <w:szCs w:val="21"/>
              </w:rPr>
            </w:pPr>
            <w:r>
              <w:rPr>
                <w:rFonts w:hint="eastAsia"/>
                <w:b w:val="0"/>
                <w:bCs w:val="0"/>
                <w:sz w:val="21"/>
                <w:szCs w:val="21"/>
                <w:highlight w:val="none"/>
                <w:lang w:val="en-US" w:eastAsia="zh-CN"/>
              </w:rPr>
              <w:t>本项目废水主要是生活污水，生活污水经化粪池处理后用于周围农田施肥，不外排地表水。</w:t>
            </w:r>
          </w:p>
        </w:tc>
        <w:tc>
          <w:tcPr>
            <w:tcW w:w="237" w:type="pct"/>
            <w:noWrap w:val="0"/>
            <w:vAlign w:val="center"/>
          </w:tcPr>
          <w:p w14:paraId="61D5E550">
            <w:pPr>
              <w:snapToGrid w:val="0"/>
              <w:jc w:val="center"/>
              <w:rPr>
                <w:b w:val="0"/>
                <w:bCs w:val="0"/>
                <w:color w:val="000000"/>
                <w:sz w:val="21"/>
                <w:szCs w:val="21"/>
              </w:rPr>
            </w:pPr>
            <w:r>
              <w:rPr>
                <w:rFonts w:hint="eastAsia"/>
                <w:b w:val="0"/>
                <w:bCs w:val="0"/>
                <w:color w:val="000000"/>
                <w:sz w:val="21"/>
                <w:szCs w:val="21"/>
              </w:rPr>
              <w:t>相符</w:t>
            </w:r>
          </w:p>
        </w:tc>
      </w:tr>
      <w:tr w14:paraId="3CC6051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650" w:type="pct"/>
            <w:vMerge w:val="continue"/>
            <w:noWrap w:val="0"/>
            <w:vAlign w:val="top"/>
          </w:tcPr>
          <w:p w14:paraId="3ABE0A86">
            <w:pPr>
              <w:jc w:val="center"/>
              <w:rPr>
                <w:b w:val="0"/>
                <w:bCs w:val="0"/>
                <w:color w:val="000000"/>
                <w:sz w:val="21"/>
                <w:szCs w:val="21"/>
              </w:rPr>
            </w:pPr>
          </w:p>
        </w:tc>
        <w:tc>
          <w:tcPr>
            <w:tcW w:w="247" w:type="pct"/>
            <w:vMerge w:val="continue"/>
            <w:noWrap w:val="0"/>
            <w:vAlign w:val="top"/>
          </w:tcPr>
          <w:p w14:paraId="628B9F98">
            <w:pPr>
              <w:jc w:val="center"/>
              <w:rPr>
                <w:b w:val="0"/>
                <w:bCs w:val="0"/>
                <w:color w:val="000000"/>
                <w:sz w:val="21"/>
                <w:szCs w:val="21"/>
              </w:rPr>
            </w:pPr>
          </w:p>
        </w:tc>
        <w:tc>
          <w:tcPr>
            <w:tcW w:w="122" w:type="pct"/>
            <w:vMerge w:val="continue"/>
            <w:noWrap w:val="0"/>
            <w:vAlign w:val="top"/>
          </w:tcPr>
          <w:p w14:paraId="710EE196">
            <w:pPr>
              <w:jc w:val="center"/>
              <w:rPr>
                <w:b w:val="0"/>
                <w:bCs w:val="0"/>
                <w:color w:val="000000"/>
                <w:sz w:val="21"/>
                <w:szCs w:val="21"/>
              </w:rPr>
            </w:pPr>
          </w:p>
        </w:tc>
        <w:tc>
          <w:tcPr>
            <w:tcW w:w="150" w:type="pct"/>
            <w:vMerge w:val="continue"/>
            <w:noWrap w:val="0"/>
            <w:vAlign w:val="top"/>
          </w:tcPr>
          <w:p w14:paraId="3F659767">
            <w:pPr>
              <w:jc w:val="center"/>
              <w:rPr>
                <w:b w:val="0"/>
                <w:bCs w:val="0"/>
                <w:color w:val="000000"/>
                <w:sz w:val="21"/>
                <w:szCs w:val="21"/>
              </w:rPr>
            </w:pPr>
          </w:p>
        </w:tc>
        <w:tc>
          <w:tcPr>
            <w:tcW w:w="150" w:type="pct"/>
            <w:vMerge w:val="continue"/>
            <w:noWrap w:val="0"/>
            <w:vAlign w:val="top"/>
          </w:tcPr>
          <w:p w14:paraId="1CE900E5">
            <w:pPr>
              <w:jc w:val="center"/>
              <w:rPr>
                <w:b w:val="0"/>
                <w:bCs w:val="0"/>
                <w:color w:val="000000"/>
                <w:sz w:val="21"/>
                <w:szCs w:val="21"/>
              </w:rPr>
            </w:pPr>
          </w:p>
        </w:tc>
        <w:tc>
          <w:tcPr>
            <w:tcW w:w="164" w:type="pct"/>
            <w:vMerge w:val="continue"/>
            <w:noWrap w:val="0"/>
            <w:vAlign w:val="top"/>
          </w:tcPr>
          <w:p w14:paraId="08EC009A">
            <w:pPr>
              <w:jc w:val="center"/>
              <w:rPr>
                <w:b w:val="0"/>
                <w:bCs w:val="0"/>
                <w:color w:val="000000"/>
                <w:sz w:val="21"/>
                <w:szCs w:val="21"/>
              </w:rPr>
            </w:pPr>
          </w:p>
        </w:tc>
        <w:tc>
          <w:tcPr>
            <w:tcW w:w="254" w:type="pct"/>
            <w:vMerge w:val="continue"/>
            <w:noWrap w:val="0"/>
            <w:vAlign w:val="top"/>
          </w:tcPr>
          <w:p w14:paraId="28D7AE67">
            <w:pPr>
              <w:jc w:val="center"/>
              <w:rPr>
                <w:b w:val="0"/>
                <w:bCs w:val="0"/>
                <w:color w:val="000000"/>
                <w:sz w:val="21"/>
                <w:szCs w:val="21"/>
              </w:rPr>
            </w:pPr>
          </w:p>
        </w:tc>
        <w:tc>
          <w:tcPr>
            <w:tcW w:w="224" w:type="pct"/>
            <w:tcBorders>
              <w:bottom w:val="single" w:color="auto" w:sz="4" w:space="0"/>
            </w:tcBorders>
            <w:noWrap w:val="0"/>
            <w:vAlign w:val="center"/>
          </w:tcPr>
          <w:p w14:paraId="260113E8">
            <w:pPr>
              <w:pStyle w:val="46"/>
              <w:jc w:val="center"/>
              <w:rPr>
                <w:rFonts w:ascii="Times New Roman" w:hAnsi="Times New Roman"/>
                <w:b w:val="0"/>
                <w:bCs w:val="0"/>
                <w:sz w:val="21"/>
                <w:szCs w:val="21"/>
              </w:rPr>
            </w:pPr>
            <w:r>
              <w:rPr>
                <w:rFonts w:hint="eastAsia" w:ascii="Times New Roman" w:hAnsi="Times New Roman"/>
                <w:b w:val="0"/>
                <w:bCs w:val="0"/>
                <w:sz w:val="21"/>
                <w:szCs w:val="21"/>
              </w:rPr>
              <w:t>资源开发效率要求</w:t>
            </w:r>
          </w:p>
        </w:tc>
        <w:tc>
          <w:tcPr>
            <w:tcW w:w="1686" w:type="pct"/>
            <w:tcBorders>
              <w:bottom w:val="single" w:color="auto" w:sz="4" w:space="0"/>
            </w:tcBorders>
            <w:noWrap w:val="0"/>
            <w:vAlign w:val="center"/>
          </w:tcPr>
          <w:p w14:paraId="6D79B854">
            <w:pPr>
              <w:pStyle w:val="45"/>
              <w:jc w:val="both"/>
              <w:rPr>
                <w:rFonts w:ascii="Times New Roman" w:hAnsi="Times New Roman" w:cs="Times New Roman"/>
                <w:b w:val="0"/>
                <w:bCs w:val="0"/>
                <w:spacing w:val="-4"/>
                <w:sz w:val="21"/>
                <w:szCs w:val="21"/>
                <w:lang w:eastAsia="zh-CN"/>
              </w:rPr>
            </w:pPr>
            <w:r>
              <w:rPr>
                <w:rFonts w:hint="eastAsia" w:ascii="Times New Roman" w:hAnsi="Times New Roman" w:cs="Times New Roman"/>
                <w:b w:val="0"/>
                <w:bCs w:val="0"/>
                <w:spacing w:val="-4"/>
                <w:sz w:val="21"/>
                <w:szCs w:val="21"/>
                <w:lang w:val="en-US" w:eastAsia="zh-CN"/>
              </w:rPr>
              <w:t>区内企业应不断提高资源能源利用效率，新改扩建建设项目的清洁生产水平应达到国内先进水平。</w:t>
            </w:r>
          </w:p>
        </w:tc>
        <w:tc>
          <w:tcPr>
            <w:tcW w:w="1112" w:type="pct"/>
            <w:tcBorders>
              <w:bottom w:val="single" w:color="auto" w:sz="4" w:space="0"/>
            </w:tcBorders>
            <w:noWrap w:val="0"/>
            <w:vAlign w:val="center"/>
          </w:tcPr>
          <w:p w14:paraId="77894D4C">
            <w:pPr>
              <w:snapToGrid w:val="0"/>
              <w:jc w:val="both"/>
              <w:rPr>
                <w:b w:val="0"/>
                <w:bCs w:val="0"/>
                <w:sz w:val="21"/>
                <w:szCs w:val="21"/>
              </w:rPr>
            </w:pPr>
            <w:r>
              <w:rPr>
                <w:rFonts w:hint="eastAsia"/>
                <w:b w:val="0"/>
                <w:bCs w:val="0"/>
                <w:sz w:val="21"/>
                <w:szCs w:val="21"/>
                <w:lang w:val="en-US" w:eastAsia="zh-CN"/>
              </w:rPr>
              <w:t>要求企业提高资源能源利用效率，保证清洁生产水平达到国内先进水平。</w:t>
            </w:r>
          </w:p>
        </w:tc>
        <w:tc>
          <w:tcPr>
            <w:tcW w:w="237" w:type="pct"/>
            <w:tcBorders>
              <w:bottom w:val="single" w:color="auto" w:sz="4" w:space="0"/>
            </w:tcBorders>
            <w:noWrap w:val="0"/>
            <w:vAlign w:val="center"/>
          </w:tcPr>
          <w:p w14:paraId="06E7CA11">
            <w:pPr>
              <w:snapToGrid w:val="0"/>
              <w:jc w:val="center"/>
              <w:rPr>
                <w:b w:val="0"/>
                <w:bCs w:val="0"/>
                <w:color w:val="000000"/>
                <w:sz w:val="21"/>
                <w:szCs w:val="21"/>
              </w:rPr>
            </w:pPr>
            <w:r>
              <w:rPr>
                <w:rFonts w:hint="eastAsia"/>
                <w:b w:val="0"/>
                <w:bCs w:val="0"/>
                <w:color w:val="000000"/>
                <w:sz w:val="21"/>
                <w:szCs w:val="21"/>
              </w:rPr>
              <w:t>相符</w:t>
            </w:r>
          </w:p>
        </w:tc>
      </w:tr>
      <w:tr w14:paraId="604824D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650" w:type="pct"/>
            <w:vMerge w:val="restart"/>
            <w:noWrap w:val="0"/>
            <w:vAlign w:val="center"/>
          </w:tcPr>
          <w:p w14:paraId="2DB5C1BF">
            <w:pPr>
              <w:pStyle w:val="45"/>
              <w:jc w:val="center"/>
              <w:rPr>
                <w:rFonts w:ascii="Times New Roman" w:hAnsi="Times New Roman" w:cs="Times New Roman"/>
                <w:b w:val="0"/>
                <w:bCs w:val="0"/>
                <w:sz w:val="21"/>
                <w:szCs w:val="21"/>
              </w:rPr>
            </w:pPr>
            <w:r>
              <w:rPr>
                <w:rFonts w:hint="eastAsia" w:ascii="Times New Roman" w:hAnsi="Times New Roman" w:cs="Times New Roman"/>
                <w:b w:val="0"/>
                <w:bCs w:val="0"/>
                <w:sz w:val="21"/>
                <w:szCs w:val="21"/>
                <w:lang w:val="en-US" w:eastAsia="zh-CN"/>
              </w:rPr>
              <w:t>YS4113223210047</w:t>
            </w:r>
          </w:p>
          <w:p w14:paraId="5B34B7C9">
            <w:pPr>
              <w:pStyle w:val="45"/>
              <w:jc w:val="center"/>
              <w:rPr>
                <w:rFonts w:ascii="Times New Roman" w:hAnsi="Times New Roman" w:cs="Times New Roman"/>
                <w:b w:val="0"/>
                <w:bCs w:val="0"/>
                <w:sz w:val="21"/>
                <w:szCs w:val="21"/>
              </w:rPr>
            </w:pPr>
          </w:p>
        </w:tc>
        <w:tc>
          <w:tcPr>
            <w:tcW w:w="247" w:type="pct"/>
            <w:vMerge w:val="restart"/>
            <w:noWrap w:val="0"/>
            <w:vAlign w:val="center"/>
          </w:tcPr>
          <w:p w14:paraId="49BA5DAF">
            <w:pPr>
              <w:pStyle w:val="45"/>
              <w:jc w:val="center"/>
              <w:rPr>
                <w:rFonts w:ascii="Times New Roman" w:hAnsi="Times New Roman" w:cs="Times New Roman"/>
                <w:b w:val="0"/>
                <w:bCs w:val="0"/>
                <w:spacing w:val="-1"/>
                <w:sz w:val="21"/>
                <w:szCs w:val="21"/>
                <w:lang w:eastAsia="zh-CN"/>
              </w:rPr>
            </w:pPr>
            <w:r>
              <w:rPr>
                <w:rFonts w:hint="eastAsia" w:ascii="Times New Roman" w:hAnsi="Times New Roman" w:cs="Times New Roman"/>
                <w:b w:val="0"/>
                <w:bCs w:val="0"/>
                <w:spacing w:val="-1"/>
                <w:sz w:val="21"/>
                <w:szCs w:val="21"/>
                <w:lang w:val="en-US" w:eastAsia="zh-CN"/>
              </w:rPr>
              <w:t>澧河平顶山叶舞公路桥控制单元</w:t>
            </w:r>
          </w:p>
        </w:tc>
        <w:tc>
          <w:tcPr>
            <w:tcW w:w="122" w:type="pct"/>
            <w:vMerge w:val="restart"/>
            <w:noWrap w:val="0"/>
            <w:vAlign w:val="center"/>
          </w:tcPr>
          <w:p w14:paraId="4BBB2683">
            <w:pPr>
              <w:jc w:val="center"/>
              <w:rPr>
                <w:b w:val="0"/>
                <w:bCs w:val="0"/>
                <w:color w:val="000000"/>
                <w:sz w:val="21"/>
                <w:szCs w:val="21"/>
              </w:rPr>
            </w:pPr>
            <w:r>
              <w:rPr>
                <w:rFonts w:hint="eastAsia"/>
                <w:b w:val="0"/>
                <w:bCs w:val="0"/>
                <w:color w:val="000000"/>
                <w:sz w:val="21"/>
                <w:szCs w:val="21"/>
              </w:rPr>
              <w:t>河南省</w:t>
            </w:r>
          </w:p>
        </w:tc>
        <w:tc>
          <w:tcPr>
            <w:tcW w:w="150" w:type="pct"/>
            <w:vMerge w:val="restart"/>
            <w:noWrap w:val="0"/>
            <w:vAlign w:val="center"/>
          </w:tcPr>
          <w:p w14:paraId="31378AA2">
            <w:pPr>
              <w:jc w:val="center"/>
              <w:rPr>
                <w:b w:val="0"/>
                <w:bCs w:val="0"/>
                <w:color w:val="000000"/>
                <w:sz w:val="21"/>
                <w:szCs w:val="21"/>
              </w:rPr>
            </w:pPr>
            <w:r>
              <w:rPr>
                <w:rFonts w:hint="eastAsia"/>
                <w:b w:val="0"/>
                <w:bCs w:val="0"/>
                <w:color w:val="000000"/>
                <w:sz w:val="21"/>
                <w:szCs w:val="21"/>
              </w:rPr>
              <w:t>南阳市</w:t>
            </w:r>
          </w:p>
        </w:tc>
        <w:tc>
          <w:tcPr>
            <w:tcW w:w="150" w:type="pct"/>
            <w:vMerge w:val="restart"/>
            <w:noWrap w:val="0"/>
            <w:vAlign w:val="center"/>
          </w:tcPr>
          <w:p w14:paraId="6C243ED0">
            <w:pPr>
              <w:pStyle w:val="45"/>
              <w:jc w:val="center"/>
              <w:rPr>
                <w:b w:val="0"/>
                <w:bCs w:val="0"/>
                <w:color w:val="000000"/>
                <w:sz w:val="21"/>
                <w:szCs w:val="21"/>
              </w:rPr>
            </w:pPr>
            <w:r>
              <w:rPr>
                <w:rFonts w:hint="eastAsia" w:ascii="Times New Roman" w:hAnsi="Times New Roman" w:cs="Times New Roman"/>
                <w:b w:val="0"/>
                <w:bCs w:val="0"/>
                <w:sz w:val="21"/>
                <w:szCs w:val="21"/>
                <w:lang w:val="en-US" w:eastAsia="zh-CN"/>
              </w:rPr>
              <w:t>方城县</w:t>
            </w:r>
          </w:p>
        </w:tc>
        <w:tc>
          <w:tcPr>
            <w:tcW w:w="164" w:type="pct"/>
            <w:vMerge w:val="restart"/>
            <w:noWrap w:val="0"/>
            <w:vAlign w:val="center"/>
          </w:tcPr>
          <w:p w14:paraId="4F033FE8">
            <w:pPr>
              <w:jc w:val="center"/>
              <w:rPr>
                <w:b w:val="0"/>
                <w:bCs w:val="0"/>
                <w:color w:val="000000"/>
                <w:sz w:val="21"/>
                <w:szCs w:val="21"/>
              </w:rPr>
            </w:pPr>
            <w:r>
              <w:rPr>
                <w:rFonts w:hint="eastAsia"/>
                <w:b w:val="0"/>
                <w:bCs w:val="0"/>
                <w:color w:val="000000"/>
                <w:sz w:val="21"/>
                <w:szCs w:val="21"/>
              </w:rPr>
              <w:t>/</w:t>
            </w:r>
          </w:p>
        </w:tc>
        <w:tc>
          <w:tcPr>
            <w:tcW w:w="254" w:type="pct"/>
            <w:vMerge w:val="restart"/>
            <w:noWrap w:val="0"/>
            <w:vAlign w:val="center"/>
          </w:tcPr>
          <w:p w14:paraId="2A34451B">
            <w:pPr>
              <w:jc w:val="center"/>
              <w:rPr>
                <w:b w:val="0"/>
                <w:bCs w:val="0"/>
                <w:color w:val="000000"/>
                <w:sz w:val="21"/>
                <w:szCs w:val="21"/>
              </w:rPr>
            </w:pPr>
            <w:r>
              <w:rPr>
                <w:rFonts w:hint="eastAsia" w:ascii="Times New Roman" w:hAnsi="Times New Roman"/>
                <w:b w:val="0"/>
                <w:bCs w:val="0"/>
                <w:sz w:val="21"/>
                <w:szCs w:val="21"/>
                <w:lang w:val="en-US" w:eastAsia="zh-CN"/>
              </w:rPr>
              <w:t>一般</w:t>
            </w:r>
            <w:r>
              <w:rPr>
                <w:b w:val="0"/>
                <w:bCs w:val="0"/>
                <w:color w:val="000000"/>
                <w:sz w:val="21"/>
                <w:szCs w:val="21"/>
              </w:rPr>
              <w:t>管控单元</w:t>
            </w:r>
          </w:p>
        </w:tc>
        <w:tc>
          <w:tcPr>
            <w:tcW w:w="224" w:type="pct"/>
            <w:tcBorders>
              <w:top w:val="single" w:color="auto" w:sz="4" w:space="0"/>
              <w:bottom w:val="single" w:color="auto" w:sz="4" w:space="0"/>
            </w:tcBorders>
            <w:noWrap w:val="0"/>
            <w:vAlign w:val="center"/>
          </w:tcPr>
          <w:p w14:paraId="05281141">
            <w:pPr>
              <w:pStyle w:val="46"/>
              <w:jc w:val="center"/>
              <w:rPr>
                <w:b w:val="0"/>
                <w:bCs w:val="0"/>
                <w:sz w:val="21"/>
                <w:szCs w:val="21"/>
              </w:rPr>
            </w:pPr>
            <w:r>
              <w:rPr>
                <w:b w:val="0"/>
                <w:bCs w:val="0"/>
                <w:sz w:val="21"/>
                <w:szCs w:val="21"/>
              </w:rPr>
              <w:t>空间布局约束</w:t>
            </w:r>
          </w:p>
        </w:tc>
        <w:tc>
          <w:tcPr>
            <w:tcW w:w="1686" w:type="pct"/>
            <w:tcBorders>
              <w:top w:val="single" w:color="auto" w:sz="4" w:space="0"/>
              <w:bottom w:val="single" w:color="auto" w:sz="4" w:space="0"/>
            </w:tcBorders>
            <w:noWrap w:val="0"/>
            <w:vAlign w:val="center"/>
          </w:tcPr>
          <w:p w14:paraId="6E02318A">
            <w:pPr>
              <w:pStyle w:val="45"/>
              <w:jc w:val="both"/>
              <w:rPr>
                <w:rFonts w:ascii="Times New Roman" w:hAnsi="Times New Roman" w:cs="Times New Roman"/>
                <w:b w:val="0"/>
                <w:bCs w:val="0"/>
                <w:spacing w:val="-4"/>
                <w:sz w:val="21"/>
                <w:szCs w:val="21"/>
                <w:lang w:eastAsia="zh-CN"/>
              </w:rPr>
            </w:pPr>
            <w:r>
              <w:rPr>
                <w:rFonts w:hint="eastAsia" w:ascii="Times New Roman" w:hAnsi="Times New Roman" w:cs="Times New Roman"/>
                <w:b w:val="0"/>
                <w:bCs w:val="0"/>
                <w:spacing w:val="-4"/>
                <w:sz w:val="21"/>
                <w:szCs w:val="21"/>
                <w:lang w:val="en-US" w:eastAsia="zh-CN"/>
              </w:rPr>
              <w:t>1、禁止在平顶山市白龟山水库饮用水水源准保护区内新建、扩建对水体污染严重的建设项目，改建建设项目，不得增加排污量。</w:t>
            </w:r>
          </w:p>
        </w:tc>
        <w:tc>
          <w:tcPr>
            <w:tcW w:w="1112" w:type="pct"/>
            <w:tcBorders>
              <w:top w:val="single" w:color="auto" w:sz="4" w:space="0"/>
              <w:bottom w:val="single" w:color="auto" w:sz="4" w:space="0"/>
            </w:tcBorders>
            <w:noWrap w:val="0"/>
            <w:vAlign w:val="center"/>
          </w:tcPr>
          <w:p w14:paraId="437C7A81">
            <w:pPr>
              <w:snapToGrid w:val="0"/>
              <w:jc w:val="both"/>
              <w:rPr>
                <w:b w:val="0"/>
                <w:bCs w:val="0"/>
                <w:sz w:val="21"/>
                <w:szCs w:val="21"/>
              </w:rPr>
            </w:pPr>
            <w:r>
              <w:rPr>
                <w:rFonts w:hint="eastAsia"/>
                <w:b w:val="0"/>
                <w:bCs w:val="0"/>
                <w:sz w:val="21"/>
                <w:szCs w:val="21"/>
                <w:lang w:val="en-US" w:eastAsia="zh-CN"/>
              </w:rPr>
              <w:t>本项目位于南阳市方城县四里店镇小店村何家庄，东北距离白龟山水库约33.49</w:t>
            </w:r>
            <w:r>
              <w:rPr>
                <w:rFonts w:hint="default"/>
                <w:b w:val="0"/>
                <w:bCs w:val="0"/>
                <w:sz w:val="21"/>
                <w:szCs w:val="21"/>
                <w:lang w:val="en-US" w:eastAsia="zh-CN"/>
              </w:rPr>
              <w:t>km</w:t>
            </w:r>
            <w:r>
              <w:rPr>
                <w:rFonts w:hint="eastAsia"/>
                <w:b w:val="0"/>
                <w:bCs w:val="0"/>
                <w:sz w:val="21"/>
                <w:szCs w:val="21"/>
                <w:lang w:val="en-US" w:eastAsia="zh-CN"/>
              </w:rPr>
              <w:t>，距离较远。且本项目属于澧河流域，不属于澎河流域，不在白龟山水库汇水范围内，对白龟山饮用水水源保护区无影响。</w:t>
            </w:r>
            <w:r>
              <w:rPr>
                <w:rFonts w:hint="eastAsia"/>
                <w:b w:val="0"/>
                <w:bCs w:val="0"/>
                <w:sz w:val="21"/>
                <w:szCs w:val="21"/>
                <w:highlight w:val="none"/>
                <w:lang w:val="en-US" w:eastAsia="zh-CN"/>
              </w:rPr>
              <w:t>且本项目无生产废水排放，废水主要是生活污水，生活污水经化粪池处理后用于周围农田施肥不外排。</w:t>
            </w:r>
            <w:r>
              <w:rPr>
                <w:rFonts w:hint="eastAsia"/>
                <w:b w:val="0"/>
                <w:bCs w:val="0"/>
                <w:sz w:val="21"/>
                <w:szCs w:val="21"/>
                <w:lang w:val="en-US" w:eastAsia="zh-CN"/>
              </w:rPr>
              <w:t>因此，项目建设对白龟山水库及水源保护区影响较小。</w:t>
            </w:r>
          </w:p>
        </w:tc>
        <w:tc>
          <w:tcPr>
            <w:tcW w:w="237" w:type="pct"/>
            <w:tcBorders>
              <w:top w:val="single" w:color="auto" w:sz="4" w:space="0"/>
              <w:bottom w:val="single" w:color="auto" w:sz="4" w:space="0"/>
            </w:tcBorders>
            <w:noWrap w:val="0"/>
            <w:vAlign w:val="center"/>
          </w:tcPr>
          <w:p w14:paraId="7D01CD45">
            <w:pPr>
              <w:snapToGrid w:val="0"/>
              <w:jc w:val="center"/>
              <w:rPr>
                <w:b w:val="0"/>
                <w:bCs w:val="0"/>
                <w:color w:val="000000"/>
                <w:sz w:val="21"/>
                <w:szCs w:val="21"/>
              </w:rPr>
            </w:pPr>
            <w:r>
              <w:rPr>
                <w:rFonts w:hint="eastAsia"/>
                <w:b w:val="0"/>
                <w:bCs w:val="0"/>
                <w:color w:val="000000"/>
                <w:sz w:val="21"/>
                <w:szCs w:val="21"/>
              </w:rPr>
              <w:t>相符</w:t>
            </w:r>
          </w:p>
        </w:tc>
      </w:tr>
      <w:tr w14:paraId="0669253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650" w:type="pct"/>
            <w:vMerge w:val="continue"/>
            <w:noWrap w:val="0"/>
            <w:vAlign w:val="center"/>
          </w:tcPr>
          <w:p w14:paraId="727FA019">
            <w:pPr>
              <w:jc w:val="center"/>
              <w:rPr>
                <w:b w:val="0"/>
                <w:bCs w:val="0"/>
                <w:color w:val="000000"/>
                <w:sz w:val="21"/>
                <w:szCs w:val="21"/>
              </w:rPr>
            </w:pPr>
          </w:p>
        </w:tc>
        <w:tc>
          <w:tcPr>
            <w:tcW w:w="247" w:type="pct"/>
            <w:vMerge w:val="continue"/>
            <w:noWrap w:val="0"/>
            <w:vAlign w:val="center"/>
          </w:tcPr>
          <w:p w14:paraId="7CA481B6">
            <w:pPr>
              <w:snapToGrid w:val="0"/>
              <w:jc w:val="center"/>
              <w:rPr>
                <w:b w:val="0"/>
                <w:bCs w:val="0"/>
                <w:color w:val="000000"/>
                <w:sz w:val="21"/>
                <w:szCs w:val="21"/>
              </w:rPr>
            </w:pPr>
          </w:p>
        </w:tc>
        <w:tc>
          <w:tcPr>
            <w:tcW w:w="122" w:type="pct"/>
            <w:vMerge w:val="continue"/>
            <w:noWrap w:val="0"/>
            <w:vAlign w:val="center"/>
          </w:tcPr>
          <w:p w14:paraId="6907753D">
            <w:pPr>
              <w:jc w:val="center"/>
              <w:rPr>
                <w:b w:val="0"/>
                <w:bCs w:val="0"/>
                <w:color w:val="000000"/>
                <w:sz w:val="21"/>
                <w:szCs w:val="21"/>
              </w:rPr>
            </w:pPr>
          </w:p>
        </w:tc>
        <w:tc>
          <w:tcPr>
            <w:tcW w:w="150" w:type="pct"/>
            <w:vMerge w:val="continue"/>
            <w:noWrap w:val="0"/>
            <w:vAlign w:val="center"/>
          </w:tcPr>
          <w:p w14:paraId="04D3746C">
            <w:pPr>
              <w:jc w:val="center"/>
              <w:rPr>
                <w:b w:val="0"/>
                <w:bCs w:val="0"/>
                <w:color w:val="000000"/>
                <w:sz w:val="21"/>
                <w:szCs w:val="21"/>
              </w:rPr>
            </w:pPr>
          </w:p>
        </w:tc>
        <w:tc>
          <w:tcPr>
            <w:tcW w:w="150" w:type="pct"/>
            <w:vMerge w:val="continue"/>
            <w:noWrap w:val="0"/>
            <w:vAlign w:val="center"/>
          </w:tcPr>
          <w:p w14:paraId="05ADBB7A">
            <w:pPr>
              <w:jc w:val="center"/>
              <w:rPr>
                <w:b w:val="0"/>
                <w:bCs w:val="0"/>
                <w:color w:val="000000"/>
                <w:sz w:val="21"/>
                <w:szCs w:val="21"/>
              </w:rPr>
            </w:pPr>
          </w:p>
        </w:tc>
        <w:tc>
          <w:tcPr>
            <w:tcW w:w="164" w:type="pct"/>
            <w:vMerge w:val="continue"/>
            <w:noWrap w:val="0"/>
            <w:vAlign w:val="center"/>
          </w:tcPr>
          <w:p w14:paraId="6D45266B">
            <w:pPr>
              <w:jc w:val="center"/>
              <w:rPr>
                <w:b w:val="0"/>
                <w:bCs w:val="0"/>
                <w:color w:val="000000"/>
                <w:sz w:val="21"/>
                <w:szCs w:val="21"/>
              </w:rPr>
            </w:pPr>
          </w:p>
        </w:tc>
        <w:tc>
          <w:tcPr>
            <w:tcW w:w="254" w:type="pct"/>
            <w:vMerge w:val="continue"/>
            <w:noWrap w:val="0"/>
            <w:vAlign w:val="center"/>
          </w:tcPr>
          <w:p w14:paraId="25885015">
            <w:pPr>
              <w:jc w:val="center"/>
              <w:rPr>
                <w:b w:val="0"/>
                <w:bCs w:val="0"/>
                <w:color w:val="000000"/>
                <w:sz w:val="21"/>
                <w:szCs w:val="21"/>
              </w:rPr>
            </w:pPr>
          </w:p>
        </w:tc>
        <w:tc>
          <w:tcPr>
            <w:tcW w:w="224" w:type="pct"/>
            <w:tcBorders>
              <w:top w:val="single" w:color="auto" w:sz="4" w:space="0"/>
              <w:bottom w:val="single" w:color="auto" w:sz="4" w:space="0"/>
            </w:tcBorders>
            <w:noWrap w:val="0"/>
            <w:vAlign w:val="center"/>
          </w:tcPr>
          <w:p w14:paraId="02AC9FFF">
            <w:pPr>
              <w:pStyle w:val="46"/>
              <w:jc w:val="center"/>
              <w:rPr>
                <w:b w:val="0"/>
                <w:bCs w:val="0"/>
                <w:sz w:val="21"/>
                <w:szCs w:val="21"/>
              </w:rPr>
            </w:pPr>
            <w:r>
              <w:rPr>
                <w:b w:val="0"/>
                <w:bCs w:val="0"/>
                <w:sz w:val="21"/>
                <w:szCs w:val="21"/>
              </w:rPr>
              <w:t>污染物排放管控</w:t>
            </w:r>
          </w:p>
        </w:tc>
        <w:tc>
          <w:tcPr>
            <w:tcW w:w="1686" w:type="pct"/>
            <w:tcBorders>
              <w:top w:val="single" w:color="auto" w:sz="4" w:space="0"/>
              <w:bottom w:val="single" w:color="auto" w:sz="4" w:space="0"/>
            </w:tcBorders>
            <w:noWrap w:val="0"/>
            <w:vAlign w:val="center"/>
          </w:tcPr>
          <w:p w14:paraId="7DD2B60A">
            <w:pPr>
              <w:pStyle w:val="45"/>
              <w:rPr>
                <w:rFonts w:ascii="Times New Roman" w:hAnsi="Times New Roman" w:cs="Times New Roman"/>
                <w:b w:val="0"/>
                <w:bCs w:val="0"/>
                <w:spacing w:val="-4"/>
                <w:sz w:val="21"/>
                <w:szCs w:val="21"/>
                <w:lang w:eastAsia="zh-CN"/>
              </w:rPr>
            </w:pPr>
            <w:r>
              <w:rPr>
                <w:rFonts w:hint="eastAsia" w:ascii="Times New Roman" w:hAnsi="Times New Roman" w:cs="Times New Roman"/>
                <w:b w:val="0"/>
                <w:bCs w:val="0"/>
                <w:spacing w:val="-4"/>
                <w:sz w:val="21"/>
                <w:szCs w:val="21"/>
                <w:lang w:val="en-US" w:eastAsia="zh-CN"/>
              </w:rPr>
              <w:t>1、新建或扩建城镇污水处理厂必须达到或优于一级A排放标准。</w:t>
            </w:r>
          </w:p>
        </w:tc>
        <w:tc>
          <w:tcPr>
            <w:tcW w:w="1112" w:type="pct"/>
            <w:tcBorders>
              <w:top w:val="single" w:color="auto" w:sz="4" w:space="0"/>
              <w:bottom w:val="single" w:color="auto" w:sz="4" w:space="0"/>
            </w:tcBorders>
            <w:noWrap w:val="0"/>
            <w:vAlign w:val="center"/>
          </w:tcPr>
          <w:p w14:paraId="1FE7C31C">
            <w:pPr>
              <w:snapToGrid w:val="0"/>
              <w:rPr>
                <w:b w:val="0"/>
                <w:bCs w:val="0"/>
                <w:sz w:val="21"/>
                <w:szCs w:val="21"/>
              </w:rPr>
            </w:pPr>
            <w:r>
              <w:rPr>
                <w:b w:val="0"/>
                <w:bCs w:val="0"/>
                <w:spacing w:val="-4"/>
                <w:sz w:val="21"/>
                <w:szCs w:val="21"/>
              </w:rPr>
              <w:t>1、本项目不涉及；</w:t>
            </w:r>
          </w:p>
        </w:tc>
        <w:tc>
          <w:tcPr>
            <w:tcW w:w="237" w:type="pct"/>
            <w:tcBorders>
              <w:top w:val="single" w:color="auto" w:sz="4" w:space="0"/>
              <w:bottom w:val="single" w:color="auto" w:sz="4" w:space="0"/>
            </w:tcBorders>
            <w:noWrap w:val="0"/>
            <w:vAlign w:val="center"/>
          </w:tcPr>
          <w:p w14:paraId="508BEB39">
            <w:pPr>
              <w:jc w:val="center"/>
              <w:rPr>
                <w:b w:val="0"/>
                <w:bCs w:val="0"/>
                <w:color w:val="000000"/>
                <w:sz w:val="21"/>
                <w:szCs w:val="21"/>
              </w:rPr>
            </w:pPr>
            <w:r>
              <w:rPr>
                <w:rFonts w:hint="eastAsia"/>
                <w:b w:val="0"/>
                <w:bCs w:val="0"/>
                <w:color w:val="000000"/>
                <w:sz w:val="21"/>
                <w:szCs w:val="21"/>
              </w:rPr>
              <w:t>相符</w:t>
            </w:r>
          </w:p>
        </w:tc>
      </w:tr>
      <w:tr w14:paraId="3EEEC2C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650" w:type="pct"/>
            <w:vMerge w:val="continue"/>
            <w:noWrap w:val="0"/>
            <w:vAlign w:val="center"/>
          </w:tcPr>
          <w:p w14:paraId="489F1B5C">
            <w:pPr>
              <w:jc w:val="center"/>
              <w:rPr>
                <w:b w:val="0"/>
                <w:bCs w:val="0"/>
                <w:color w:val="000000"/>
                <w:sz w:val="21"/>
                <w:szCs w:val="21"/>
              </w:rPr>
            </w:pPr>
          </w:p>
        </w:tc>
        <w:tc>
          <w:tcPr>
            <w:tcW w:w="247" w:type="pct"/>
            <w:vMerge w:val="continue"/>
            <w:noWrap w:val="0"/>
            <w:vAlign w:val="center"/>
          </w:tcPr>
          <w:p w14:paraId="7C429164">
            <w:pPr>
              <w:snapToGrid w:val="0"/>
              <w:jc w:val="center"/>
              <w:rPr>
                <w:b w:val="0"/>
                <w:bCs w:val="0"/>
                <w:color w:val="000000"/>
                <w:sz w:val="21"/>
                <w:szCs w:val="21"/>
              </w:rPr>
            </w:pPr>
          </w:p>
        </w:tc>
        <w:tc>
          <w:tcPr>
            <w:tcW w:w="122" w:type="pct"/>
            <w:vMerge w:val="continue"/>
            <w:noWrap w:val="0"/>
            <w:vAlign w:val="center"/>
          </w:tcPr>
          <w:p w14:paraId="1298C6A6">
            <w:pPr>
              <w:jc w:val="center"/>
              <w:rPr>
                <w:b w:val="0"/>
                <w:bCs w:val="0"/>
                <w:color w:val="000000"/>
                <w:sz w:val="21"/>
                <w:szCs w:val="21"/>
              </w:rPr>
            </w:pPr>
          </w:p>
        </w:tc>
        <w:tc>
          <w:tcPr>
            <w:tcW w:w="150" w:type="pct"/>
            <w:vMerge w:val="continue"/>
            <w:noWrap w:val="0"/>
            <w:vAlign w:val="center"/>
          </w:tcPr>
          <w:p w14:paraId="77467AD8">
            <w:pPr>
              <w:jc w:val="center"/>
              <w:rPr>
                <w:b w:val="0"/>
                <w:bCs w:val="0"/>
                <w:color w:val="000000"/>
                <w:sz w:val="21"/>
                <w:szCs w:val="21"/>
              </w:rPr>
            </w:pPr>
          </w:p>
        </w:tc>
        <w:tc>
          <w:tcPr>
            <w:tcW w:w="150" w:type="pct"/>
            <w:vMerge w:val="continue"/>
            <w:noWrap w:val="0"/>
            <w:vAlign w:val="center"/>
          </w:tcPr>
          <w:p w14:paraId="7113EEFD">
            <w:pPr>
              <w:jc w:val="center"/>
              <w:rPr>
                <w:b w:val="0"/>
                <w:bCs w:val="0"/>
                <w:color w:val="000000"/>
                <w:sz w:val="21"/>
                <w:szCs w:val="21"/>
              </w:rPr>
            </w:pPr>
          </w:p>
        </w:tc>
        <w:tc>
          <w:tcPr>
            <w:tcW w:w="164" w:type="pct"/>
            <w:vMerge w:val="continue"/>
            <w:noWrap w:val="0"/>
            <w:vAlign w:val="center"/>
          </w:tcPr>
          <w:p w14:paraId="0E357000">
            <w:pPr>
              <w:jc w:val="center"/>
              <w:rPr>
                <w:b w:val="0"/>
                <w:bCs w:val="0"/>
                <w:color w:val="000000"/>
                <w:sz w:val="21"/>
                <w:szCs w:val="21"/>
              </w:rPr>
            </w:pPr>
          </w:p>
        </w:tc>
        <w:tc>
          <w:tcPr>
            <w:tcW w:w="254" w:type="pct"/>
            <w:vMerge w:val="continue"/>
            <w:noWrap w:val="0"/>
            <w:vAlign w:val="center"/>
          </w:tcPr>
          <w:p w14:paraId="75288AF1">
            <w:pPr>
              <w:jc w:val="center"/>
              <w:rPr>
                <w:b w:val="0"/>
                <w:bCs w:val="0"/>
                <w:color w:val="000000"/>
                <w:sz w:val="21"/>
                <w:szCs w:val="21"/>
              </w:rPr>
            </w:pPr>
          </w:p>
        </w:tc>
        <w:tc>
          <w:tcPr>
            <w:tcW w:w="224" w:type="pct"/>
            <w:tcBorders>
              <w:top w:val="single" w:color="auto" w:sz="4" w:space="0"/>
              <w:bottom w:val="single" w:color="auto" w:sz="4" w:space="0"/>
            </w:tcBorders>
            <w:noWrap w:val="0"/>
            <w:vAlign w:val="center"/>
          </w:tcPr>
          <w:p w14:paraId="1371224F">
            <w:pPr>
              <w:pStyle w:val="46"/>
              <w:jc w:val="center"/>
              <w:rPr>
                <w:rFonts w:ascii="Times New Roman" w:hAnsi="Times New Roman"/>
                <w:b w:val="0"/>
                <w:bCs w:val="0"/>
                <w:sz w:val="21"/>
                <w:szCs w:val="21"/>
              </w:rPr>
            </w:pPr>
            <w:r>
              <w:rPr>
                <w:rFonts w:hint="eastAsia" w:ascii="Times New Roman" w:hAnsi="Times New Roman"/>
                <w:b w:val="0"/>
                <w:bCs w:val="0"/>
                <w:sz w:val="21"/>
                <w:szCs w:val="21"/>
              </w:rPr>
              <w:t>环境风险防控</w:t>
            </w:r>
          </w:p>
        </w:tc>
        <w:tc>
          <w:tcPr>
            <w:tcW w:w="1686" w:type="pct"/>
            <w:tcBorders>
              <w:top w:val="single" w:color="auto" w:sz="4" w:space="0"/>
              <w:bottom w:val="single" w:color="auto" w:sz="4" w:space="0"/>
            </w:tcBorders>
            <w:noWrap w:val="0"/>
            <w:vAlign w:val="center"/>
          </w:tcPr>
          <w:p w14:paraId="27F45655">
            <w:pPr>
              <w:pStyle w:val="45"/>
              <w:jc w:val="center"/>
              <w:rPr>
                <w:rFonts w:ascii="Times New Roman" w:hAnsi="Times New Roman" w:cs="Times New Roman"/>
                <w:b w:val="0"/>
                <w:bCs w:val="0"/>
                <w:spacing w:val="-4"/>
                <w:sz w:val="21"/>
                <w:szCs w:val="21"/>
                <w:lang w:eastAsia="zh-CN"/>
              </w:rPr>
            </w:pPr>
            <w:r>
              <w:rPr>
                <w:rFonts w:ascii="Times New Roman" w:hAnsi="Times New Roman" w:cs="Times New Roman"/>
                <w:b w:val="0"/>
                <w:bCs w:val="0"/>
                <w:spacing w:val="-4"/>
                <w:sz w:val="21"/>
                <w:szCs w:val="21"/>
                <w:lang w:eastAsia="zh-CN"/>
              </w:rPr>
              <w:t>/</w:t>
            </w:r>
          </w:p>
        </w:tc>
        <w:tc>
          <w:tcPr>
            <w:tcW w:w="1112" w:type="pct"/>
            <w:tcBorders>
              <w:top w:val="single" w:color="auto" w:sz="4" w:space="0"/>
              <w:bottom w:val="single" w:color="auto" w:sz="4" w:space="0"/>
            </w:tcBorders>
            <w:noWrap w:val="0"/>
            <w:vAlign w:val="center"/>
          </w:tcPr>
          <w:p w14:paraId="7E4E6B93">
            <w:pPr>
              <w:snapToGrid w:val="0"/>
              <w:jc w:val="center"/>
              <w:rPr>
                <w:b w:val="0"/>
                <w:bCs w:val="0"/>
                <w:sz w:val="21"/>
                <w:szCs w:val="21"/>
              </w:rPr>
            </w:pPr>
            <w:r>
              <w:rPr>
                <w:b w:val="0"/>
                <w:bCs w:val="0"/>
                <w:sz w:val="21"/>
                <w:szCs w:val="21"/>
              </w:rPr>
              <w:t>/</w:t>
            </w:r>
          </w:p>
        </w:tc>
        <w:tc>
          <w:tcPr>
            <w:tcW w:w="237" w:type="pct"/>
            <w:tcBorders>
              <w:top w:val="single" w:color="auto" w:sz="4" w:space="0"/>
              <w:bottom w:val="single" w:color="auto" w:sz="4" w:space="0"/>
            </w:tcBorders>
            <w:noWrap w:val="0"/>
            <w:vAlign w:val="center"/>
          </w:tcPr>
          <w:p w14:paraId="768231E1">
            <w:pPr>
              <w:snapToGrid w:val="0"/>
              <w:jc w:val="center"/>
              <w:rPr>
                <w:b w:val="0"/>
                <w:bCs w:val="0"/>
                <w:sz w:val="21"/>
                <w:szCs w:val="21"/>
              </w:rPr>
            </w:pPr>
            <w:r>
              <w:rPr>
                <w:b w:val="0"/>
                <w:bCs w:val="0"/>
                <w:sz w:val="21"/>
                <w:szCs w:val="21"/>
              </w:rPr>
              <w:t>/</w:t>
            </w:r>
          </w:p>
        </w:tc>
      </w:tr>
      <w:tr w14:paraId="7270B8D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650" w:type="pct"/>
            <w:vMerge w:val="continue"/>
            <w:noWrap w:val="0"/>
            <w:vAlign w:val="top"/>
          </w:tcPr>
          <w:p w14:paraId="737BFE5B">
            <w:pPr>
              <w:jc w:val="center"/>
              <w:rPr>
                <w:b w:val="0"/>
                <w:bCs w:val="0"/>
                <w:color w:val="000000"/>
                <w:sz w:val="21"/>
                <w:szCs w:val="21"/>
              </w:rPr>
            </w:pPr>
          </w:p>
        </w:tc>
        <w:tc>
          <w:tcPr>
            <w:tcW w:w="247" w:type="pct"/>
            <w:vMerge w:val="continue"/>
            <w:noWrap w:val="0"/>
            <w:vAlign w:val="top"/>
          </w:tcPr>
          <w:p w14:paraId="3FC78CC6">
            <w:pPr>
              <w:jc w:val="center"/>
              <w:rPr>
                <w:b w:val="0"/>
                <w:bCs w:val="0"/>
                <w:color w:val="000000"/>
                <w:sz w:val="21"/>
                <w:szCs w:val="21"/>
              </w:rPr>
            </w:pPr>
          </w:p>
        </w:tc>
        <w:tc>
          <w:tcPr>
            <w:tcW w:w="122" w:type="pct"/>
            <w:vMerge w:val="continue"/>
            <w:noWrap w:val="0"/>
            <w:vAlign w:val="top"/>
          </w:tcPr>
          <w:p w14:paraId="3E3FB1C6">
            <w:pPr>
              <w:jc w:val="center"/>
              <w:rPr>
                <w:b w:val="0"/>
                <w:bCs w:val="0"/>
                <w:color w:val="000000"/>
                <w:sz w:val="21"/>
                <w:szCs w:val="21"/>
              </w:rPr>
            </w:pPr>
          </w:p>
        </w:tc>
        <w:tc>
          <w:tcPr>
            <w:tcW w:w="150" w:type="pct"/>
            <w:vMerge w:val="continue"/>
            <w:noWrap w:val="0"/>
            <w:vAlign w:val="top"/>
          </w:tcPr>
          <w:p w14:paraId="728D3740">
            <w:pPr>
              <w:jc w:val="center"/>
              <w:rPr>
                <w:b w:val="0"/>
                <w:bCs w:val="0"/>
                <w:color w:val="000000"/>
                <w:sz w:val="21"/>
                <w:szCs w:val="21"/>
              </w:rPr>
            </w:pPr>
          </w:p>
        </w:tc>
        <w:tc>
          <w:tcPr>
            <w:tcW w:w="150" w:type="pct"/>
            <w:vMerge w:val="continue"/>
            <w:noWrap w:val="0"/>
            <w:vAlign w:val="top"/>
          </w:tcPr>
          <w:p w14:paraId="137D5C03">
            <w:pPr>
              <w:jc w:val="center"/>
              <w:rPr>
                <w:b w:val="0"/>
                <w:bCs w:val="0"/>
                <w:color w:val="000000"/>
                <w:sz w:val="21"/>
                <w:szCs w:val="21"/>
              </w:rPr>
            </w:pPr>
          </w:p>
        </w:tc>
        <w:tc>
          <w:tcPr>
            <w:tcW w:w="164" w:type="pct"/>
            <w:vMerge w:val="continue"/>
            <w:noWrap w:val="0"/>
            <w:vAlign w:val="top"/>
          </w:tcPr>
          <w:p w14:paraId="20CD087B">
            <w:pPr>
              <w:jc w:val="center"/>
              <w:rPr>
                <w:b w:val="0"/>
                <w:bCs w:val="0"/>
                <w:color w:val="000000"/>
                <w:sz w:val="21"/>
                <w:szCs w:val="21"/>
              </w:rPr>
            </w:pPr>
          </w:p>
        </w:tc>
        <w:tc>
          <w:tcPr>
            <w:tcW w:w="254" w:type="pct"/>
            <w:vMerge w:val="continue"/>
            <w:noWrap w:val="0"/>
            <w:vAlign w:val="top"/>
          </w:tcPr>
          <w:p w14:paraId="3426AA02">
            <w:pPr>
              <w:jc w:val="center"/>
              <w:rPr>
                <w:b w:val="0"/>
                <w:bCs w:val="0"/>
                <w:color w:val="000000"/>
                <w:sz w:val="21"/>
                <w:szCs w:val="21"/>
              </w:rPr>
            </w:pPr>
          </w:p>
        </w:tc>
        <w:tc>
          <w:tcPr>
            <w:tcW w:w="224" w:type="pct"/>
            <w:tcBorders>
              <w:top w:val="single" w:color="auto" w:sz="4" w:space="0"/>
              <w:bottom w:val="single" w:color="auto" w:sz="4" w:space="0"/>
            </w:tcBorders>
            <w:noWrap w:val="0"/>
            <w:vAlign w:val="center"/>
          </w:tcPr>
          <w:p w14:paraId="67E73C49">
            <w:pPr>
              <w:pStyle w:val="46"/>
              <w:jc w:val="center"/>
              <w:rPr>
                <w:rFonts w:ascii="Times New Roman" w:hAnsi="Times New Roman"/>
                <w:b w:val="0"/>
                <w:bCs w:val="0"/>
                <w:sz w:val="21"/>
                <w:szCs w:val="21"/>
              </w:rPr>
            </w:pPr>
            <w:r>
              <w:rPr>
                <w:rFonts w:hint="eastAsia" w:ascii="Times New Roman" w:hAnsi="Times New Roman"/>
                <w:b w:val="0"/>
                <w:bCs w:val="0"/>
                <w:sz w:val="21"/>
                <w:szCs w:val="21"/>
              </w:rPr>
              <w:t>资源开发效率要求</w:t>
            </w:r>
          </w:p>
        </w:tc>
        <w:tc>
          <w:tcPr>
            <w:tcW w:w="1686" w:type="pct"/>
            <w:tcBorders>
              <w:top w:val="single" w:color="auto" w:sz="4" w:space="0"/>
              <w:bottom w:val="single" w:color="auto" w:sz="4" w:space="0"/>
            </w:tcBorders>
            <w:noWrap w:val="0"/>
            <w:vAlign w:val="center"/>
          </w:tcPr>
          <w:p w14:paraId="450B61CD">
            <w:pPr>
              <w:pStyle w:val="45"/>
              <w:jc w:val="center"/>
              <w:rPr>
                <w:rFonts w:ascii="Times New Roman" w:hAnsi="Times New Roman" w:cs="Times New Roman"/>
                <w:b w:val="0"/>
                <w:bCs w:val="0"/>
                <w:spacing w:val="-4"/>
                <w:sz w:val="21"/>
                <w:szCs w:val="21"/>
                <w:lang w:eastAsia="zh-CN"/>
              </w:rPr>
            </w:pPr>
            <w:r>
              <w:rPr>
                <w:rFonts w:ascii="Times New Roman" w:hAnsi="Times New Roman" w:cs="Times New Roman"/>
                <w:b w:val="0"/>
                <w:bCs w:val="0"/>
                <w:spacing w:val="-4"/>
                <w:sz w:val="21"/>
                <w:szCs w:val="21"/>
                <w:lang w:eastAsia="zh-CN"/>
              </w:rPr>
              <w:t>/</w:t>
            </w:r>
          </w:p>
        </w:tc>
        <w:tc>
          <w:tcPr>
            <w:tcW w:w="1112" w:type="pct"/>
            <w:tcBorders>
              <w:top w:val="single" w:color="auto" w:sz="4" w:space="0"/>
              <w:bottom w:val="single" w:color="auto" w:sz="4" w:space="0"/>
            </w:tcBorders>
            <w:noWrap w:val="0"/>
            <w:vAlign w:val="center"/>
          </w:tcPr>
          <w:p w14:paraId="5E19E24A">
            <w:pPr>
              <w:snapToGrid w:val="0"/>
              <w:jc w:val="center"/>
              <w:rPr>
                <w:b w:val="0"/>
                <w:bCs w:val="0"/>
                <w:sz w:val="21"/>
                <w:szCs w:val="21"/>
              </w:rPr>
            </w:pPr>
            <w:r>
              <w:rPr>
                <w:b w:val="0"/>
                <w:bCs w:val="0"/>
                <w:sz w:val="21"/>
                <w:szCs w:val="21"/>
              </w:rPr>
              <w:t>/</w:t>
            </w:r>
          </w:p>
        </w:tc>
        <w:tc>
          <w:tcPr>
            <w:tcW w:w="237" w:type="pct"/>
            <w:tcBorders>
              <w:top w:val="single" w:color="auto" w:sz="4" w:space="0"/>
              <w:bottom w:val="single" w:color="auto" w:sz="4" w:space="0"/>
            </w:tcBorders>
            <w:noWrap w:val="0"/>
            <w:vAlign w:val="center"/>
          </w:tcPr>
          <w:p w14:paraId="40EAABF7">
            <w:pPr>
              <w:snapToGrid w:val="0"/>
              <w:jc w:val="center"/>
              <w:rPr>
                <w:b w:val="0"/>
                <w:bCs w:val="0"/>
                <w:sz w:val="21"/>
                <w:szCs w:val="21"/>
              </w:rPr>
            </w:pPr>
            <w:r>
              <w:rPr>
                <w:b w:val="0"/>
                <w:bCs w:val="0"/>
                <w:sz w:val="21"/>
                <w:szCs w:val="21"/>
              </w:rPr>
              <w:t>/</w:t>
            </w:r>
          </w:p>
        </w:tc>
      </w:tr>
      <w:tr w14:paraId="386BDFB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650" w:type="pct"/>
            <w:vMerge w:val="restart"/>
            <w:noWrap w:val="0"/>
            <w:vAlign w:val="center"/>
          </w:tcPr>
          <w:p w14:paraId="59D65F11">
            <w:pPr>
              <w:pStyle w:val="45"/>
              <w:jc w:val="center"/>
              <w:rPr>
                <w:rFonts w:ascii="Times New Roman" w:hAnsi="Times New Roman" w:cs="Times New Roman"/>
                <w:b w:val="0"/>
                <w:bCs w:val="0"/>
                <w:sz w:val="21"/>
                <w:szCs w:val="21"/>
              </w:rPr>
            </w:pPr>
            <w:r>
              <w:rPr>
                <w:rFonts w:hint="eastAsia" w:ascii="Times New Roman" w:hAnsi="Times New Roman" w:cs="Times New Roman"/>
                <w:b w:val="0"/>
                <w:bCs w:val="0"/>
                <w:sz w:val="21"/>
                <w:szCs w:val="21"/>
                <w:lang w:val="en-US" w:eastAsia="zh-CN"/>
              </w:rPr>
              <w:t>YS4113223310001</w:t>
            </w:r>
          </w:p>
        </w:tc>
        <w:tc>
          <w:tcPr>
            <w:tcW w:w="247" w:type="pct"/>
            <w:vMerge w:val="restart"/>
            <w:noWrap w:val="0"/>
            <w:vAlign w:val="center"/>
          </w:tcPr>
          <w:p w14:paraId="5CFE9FD6">
            <w:pPr>
              <w:pStyle w:val="45"/>
              <w:jc w:val="center"/>
              <w:rPr>
                <w:rFonts w:ascii="Times New Roman" w:hAnsi="Times New Roman" w:cs="Times New Roman"/>
                <w:b w:val="0"/>
                <w:bCs w:val="0"/>
                <w:sz w:val="21"/>
                <w:szCs w:val="21"/>
                <w:lang w:eastAsia="zh-CN"/>
              </w:rPr>
            </w:pPr>
            <w:r>
              <w:rPr>
                <w:rFonts w:ascii="Times New Roman" w:hAnsi="Times New Roman" w:cs="Times New Roman"/>
                <w:b w:val="0"/>
                <w:bCs w:val="0"/>
                <w:spacing w:val="-4"/>
                <w:sz w:val="21"/>
                <w:szCs w:val="21"/>
                <w:lang w:eastAsia="zh-CN"/>
              </w:rPr>
              <w:t>/</w:t>
            </w:r>
          </w:p>
        </w:tc>
        <w:tc>
          <w:tcPr>
            <w:tcW w:w="122" w:type="pct"/>
            <w:vMerge w:val="restart"/>
            <w:noWrap w:val="0"/>
            <w:vAlign w:val="center"/>
          </w:tcPr>
          <w:p w14:paraId="27608878">
            <w:pPr>
              <w:jc w:val="center"/>
              <w:rPr>
                <w:b w:val="0"/>
                <w:bCs w:val="0"/>
                <w:color w:val="000000"/>
                <w:sz w:val="21"/>
                <w:szCs w:val="21"/>
              </w:rPr>
            </w:pPr>
            <w:r>
              <w:rPr>
                <w:rFonts w:hint="eastAsia"/>
                <w:b w:val="0"/>
                <w:bCs w:val="0"/>
                <w:color w:val="000000"/>
                <w:sz w:val="21"/>
                <w:szCs w:val="21"/>
              </w:rPr>
              <w:t>河南省</w:t>
            </w:r>
          </w:p>
        </w:tc>
        <w:tc>
          <w:tcPr>
            <w:tcW w:w="150" w:type="pct"/>
            <w:vMerge w:val="restart"/>
            <w:noWrap w:val="0"/>
            <w:vAlign w:val="center"/>
          </w:tcPr>
          <w:p w14:paraId="6CDADB82">
            <w:pPr>
              <w:jc w:val="center"/>
              <w:rPr>
                <w:b w:val="0"/>
                <w:bCs w:val="0"/>
                <w:color w:val="000000"/>
                <w:sz w:val="21"/>
                <w:szCs w:val="21"/>
              </w:rPr>
            </w:pPr>
            <w:r>
              <w:rPr>
                <w:rFonts w:hint="eastAsia"/>
                <w:b w:val="0"/>
                <w:bCs w:val="0"/>
                <w:color w:val="000000"/>
                <w:sz w:val="21"/>
                <w:szCs w:val="21"/>
              </w:rPr>
              <w:t>南阳市</w:t>
            </w:r>
          </w:p>
        </w:tc>
        <w:tc>
          <w:tcPr>
            <w:tcW w:w="150" w:type="pct"/>
            <w:vMerge w:val="restart"/>
            <w:noWrap w:val="0"/>
            <w:vAlign w:val="center"/>
          </w:tcPr>
          <w:p w14:paraId="65B9EE03">
            <w:pPr>
              <w:pStyle w:val="45"/>
              <w:jc w:val="center"/>
              <w:rPr>
                <w:b w:val="0"/>
                <w:bCs w:val="0"/>
                <w:color w:val="000000"/>
                <w:sz w:val="21"/>
                <w:szCs w:val="21"/>
              </w:rPr>
            </w:pPr>
            <w:r>
              <w:rPr>
                <w:rFonts w:hint="eastAsia" w:ascii="Times New Roman" w:hAnsi="Times New Roman" w:cs="Times New Roman"/>
                <w:b w:val="0"/>
                <w:bCs w:val="0"/>
                <w:sz w:val="21"/>
                <w:szCs w:val="21"/>
                <w:lang w:val="en-US" w:eastAsia="zh-CN"/>
              </w:rPr>
              <w:t>方城县</w:t>
            </w:r>
          </w:p>
        </w:tc>
        <w:tc>
          <w:tcPr>
            <w:tcW w:w="164" w:type="pct"/>
            <w:vMerge w:val="restart"/>
            <w:noWrap w:val="0"/>
            <w:vAlign w:val="center"/>
          </w:tcPr>
          <w:p w14:paraId="26D8D018">
            <w:pPr>
              <w:jc w:val="center"/>
              <w:rPr>
                <w:b w:val="0"/>
                <w:bCs w:val="0"/>
                <w:color w:val="000000"/>
                <w:sz w:val="21"/>
                <w:szCs w:val="21"/>
              </w:rPr>
            </w:pPr>
            <w:r>
              <w:rPr>
                <w:rFonts w:hint="eastAsia"/>
                <w:b w:val="0"/>
                <w:bCs w:val="0"/>
                <w:color w:val="000000"/>
                <w:sz w:val="21"/>
                <w:szCs w:val="21"/>
              </w:rPr>
              <w:t>/</w:t>
            </w:r>
          </w:p>
        </w:tc>
        <w:tc>
          <w:tcPr>
            <w:tcW w:w="254" w:type="pct"/>
            <w:vMerge w:val="restart"/>
            <w:noWrap w:val="0"/>
            <w:vAlign w:val="center"/>
          </w:tcPr>
          <w:p w14:paraId="44A34383">
            <w:pPr>
              <w:jc w:val="center"/>
              <w:rPr>
                <w:b w:val="0"/>
                <w:bCs w:val="0"/>
                <w:color w:val="000000"/>
                <w:sz w:val="21"/>
                <w:szCs w:val="21"/>
              </w:rPr>
            </w:pPr>
            <w:r>
              <w:rPr>
                <w:rFonts w:hint="eastAsia" w:ascii="Times New Roman" w:hAnsi="Times New Roman"/>
                <w:b w:val="0"/>
                <w:bCs w:val="0"/>
                <w:sz w:val="21"/>
                <w:szCs w:val="21"/>
                <w:lang w:val="en-US" w:eastAsia="zh-CN"/>
              </w:rPr>
              <w:t>一般</w:t>
            </w:r>
            <w:r>
              <w:rPr>
                <w:b w:val="0"/>
                <w:bCs w:val="0"/>
                <w:color w:val="000000"/>
                <w:sz w:val="21"/>
                <w:szCs w:val="21"/>
              </w:rPr>
              <w:t>管控单元</w:t>
            </w:r>
          </w:p>
        </w:tc>
        <w:tc>
          <w:tcPr>
            <w:tcW w:w="224" w:type="pct"/>
            <w:tcBorders>
              <w:top w:val="single" w:color="auto" w:sz="4" w:space="0"/>
              <w:bottom w:val="single" w:color="auto" w:sz="4" w:space="0"/>
            </w:tcBorders>
            <w:noWrap w:val="0"/>
            <w:vAlign w:val="center"/>
          </w:tcPr>
          <w:p w14:paraId="678E5A72">
            <w:pPr>
              <w:pStyle w:val="46"/>
              <w:jc w:val="center"/>
              <w:rPr>
                <w:b w:val="0"/>
                <w:bCs w:val="0"/>
                <w:sz w:val="21"/>
                <w:szCs w:val="21"/>
              </w:rPr>
            </w:pPr>
            <w:r>
              <w:rPr>
                <w:b w:val="0"/>
                <w:bCs w:val="0"/>
                <w:sz w:val="21"/>
                <w:szCs w:val="21"/>
              </w:rPr>
              <w:t>空间布局约束</w:t>
            </w:r>
          </w:p>
        </w:tc>
        <w:tc>
          <w:tcPr>
            <w:tcW w:w="1686" w:type="pct"/>
            <w:tcBorders>
              <w:top w:val="single" w:color="auto" w:sz="4" w:space="0"/>
              <w:bottom w:val="single" w:color="auto" w:sz="4" w:space="0"/>
            </w:tcBorders>
            <w:noWrap w:val="0"/>
            <w:vAlign w:val="center"/>
          </w:tcPr>
          <w:p w14:paraId="34C1E5FE">
            <w:pPr>
              <w:pStyle w:val="45"/>
              <w:rPr>
                <w:rFonts w:ascii="Times New Roman" w:hAnsi="Times New Roman" w:cs="Times New Roman"/>
                <w:b w:val="0"/>
                <w:bCs w:val="0"/>
                <w:spacing w:val="-4"/>
                <w:sz w:val="21"/>
                <w:szCs w:val="21"/>
                <w:lang w:eastAsia="zh-CN"/>
              </w:rPr>
            </w:pPr>
            <w:r>
              <w:rPr>
                <w:rFonts w:hint="eastAsia" w:ascii="Times New Roman" w:hAnsi="Times New Roman" w:cs="Times New Roman"/>
                <w:b w:val="0"/>
                <w:bCs w:val="0"/>
                <w:spacing w:val="-4"/>
                <w:sz w:val="21"/>
                <w:szCs w:val="21"/>
                <w:lang w:val="en-US" w:eastAsia="zh-CN"/>
              </w:rPr>
              <w:t>大力淘汰和压减钢铁、焦炭、建材等行业产能。全面推进“散乱污”企业综合整治，全面淘汰退出达不到标准的落后产能和不达标企业。</w:t>
            </w:r>
          </w:p>
        </w:tc>
        <w:tc>
          <w:tcPr>
            <w:tcW w:w="1112" w:type="pct"/>
            <w:tcBorders>
              <w:top w:val="single" w:color="auto" w:sz="4" w:space="0"/>
              <w:bottom w:val="single" w:color="auto" w:sz="4" w:space="0"/>
            </w:tcBorders>
            <w:noWrap w:val="0"/>
            <w:vAlign w:val="center"/>
          </w:tcPr>
          <w:p w14:paraId="4FC60252">
            <w:pPr>
              <w:snapToGrid w:val="0"/>
              <w:rPr>
                <w:rFonts w:hint="eastAsia" w:eastAsia="宋体"/>
                <w:b w:val="0"/>
                <w:bCs w:val="0"/>
                <w:spacing w:val="-4"/>
                <w:sz w:val="21"/>
                <w:szCs w:val="21"/>
                <w:lang w:eastAsia="zh-CN"/>
              </w:rPr>
            </w:pPr>
            <w:r>
              <w:rPr>
                <w:b w:val="0"/>
                <w:bCs w:val="0"/>
                <w:sz w:val="21"/>
                <w:szCs w:val="21"/>
              </w:rPr>
              <w:t>本项目不涉及</w:t>
            </w:r>
            <w:r>
              <w:rPr>
                <w:rFonts w:hint="eastAsia"/>
                <w:b w:val="0"/>
                <w:bCs w:val="0"/>
                <w:sz w:val="21"/>
                <w:szCs w:val="21"/>
                <w:lang w:eastAsia="zh-CN"/>
              </w:rPr>
              <w:t>。</w:t>
            </w:r>
          </w:p>
        </w:tc>
        <w:tc>
          <w:tcPr>
            <w:tcW w:w="237" w:type="pct"/>
            <w:tcBorders>
              <w:top w:val="single" w:color="auto" w:sz="4" w:space="0"/>
              <w:bottom w:val="single" w:color="auto" w:sz="4" w:space="0"/>
            </w:tcBorders>
            <w:noWrap w:val="0"/>
            <w:vAlign w:val="center"/>
          </w:tcPr>
          <w:p w14:paraId="6F465A25">
            <w:pPr>
              <w:jc w:val="center"/>
              <w:rPr>
                <w:b w:val="0"/>
                <w:bCs w:val="0"/>
                <w:sz w:val="21"/>
                <w:szCs w:val="21"/>
              </w:rPr>
            </w:pPr>
            <w:r>
              <w:rPr>
                <w:b w:val="0"/>
                <w:bCs w:val="0"/>
                <w:sz w:val="21"/>
                <w:szCs w:val="21"/>
              </w:rPr>
              <w:t>相符</w:t>
            </w:r>
          </w:p>
        </w:tc>
      </w:tr>
      <w:tr w14:paraId="5E398A8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650" w:type="pct"/>
            <w:vMerge w:val="continue"/>
            <w:noWrap w:val="0"/>
            <w:vAlign w:val="center"/>
          </w:tcPr>
          <w:p w14:paraId="11C12CCC">
            <w:pPr>
              <w:jc w:val="center"/>
              <w:rPr>
                <w:b w:val="0"/>
                <w:bCs w:val="0"/>
                <w:color w:val="000000"/>
                <w:sz w:val="21"/>
                <w:szCs w:val="21"/>
              </w:rPr>
            </w:pPr>
          </w:p>
        </w:tc>
        <w:tc>
          <w:tcPr>
            <w:tcW w:w="247" w:type="pct"/>
            <w:vMerge w:val="continue"/>
            <w:noWrap w:val="0"/>
            <w:vAlign w:val="center"/>
          </w:tcPr>
          <w:p w14:paraId="5E400272">
            <w:pPr>
              <w:snapToGrid w:val="0"/>
              <w:jc w:val="center"/>
              <w:rPr>
                <w:b w:val="0"/>
                <w:bCs w:val="0"/>
                <w:color w:val="000000"/>
                <w:sz w:val="21"/>
                <w:szCs w:val="21"/>
              </w:rPr>
            </w:pPr>
          </w:p>
        </w:tc>
        <w:tc>
          <w:tcPr>
            <w:tcW w:w="122" w:type="pct"/>
            <w:vMerge w:val="continue"/>
            <w:noWrap w:val="0"/>
            <w:vAlign w:val="center"/>
          </w:tcPr>
          <w:p w14:paraId="23E7E7E8">
            <w:pPr>
              <w:jc w:val="center"/>
              <w:rPr>
                <w:b w:val="0"/>
                <w:bCs w:val="0"/>
                <w:color w:val="000000"/>
                <w:sz w:val="21"/>
                <w:szCs w:val="21"/>
              </w:rPr>
            </w:pPr>
          </w:p>
        </w:tc>
        <w:tc>
          <w:tcPr>
            <w:tcW w:w="150" w:type="pct"/>
            <w:vMerge w:val="continue"/>
            <w:noWrap w:val="0"/>
            <w:vAlign w:val="center"/>
          </w:tcPr>
          <w:p w14:paraId="1DBD1EAB">
            <w:pPr>
              <w:jc w:val="center"/>
              <w:rPr>
                <w:b w:val="0"/>
                <w:bCs w:val="0"/>
                <w:color w:val="000000"/>
                <w:sz w:val="21"/>
                <w:szCs w:val="21"/>
              </w:rPr>
            </w:pPr>
          </w:p>
        </w:tc>
        <w:tc>
          <w:tcPr>
            <w:tcW w:w="150" w:type="pct"/>
            <w:vMerge w:val="continue"/>
            <w:noWrap w:val="0"/>
            <w:vAlign w:val="center"/>
          </w:tcPr>
          <w:p w14:paraId="6C6A0A84">
            <w:pPr>
              <w:jc w:val="center"/>
              <w:rPr>
                <w:b w:val="0"/>
                <w:bCs w:val="0"/>
                <w:color w:val="000000"/>
                <w:sz w:val="21"/>
                <w:szCs w:val="21"/>
              </w:rPr>
            </w:pPr>
          </w:p>
        </w:tc>
        <w:tc>
          <w:tcPr>
            <w:tcW w:w="164" w:type="pct"/>
            <w:vMerge w:val="continue"/>
            <w:noWrap w:val="0"/>
            <w:vAlign w:val="center"/>
          </w:tcPr>
          <w:p w14:paraId="09157877">
            <w:pPr>
              <w:jc w:val="center"/>
              <w:rPr>
                <w:b w:val="0"/>
                <w:bCs w:val="0"/>
                <w:color w:val="000000"/>
                <w:sz w:val="21"/>
                <w:szCs w:val="21"/>
              </w:rPr>
            </w:pPr>
          </w:p>
        </w:tc>
        <w:tc>
          <w:tcPr>
            <w:tcW w:w="254" w:type="pct"/>
            <w:vMerge w:val="continue"/>
            <w:noWrap w:val="0"/>
            <w:vAlign w:val="center"/>
          </w:tcPr>
          <w:p w14:paraId="0FFA0729">
            <w:pPr>
              <w:jc w:val="center"/>
              <w:rPr>
                <w:b w:val="0"/>
                <w:bCs w:val="0"/>
                <w:color w:val="000000"/>
                <w:sz w:val="21"/>
                <w:szCs w:val="21"/>
              </w:rPr>
            </w:pPr>
          </w:p>
        </w:tc>
        <w:tc>
          <w:tcPr>
            <w:tcW w:w="224" w:type="pct"/>
            <w:tcBorders>
              <w:top w:val="single" w:color="auto" w:sz="4" w:space="0"/>
              <w:bottom w:val="single" w:color="auto" w:sz="4" w:space="0"/>
            </w:tcBorders>
            <w:noWrap w:val="0"/>
            <w:vAlign w:val="center"/>
          </w:tcPr>
          <w:p w14:paraId="05FBB9BF">
            <w:pPr>
              <w:pStyle w:val="46"/>
              <w:jc w:val="center"/>
              <w:rPr>
                <w:b w:val="0"/>
                <w:bCs w:val="0"/>
                <w:sz w:val="21"/>
                <w:szCs w:val="21"/>
              </w:rPr>
            </w:pPr>
            <w:r>
              <w:rPr>
                <w:b w:val="0"/>
                <w:bCs w:val="0"/>
                <w:sz w:val="21"/>
                <w:szCs w:val="21"/>
              </w:rPr>
              <w:t>污染物排放管控</w:t>
            </w:r>
          </w:p>
        </w:tc>
        <w:tc>
          <w:tcPr>
            <w:tcW w:w="1686" w:type="pct"/>
            <w:tcBorders>
              <w:top w:val="single" w:color="auto" w:sz="4" w:space="0"/>
              <w:bottom w:val="single" w:color="auto" w:sz="4" w:space="0"/>
            </w:tcBorders>
            <w:noWrap w:val="0"/>
            <w:vAlign w:val="center"/>
          </w:tcPr>
          <w:p w14:paraId="68151E0A">
            <w:pPr>
              <w:pStyle w:val="45"/>
              <w:rPr>
                <w:rFonts w:ascii="Times New Roman" w:hAnsi="Times New Roman" w:cs="Times New Roman"/>
                <w:b w:val="0"/>
                <w:bCs w:val="0"/>
                <w:spacing w:val="-4"/>
                <w:sz w:val="21"/>
                <w:szCs w:val="21"/>
                <w:lang w:eastAsia="zh-CN"/>
              </w:rPr>
            </w:pPr>
            <w:r>
              <w:rPr>
                <w:rFonts w:hint="eastAsia" w:ascii="Times New Roman" w:hAnsi="Times New Roman" w:cs="Times New Roman"/>
                <w:b w:val="0"/>
                <w:bCs w:val="0"/>
                <w:spacing w:val="-4"/>
                <w:sz w:val="21"/>
                <w:szCs w:val="21"/>
                <w:lang w:val="en-US" w:eastAsia="zh-CN"/>
              </w:rPr>
              <w:t>实施轻型车国六b排放标准和重型车国六排放标准全面实施非道路柴油移动机械第四阶段排放标准、船舶国二排放标准。淘汰20万辆以上国四及以下排放标准柴油货车和采用稀薄燃烧技术的燃气货车。推动氢燃料电池汽车示范应用，推广新能源汽车和非道路移动机械。推进公共领域车辆新能源化。实施清洁柴油车（机）行动，基本淘汰国三及以下排放标准汽车，基本消除未登记或冒黑烟工程机械。</w:t>
            </w:r>
          </w:p>
        </w:tc>
        <w:tc>
          <w:tcPr>
            <w:tcW w:w="1112" w:type="pct"/>
            <w:tcBorders>
              <w:top w:val="single" w:color="auto" w:sz="4" w:space="0"/>
              <w:bottom w:val="single" w:color="auto" w:sz="4" w:space="0"/>
            </w:tcBorders>
            <w:noWrap w:val="0"/>
            <w:vAlign w:val="center"/>
          </w:tcPr>
          <w:p w14:paraId="759F509E">
            <w:pPr>
              <w:snapToGrid w:val="0"/>
              <w:rPr>
                <w:b w:val="0"/>
                <w:bCs w:val="0"/>
                <w:sz w:val="21"/>
                <w:szCs w:val="21"/>
              </w:rPr>
            </w:pPr>
            <w:r>
              <w:rPr>
                <w:rFonts w:hint="eastAsia"/>
                <w:b w:val="0"/>
                <w:bCs w:val="0"/>
                <w:sz w:val="21"/>
                <w:szCs w:val="21"/>
                <w:lang w:val="en-US" w:eastAsia="zh-CN"/>
              </w:rPr>
              <w:t>本项目产品及原料运输车辆使用实施轻型车国六</w:t>
            </w:r>
            <w:r>
              <w:rPr>
                <w:rFonts w:hint="default"/>
                <w:b w:val="0"/>
                <w:bCs w:val="0"/>
                <w:sz w:val="21"/>
                <w:szCs w:val="21"/>
                <w:lang w:val="en-US" w:eastAsia="zh-CN"/>
              </w:rPr>
              <w:t>b</w:t>
            </w:r>
            <w:r>
              <w:rPr>
                <w:rFonts w:hint="eastAsia"/>
                <w:b w:val="0"/>
                <w:bCs w:val="0"/>
                <w:sz w:val="21"/>
                <w:szCs w:val="21"/>
                <w:lang w:val="en-US" w:eastAsia="zh-CN"/>
              </w:rPr>
              <w:t>排放标准和重型车国六排放标准，推广使用新能源汽车。禁止使用国四及以下排放标准柴油货车和采用稀薄燃烧技术的燃气货车。</w:t>
            </w:r>
          </w:p>
        </w:tc>
        <w:tc>
          <w:tcPr>
            <w:tcW w:w="237" w:type="pct"/>
            <w:tcBorders>
              <w:top w:val="single" w:color="auto" w:sz="4" w:space="0"/>
              <w:bottom w:val="single" w:color="auto" w:sz="4" w:space="0"/>
            </w:tcBorders>
            <w:noWrap w:val="0"/>
            <w:vAlign w:val="center"/>
          </w:tcPr>
          <w:p w14:paraId="22048A3C">
            <w:pPr>
              <w:jc w:val="center"/>
              <w:rPr>
                <w:b w:val="0"/>
                <w:bCs w:val="0"/>
                <w:sz w:val="21"/>
                <w:szCs w:val="21"/>
              </w:rPr>
            </w:pPr>
            <w:r>
              <w:rPr>
                <w:b w:val="0"/>
                <w:bCs w:val="0"/>
                <w:sz w:val="21"/>
                <w:szCs w:val="21"/>
              </w:rPr>
              <w:t>相符</w:t>
            </w:r>
          </w:p>
        </w:tc>
      </w:tr>
      <w:tr w14:paraId="57DBEFB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650" w:type="pct"/>
            <w:vMerge w:val="continue"/>
            <w:noWrap w:val="0"/>
            <w:vAlign w:val="center"/>
          </w:tcPr>
          <w:p w14:paraId="1A91BF34">
            <w:pPr>
              <w:jc w:val="center"/>
              <w:rPr>
                <w:b w:val="0"/>
                <w:bCs w:val="0"/>
                <w:color w:val="000000"/>
                <w:sz w:val="21"/>
                <w:szCs w:val="21"/>
              </w:rPr>
            </w:pPr>
          </w:p>
        </w:tc>
        <w:tc>
          <w:tcPr>
            <w:tcW w:w="247" w:type="pct"/>
            <w:vMerge w:val="continue"/>
            <w:noWrap w:val="0"/>
            <w:vAlign w:val="center"/>
          </w:tcPr>
          <w:p w14:paraId="44F691C7">
            <w:pPr>
              <w:snapToGrid w:val="0"/>
              <w:jc w:val="center"/>
              <w:rPr>
                <w:b w:val="0"/>
                <w:bCs w:val="0"/>
                <w:color w:val="000000"/>
                <w:sz w:val="21"/>
                <w:szCs w:val="21"/>
              </w:rPr>
            </w:pPr>
          </w:p>
        </w:tc>
        <w:tc>
          <w:tcPr>
            <w:tcW w:w="122" w:type="pct"/>
            <w:vMerge w:val="continue"/>
            <w:noWrap w:val="0"/>
            <w:vAlign w:val="center"/>
          </w:tcPr>
          <w:p w14:paraId="3F784BA8">
            <w:pPr>
              <w:jc w:val="center"/>
              <w:rPr>
                <w:b w:val="0"/>
                <w:bCs w:val="0"/>
                <w:color w:val="000000"/>
                <w:sz w:val="21"/>
                <w:szCs w:val="21"/>
              </w:rPr>
            </w:pPr>
          </w:p>
        </w:tc>
        <w:tc>
          <w:tcPr>
            <w:tcW w:w="150" w:type="pct"/>
            <w:vMerge w:val="continue"/>
            <w:noWrap w:val="0"/>
            <w:vAlign w:val="center"/>
          </w:tcPr>
          <w:p w14:paraId="64D1A7E6">
            <w:pPr>
              <w:jc w:val="center"/>
              <w:rPr>
                <w:b w:val="0"/>
                <w:bCs w:val="0"/>
                <w:color w:val="000000"/>
                <w:sz w:val="21"/>
                <w:szCs w:val="21"/>
              </w:rPr>
            </w:pPr>
          </w:p>
        </w:tc>
        <w:tc>
          <w:tcPr>
            <w:tcW w:w="150" w:type="pct"/>
            <w:vMerge w:val="continue"/>
            <w:noWrap w:val="0"/>
            <w:vAlign w:val="center"/>
          </w:tcPr>
          <w:p w14:paraId="1AAD6456">
            <w:pPr>
              <w:jc w:val="center"/>
              <w:rPr>
                <w:b w:val="0"/>
                <w:bCs w:val="0"/>
                <w:color w:val="000000"/>
                <w:sz w:val="21"/>
                <w:szCs w:val="21"/>
              </w:rPr>
            </w:pPr>
          </w:p>
        </w:tc>
        <w:tc>
          <w:tcPr>
            <w:tcW w:w="164" w:type="pct"/>
            <w:vMerge w:val="continue"/>
            <w:noWrap w:val="0"/>
            <w:vAlign w:val="center"/>
          </w:tcPr>
          <w:p w14:paraId="0021F1FE">
            <w:pPr>
              <w:jc w:val="center"/>
              <w:rPr>
                <w:b w:val="0"/>
                <w:bCs w:val="0"/>
                <w:color w:val="000000"/>
                <w:sz w:val="21"/>
                <w:szCs w:val="21"/>
              </w:rPr>
            </w:pPr>
          </w:p>
        </w:tc>
        <w:tc>
          <w:tcPr>
            <w:tcW w:w="254" w:type="pct"/>
            <w:vMerge w:val="continue"/>
            <w:noWrap w:val="0"/>
            <w:vAlign w:val="center"/>
          </w:tcPr>
          <w:p w14:paraId="44B9BBA5">
            <w:pPr>
              <w:jc w:val="center"/>
              <w:rPr>
                <w:b w:val="0"/>
                <w:bCs w:val="0"/>
                <w:color w:val="000000"/>
                <w:sz w:val="21"/>
                <w:szCs w:val="21"/>
              </w:rPr>
            </w:pPr>
          </w:p>
        </w:tc>
        <w:tc>
          <w:tcPr>
            <w:tcW w:w="224" w:type="pct"/>
            <w:tcBorders>
              <w:top w:val="single" w:color="auto" w:sz="4" w:space="0"/>
              <w:bottom w:val="single" w:color="auto" w:sz="4" w:space="0"/>
            </w:tcBorders>
            <w:noWrap w:val="0"/>
            <w:vAlign w:val="center"/>
          </w:tcPr>
          <w:p w14:paraId="6F8485E6">
            <w:pPr>
              <w:pStyle w:val="46"/>
              <w:jc w:val="center"/>
              <w:rPr>
                <w:rFonts w:ascii="Times New Roman" w:hAnsi="Times New Roman"/>
                <w:b w:val="0"/>
                <w:bCs w:val="0"/>
                <w:sz w:val="21"/>
                <w:szCs w:val="21"/>
              </w:rPr>
            </w:pPr>
            <w:r>
              <w:rPr>
                <w:rFonts w:hint="eastAsia" w:ascii="Times New Roman" w:hAnsi="Times New Roman"/>
                <w:b w:val="0"/>
                <w:bCs w:val="0"/>
                <w:sz w:val="21"/>
                <w:szCs w:val="21"/>
              </w:rPr>
              <w:t>环境风险防控</w:t>
            </w:r>
          </w:p>
        </w:tc>
        <w:tc>
          <w:tcPr>
            <w:tcW w:w="1686" w:type="pct"/>
            <w:tcBorders>
              <w:top w:val="single" w:color="auto" w:sz="4" w:space="0"/>
              <w:bottom w:val="single" w:color="auto" w:sz="4" w:space="0"/>
            </w:tcBorders>
            <w:noWrap w:val="0"/>
            <w:vAlign w:val="center"/>
          </w:tcPr>
          <w:p w14:paraId="0B966F9F">
            <w:pPr>
              <w:pStyle w:val="45"/>
              <w:jc w:val="center"/>
              <w:rPr>
                <w:rFonts w:ascii="Times New Roman" w:hAnsi="Times New Roman" w:cs="Times New Roman"/>
                <w:b w:val="0"/>
                <w:bCs w:val="0"/>
                <w:spacing w:val="-4"/>
                <w:sz w:val="21"/>
                <w:szCs w:val="21"/>
                <w:lang w:eastAsia="zh-CN"/>
              </w:rPr>
            </w:pPr>
            <w:r>
              <w:rPr>
                <w:rFonts w:ascii="Times New Roman" w:hAnsi="Times New Roman" w:cs="Times New Roman"/>
                <w:b w:val="0"/>
                <w:bCs w:val="0"/>
                <w:spacing w:val="-4"/>
                <w:sz w:val="21"/>
                <w:szCs w:val="21"/>
                <w:lang w:eastAsia="zh-CN"/>
              </w:rPr>
              <w:t>/</w:t>
            </w:r>
          </w:p>
        </w:tc>
        <w:tc>
          <w:tcPr>
            <w:tcW w:w="1112" w:type="pct"/>
            <w:tcBorders>
              <w:top w:val="single" w:color="auto" w:sz="4" w:space="0"/>
              <w:bottom w:val="single" w:color="auto" w:sz="4" w:space="0"/>
            </w:tcBorders>
            <w:noWrap w:val="0"/>
            <w:vAlign w:val="center"/>
          </w:tcPr>
          <w:p w14:paraId="373D88E1">
            <w:pPr>
              <w:snapToGrid w:val="0"/>
              <w:jc w:val="center"/>
              <w:rPr>
                <w:b w:val="0"/>
                <w:bCs w:val="0"/>
                <w:sz w:val="21"/>
                <w:szCs w:val="21"/>
              </w:rPr>
            </w:pPr>
            <w:r>
              <w:rPr>
                <w:b w:val="0"/>
                <w:bCs w:val="0"/>
                <w:sz w:val="21"/>
                <w:szCs w:val="21"/>
              </w:rPr>
              <w:t>/</w:t>
            </w:r>
          </w:p>
        </w:tc>
        <w:tc>
          <w:tcPr>
            <w:tcW w:w="237" w:type="pct"/>
            <w:tcBorders>
              <w:top w:val="single" w:color="auto" w:sz="4" w:space="0"/>
              <w:bottom w:val="single" w:color="auto" w:sz="4" w:space="0"/>
            </w:tcBorders>
            <w:noWrap w:val="0"/>
            <w:vAlign w:val="center"/>
          </w:tcPr>
          <w:p w14:paraId="0B08559A">
            <w:pPr>
              <w:snapToGrid w:val="0"/>
              <w:jc w:val="center"/>
              <w:rPr>
                <w:b w:val="0"/>
                <w:bCs w:val="0"/>
                <w:sz w:val="21"/>
                <w:szCs w:val="21"/>
              </w:rPr>
            </w:pPr>
            <w:r>
              <w:rPr>
                <w:b w:val="0"/>
                <w:bCs w:val="0"/>
                <w:sz w:val="21"/>
                <w:szCs w:val="21"/>
              </w:rPr>
              <w:t>/</w:t>
            </w:r>
          </w:p>
        </w:tc>
      </w:tr>
      <w:tr w14:paraId="7B723DE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650" w:type="pct"/>
            <w:vMerge w:val="continue"/>
            <w:noWrap w:val="0"/>
            <w:vAlign w:val="top"/>
          </w:tcPr>
          <w:p w14:paraId="021550DA">
            <w:pPr>
              <w:jc w:val="center"/>
              <w:rPr>
                <w:b w:val="0"/>
                <w:bCs w:val="0"/>
                <w:color w:val="000000"/>
                <w:sz w:val="21"/>
                <w:szCs w:val="21"/>
              </w:rPr>
            </w:pPr>
          </w:p>
        </w:tc>
        <w:tc>
          <w:tcPr>
            <w:tcW w:w="247" w:type="pct"/>
            <w:vMerge w:val="continue"/>
            <w:noWrap w:val="0"/>
            <w:vAlign w:val="top"/>
          </w:tcPr>
          <w:p w14:paraId="51732854">
            <w:pPr>
              <w:jc w:val="center"/>
              <w:rPr>
                <w:b w:val="0"/>
                <w:bCs w:val="0"/>
                <w:color w:val="000000"/>
                <w:sz w:val="21"/>
                <w:szCs w:val="21"/>
              </w:rPr>
            </w:pPr>
          </w:p>
        </w:tc>
        <w:tc>
          <w:tcPr>
            <w:tcW w:w="122" w:type="pct"/>
            <w:vMerge w:val="continue"/>
            <w:noWrap w:val="0"/>
            <w:vAlign w:val="top"/>
          </w:tcPr>
          <w:p w14:paraId="2A36D986">
            <w:pPr>
              <w:jc w:val="center"/>
              <w:rPr>
                <w:b w:val="0"/>
                <w:bCs w:val="0"/>
                <w:color w:val="000000"/>
                <w:sz w:val="21"/>
                <w:szCs w:val="21"/>
              </w:rPr>
            </w:pPr>
          </w:p>
        </w:tc>
        <w:tc>
          <w:tcPr>
            <w:tcW w:w="150" w:type="pct"/>
            <w:vMerge w:val="continue"/>
            <w:noWrap w:val="0"/>
            <w:vAlign w:val="top"/>
          </w:tcPr>
          <w:p w14:paraId="593F6849">
            <w:pPr>
              <w:jc w:val="center"/>
              <w:rPr>
                <w:b w:val="0"/>
                <w:bCs w:val="0"/>
                <w:color w:val="000000"/>
                <w:sz w:val="21"/>
                <w:szCs w:val="21"/>
              </w:rPr>
            </w:pPr>
          </w:p>
        </w:tc>
        <w:tc>
          <w:tcPr>
            <w:tcW w:w="150" w:type="pct"/>
            <w:vMerge w:val="continue"/>
            <w:noWrap w:val="0"/>
            <w:vAlign w:val="top"/>
          </w:tcPr>
          <w:p w14:paraId="26752F7B">
            <w:pPr>
              <w:jc w:val="center"/>
              <w:rPr>
                <w:b w:val="0"/>
                <w:bCs w:val="0"/>
                <w:color w:val="000000"/>
                <w:sz w:val="21"/>
                <w:szCs w:val="21"/>
              </w:rPr>
            </w:pPr>
          </w:p>
        </w:tc>
        <w:tc>
          <w:tcPr>
            <w:tcW w:w="164" w:type="pct"/>
            <w:vMerge w:val="continue"/>
            <w:noWrap w:val="0"/>
            <w:vAlign w:val="top"/>
          </w:tcPr>
          <w:p w14:paraId="4B821615">
            <w:pPr>
              <w:jc w:val="center"/>
              <w:rPr>
                <w:b w:val="0"/>
                <w:bCs w:val="0"/>
                <w:color w:val="000000"/>
                <w:sz w:val="21"/>
                <w:szCs w:val="21"/>
              </w:rPr>
            </w:pPr>
          </w:p>
        </w:tc>
        <w:tc>
          <w:tcPr>
            <w:tcW w:w="254" w:type="pct"/>
            <w:vMerge w:val="continue"/>
            <w:noWrap w:val="0"/>
            <w:vAlign w:val="top"/>
          </w:tcPr>
          <w:p w14:paraId="10177C8F">
            <w:pPr>
              <w:jc w:val="center"/>
              <w:rPr>
                <w:b w:val="0"/>
                <w:bCs w:val="0"/>
                <w:color w:val="000000"/>
                <w:sz w:val="21"/>
                <w:szCs w:val="21"/>
              </w:rPr>
            </w:pPr>
          </w:p>
        </w:tc>
        <w:tc>
          <w:tcPr>
            <w:tcW w:w="224" w:type="pct"/>
            <w:tcBorders>
              <w:top w:val="single" w:color="auto" w:sz="4" w:space="0"/>
              <w:bottom w:val="single" w:color="auto" w:sz="4" w:space="0"/>
            </w:tcBorders>
            <w:noWrap w:val="0"/>
            <w:vAlign w:val="center"/>
          </w:tcPr>
          <w:p w14:paraId="574545A2">
            <w:pPr>
              <w:pStyle w:val="36"/>
              <w:bidi w:val="0"/>
              <w:rPr>
                <w:b w:val="0"/>
                <w:bCs w:val="0"/>
                <w:sz w:val="21"/>
                <w:szCs w:val="21"/>
              </w:rPr>
            </w:pPr>
            <w:r>
              <w:rPr>
                <w:rFonts w:hint="eastAsia"/>
                <w:b w:val="0"/>
                <w:bCs w:val="0"/>
                <w:sz w:val="21"/>
                <w:szCs w:val="21"/>
              </w:rPr>
              <w:t>资源开发效率要求</w:t>
            </w:r>
          </w:p>
        </w:tc>
        <w:tc>
          <w:tcPr>
            <w:tcW w:w="1686" w:type="pct"/>
            <w:tcBorders>
              <w:top w:val="single" w:color="auto" w:sz="4" w:space="0"/>
              <w:bottom w:val="single" w:color="auto" w:sz="4" w:space="0"/>
            </w:tcBorders>
            <w:noWrap w:val="0"/>
            <w:vAlign w:val="center"/>
          </w:tcPr>
          <w:p w14:paraId="49B567E1">
            <w:pPr>
              <w:pStyle w:val="45"/>
              <w:jc w:val="center"/>
              <w:rPr>
                <w:rFonts w:ascii="Times New Roman" w:hAnsi="Times New Roman" w:cs="Times New Roman"/>
                <w:b w:val="0"/>
                <w:bCs w:val="0"/>
                <w:spacing w:val="-4"/>
                <w:sz w:val="21"/>
                <w:szCs w:val="21"/>
                <w:lang w:eastAsia="zh-CN"/>
              </w:rPr>
            </w:pPr>
            <w:r>
              <w:rPr>
                <w:rFonts w:ascii="Times New Roman" w:hAnsi="Times New Roman" w:cs="Times New Roman"/>
                <w:b w:val="0"/>
                <w:bCs w:val="0"/>
                <w:spacing w:val="-4"/>
                <w:sz w:val="21"/>
                <w:szCs w:val="21"/>
                <w:lang w:eastAsia="zh-CN"/>
              </w:rPr>
              <w:t>/</w:t>
            </w:r>
          </w:p>
        </w:tc>
        <w:tc>
          <w:tcPr>
            <w:tcW w:w="1112" w:type="pct"/>
            <w:tcBorders>
              <w:top w:val="single" w:color="auto" w:sz="4" w:space="0"/>
              <w:bottom w:val="single" w:color="auto" w:sz="4" w:space="0"/>
            </w:tcBorders>
            <w:noWrap w:val="0"/>
            <w:vAlign w:val="center"/>
          </w:tcPr>
          <w:p w14:paraId="32224396">
            <w:pPr>
              <w:snapToGrid w:val="0"/>
              <w:jc w:val="center"/>
              <w:rPr>
                <w:b w:val="0"/>
                <w:bCs w:val="0"/>
                <w:sz w:val="21"/>
                <w:szCs w:val="21"/>
              </w:rPr>
            </w:pPr>
            <w:r>
              <w:rPr>
                <w:b w:val="0"/>
                <w:bCs w:val="0"/>
                <w:sz w:val="21"/>
                <w:szCs w:val="21"/>
              </w:rPr>
              <w:t>/</w:t>
            </w:r>
          </w:p>
        </w:tc>
        <w:tc>
          <w:tcPr>
            <w:tcW w:w="237" w:type="pct"/>
            <w:tcBorders>
              <w:top w:val="single" w:color="auto" w:sz="4" w:space="0"/>
              <w:bottom w:val="single" w:color="auto" w:sz="4" w:space="0"/>
            </w:tcBorders>
            <w:noWrap w:val="0"/>
            <w:vAlign w:val="center"/>
          </w:tcPr>
          <w:p w14:paraId="5605F5D4">
            <w:pPr>
              <w:snapToGrid w:val="0"/>
              <w:jc w:val="center"/>
              <w:rPr>
                <w:b w:val="0"/>
                <w:bCs w:val="0"/>
                <w:sz w:val="21"/>
                <w:szCs w:val="21"/>
              </w:rPr>
            </w:pPr>
            <w:r>
              <w:rPr>
                <w:b w:val="0"/>
                <w:bCs w:val="0"/>
                <w:sz w:val="21"/>
                <w:szCs w:val="21"/>
              </w:rPr>
              <w:t>/</w:t>
            </w:r>
          </w:p>
        </w:tc>
      </w:tr>
    </w:tbl>
    <w:p w14:paraId="4CA4A9BC">
      <w:pPr>
        <w:spacing w:line="360" w:lineRule="auto"/>
        <w:ind w:firstLine="480" w:firstLineChars="200"/>
      </w:pPr>
      <w:r>
        <w:rPr>
          <w:sz w:val="24"/>
        </w:rPr>
        <w:t>综上所述，项目建设符合</w:t>
      </w:r>
      <w:r>
        <w:rPr>
          <w:rFonts w:hint="eastAsia"/>
          <w:sz w:val="24"/>
          <w:lang w:eastAsia="zh-CN"/>
        </w:rPr>
        <w:t>“</w:t>
      </w:r>
      <w:r>
        <w:rPr>
          <w:sz w:val="24"/>
        </w:rPr>
        <w:t>三线一单</w:t>
      </w:r>
      <w:r>
        <w:rPr>
          <w:rFonts w:hint="eastAsia"/>
          <w:sz w:val="24"/>
          <w:lang w:eastAsia="zh-CN"/>
        </w:rPr>
        <w:t>”</w:t>
      </w:r>
      <w:r>
        <w:rPr>
          <w:sz w:val="24"/>
        </w:rPr>
        <w:t>分区管控要求。</w:t>
      </w:r>
    </w:p>
    <w:p w14:paraId="08D3B1BD">
      <w:pPr>
        <w:sectPr>
          <w:pgSz w:w="16838" w:h="11905" w:orient="landscape"/>
          <w:pgMar w:top="1083" w:right="1440" w:bottom="1083" w:left="1440" w:header="851" w:footer="992" w:gutter="0"/>
          <w:pgNumType w:fmt="decimal"/>
          <w:cols w:space="720" w:num="1"/>
          <w:docGrid w:type="lines" w:linePitch="312" w:charSpace="0"/>
        </w:sectPr>
      </w:pPr>
    </w:p>
    <w:p w14:paraId="7915B3A0">
      <w:pPr>
        <w:pStyle w:val="27"/>
        <w:spacing w:before="0" w:beforeAutospacing="0" w:after="0" w:afterAutospacing="0" w:line="360" w:lineRule="auto"/>
        <w:jc w:val="center"/>
        <w:outlineLvl w:val="0"/>
        <w:rPr>
          <w:rFonts w:ascii="Times New Roman" w:hAnsi="Times New Roman"/>
          <w:b/>
          <w:bCs/>
          <w:snapToGrid w:val="0"/>
          <w:sz w:val="30"/>
          <w:szCs w:val="30"/>
        </w:rPr>
      </w:pPr>
      <w:bookmarkStart w:id="8" w:name="_Toc8410"/>
      <w:bookmarkStart w:id="9" w:name="_Toc28189"/>
      <w:r>
        <w:rPr>
          <w:rFonts w:ascii="Times New Roman" w:hAnsi="Times New Roman"/>
          <w:b/>
          <w:bCs/>
          <w:snapToGrid w:val="0"/>
          <w:sz w:val="30"/>
          <w:szCs w:val="30"/>
        </w:rPr>
        <w:t>二、建设项目工程分析</w:t>
      </w:r>
      <w:bookmarkEnd w:id="8"/>
      <w:bookmarkEnd w:id="9"/>
    </w:p>
    <w:tbl>
      <w:tblPr>
        <w:tblStyle w:val="29"/>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5"/>
        <w:gridCol w:w="9500"/>
      </w:tblGrid>
      <w:tr w14:paraId="7925F9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39" w:type="pct"/>
            <w:noWrap w:val="0"/>
            <w:vAlign w:val="center"/>
          </w:tcPr>
          <w:p w14:paraId="001B0F4B">
            <w:pPr>
              <w:pStyle w:val="27"/>
              <w:adjustRightInd w:val="0"/>
              <w:snapToGrid w:val="0"/>
              <w:spacing w:before="0" w:beforeAutospacing="0" w:after="0" w:afterAutospacing="0"/>
              <w:jc w:val="center"/>
              <w:rPr>
                <w:rFonts w:ascii="Times New Roman" w:hAnsi="Times New Roman"/>
                <w:szCs w:val="24"/>
              </w:rPr>
            </w:pPr>
            <w:r>
              <w:rPr>
                <w:rFonts w:ascii="Times New Roman" w:hAnsi="Times New Roman"/>
                <w:szCs w:val="24"/>
              </w:rPr>
              <w:t>建设内容</w:t>
            </w:r>
          </w:p>
        </w:tc>
        <w:tc>
          <w:tcPr>
            <w:tcW w:w="4760" w:type="pct"/>
            <w:noWrap w:val="0"/>
            <w:vAlign w:val="top"/>
          </w:tcPr>
          <w:p w14:paraId="422217A3">
            <w:pPr>
              <w:keepNext w:val="0"/>
              <w:keepLines w:val="0"/>
              <w:pageBreakBefore w:val="0"/>
              <w:widowControl w:val="0"/>
              <w:suppressLineNumbers w:val="0"/>
              <w:tabs>
                <w:tab w:val="left" w:pos="1081"/>
              </w:tabs>
              <w:kinsoku/>
              <w:wordWrap/>
              <w:overflowPunct/>
              <w:topLinePunct w:val="0"/>
              <w:autoSpaceDE/>
              <w:autoSpaceDN/>
              <w:bidi w:val="0"/>
              <w:adjustRightInd w:val="0"/>
              <w:snapToGrid w:val="0"/>
              <w:spacing w:before="0" w:beforeAutospacing="0" w:after="0" w:afterAutospacing="0" w:line="360" w:lineRule="auto"/>
              <w:ind w:left="0" w:right="0" w:firstLine="482" w:firstLineChars="200"/>
              <w:jc w:val="left"/>
              <w:textAlignment w:val="auto"/>
              <w:rPr>
                <w:rFonts w:hint="default" w:ascii="Times New Roman" w:hAnsi="Times New Roman" w:eastAsia="宋体" w:cs="Times New Roman"/>
                <w:b/>
                <w:color w:val="auto"/>
                <w:sz w:val="24"/>
                <w:szCs w:val="24"/>
                <w:highlight w:val="none"/>
                <w:u w:val="none" w:color="auto"/>
              </w:rPr>
            </w:pPr>
            <w:r>
              <w:rPr>
                <w:rFonts w:hint="default" w:ascii="Times New Roman" w:hAnsi="Times New Roman" w:eastAsia="宋体" w:cs="Times New Roman"/>
                <w:b/>
                <w:color w:val="auto"/>
                <w:sz w:val="24"/>
                <w:szCs w:val="24"/>
                <w:highlight w:val="none"/>
                <w:u w:val="none" w:color="auto"/>
              </w:rPr>
              <w:t>1、项目由来</w:t>
            </w:r>
          </w:p>
          <w:p w14:paraId="31E5DB8C">
            <w:pPr>
              <w:keepNext w:val="0"/>
              <w:keepLines w:val="0"/>
              <w:pageBreakBefore w:val="0"/>
              <w:widowControl w:val="0"/>
              <w:suppressLineNumbers w:val="0"/>
              <w:tabs>
                <w:tab w:val="left" w:pos="1081"/>
              </w:tabs>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left"/>
              <w:textAlignment w:val="auto"/>
              <w:rPr>
                <w:rFonts w:hint="default" w:ascii="Times New Roman" w:hAnsi="Times New Roman" w:cs="Times New Roman"/>
                <w:color w:val="auto"/>
                <w:sz w:val="24"/>
                <w:szCs w:val="24"/>
                <w:highlight w:val="yellow"/>
                <w:u w:val="none"/>
                <w:lang w:val="en-US" w:eastAsia="zh-CN"/>
              </w:rPr>
            </w:pPr>
            <w:r>
              <w:rPr>
                <w:rFonts w:hint="default" w:ascii="Times New Roman" w:hAnsi="Times New Roman" w:cs="Times New Roman"/>
                <w:color w:val="auto"/>
                <w:sz w:val="24"/>
                <w:szCs w:val="24"/>
                <w:u w:val="none"/>
              </w:rPr>
              <w:t>基于良好的市场前景，</w:t>
            </w:r>
            <w:r>
              <w:rPr>
                <w:rFonts w:hint="default" w:ascii="Times New Roman" w:hAnsi="Times New Roman" w:cs="Times New Roman"/>
                <w:color w:val="000000"/>
                <w:sz w:val="24"/>
                <w:lang w:eastAsia="zh-CN"/>
              </w:rPr>
              <w:t>河南星能智源能源有限公司</w:t>
            </w:r>
            <w:r>
              <w:rPr>
                <w:rFonts w:hint="default" w:ascii="Times New Roman" w:hAnsi="Times New Roman" w:cs="Times New Roman"/>
                <w:color w:val="auto"/>
                <w:sz w:val="24"/>
                <w:szCs w:val="24"/>
                <w:u w:val="none"/>
              </w:rPr>
              <w:t>拟投资</w:t>
            </w:r>
            <w:r>
              <w:rPr>
                <w:rFonts w:hint="default" w:ascii="Times New Roman" w:hAnsi="Times New Roman" w:cs="Times New Roman"/>
                <w:color w:val="auto"/>
                <w:sz w:val="24"/>
                <w:szCs w:val="24"/>
                <w:u w:val="none"/>
                <w:lang w:val="en-US" w:eastAsia="zh-CN"/>
              </w:rPr>
              <w:t>600</w:t>
            </w:r>
            <w:r>
              <w:rPr>
                <w:rFonts w:hint="default" w:ascii="Times New Roman" w:hAnsi="Times New Roman" w:cs="Times New Roman"/>
                <w:color w:val="auto"/>
                <w:sz w:val="24"/>
                <w:szCs w:val="24"/>
                <w:u w:val="none"/>
              </w:rPr>
              <w:t>万元在南阳市方城县四里店镇小店村何家庄</w:t>
            </w:r>
            <w:r>
              <w:rPr>
                <w:rFonts w:hint="default" w:ascii="Times New Roman" w:hAnsi="Times New Roman" w:cs="Times New Roman"/>
                <w:color w:val="auto"/>
                <w:sz w:val="24"/>
                <w:szCs w:val="24"/>
                <w:u w:val="none"/>
                <w:lang w:val="en-US" w:eastAsia="zh-CN"/>
              </w:rPr>
              <w:t>建设年产3000吨机制炭生产线及年产500t生物质颗粒生产线。其中</w:t>
            </w:r>
            <w:r>
              <w:rPr>
                <w:rFonts w:hint="default" w:ascii="Times New Roman" w:hAnsi="Times New Roman" w:cs="Times New Roman"/>
                <w:color w:val="auto"/>
                <w:sz w:val="24"/>
                <w:szCs w:val="24"/>
                <w:highlight w:val="none"/>
                <w:u w:val="none"/>
                <w:lang w:val="en-US" w:eastAsia="zh-CN"/>
              </w:rPr>
              <w:t>①机制炭生产线：主要以外购废木材、小薪材等为原料，建设年产3000吨机制炭生产线，主要生产工艺：原料-破碎-筛分-烘干-制棒-碳化-切割-成品。主要生产设备有粉碎机、筛分机、烘干机、制棒机、炭化炉等。②生物质颗粒生产线：主要以外购花生壳、秸秆等生物质为原料，建设年产500t生物质颗粒生产线，主要生产工艺:原料-破碎-筛分-造粒-成品。主要生产设备有破碎机、筛分机、造粒机等。</w:t>
            </w:r>
          </w:p>
          <w:p w14:paraId="54966705">
            <w:pPr>
              <w:keepNext w:val="0"/>
              <w:keepLines w:val="0"/>
              <w:pageBreakBefore w:val="0"/>
              <w:widowControl w:val="0"/>
              <w:suppressLineNumbers w:val="0"/>
              <w:tabs>
                <w:tab w:val="left" w:pos="1081"/>
              </w:tabs>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default" w:ascii="Times New Roman" w:hAnsi="Times New Roman" w:cs="Times New Roman"/>
                <w:color w:val="000000" w:themeColor="text1"/>
                <w:sz w:val="24"/>
                <w:szCs w:val="24"/>
                <w:highlight w:val="yellow"/>
                <w:lang w:val="en-US" w:eastAsia="zh-CN"/>
                <w14:textFill>
                  <w14:solidFill>
                    <w14:schemeClr w14:val="tx1"/>
                  </w14:solidFill>
                </w14:textFill>
              </w:rPr>
            </w:pPr>
            <w:r>
              <w:rPr>
                <w:rFonts w:hint="default" w:ascii="Times New Roman" w:hAnsi="Times New Roman" w:eastAsia="宋体" w:cs="Times New Roman"/>
                <w:b w:val="0"/>
                <w:bCs w:val="0"/>
                <w:color w:val="auto"/>
                <w:sz w:val="24"/>
                <w:szCs w:val="24"/>
                <w:highlight w:val="none"/>
                <w:u w:val="none" w:color="auto"/>
                <w:lang w:val="en-US" w:eastAsia="zh-CN"/>
              </w:rPr>
              <w:t>按照《中华人民共和国环境保护法》《中华人民共和国环境影响评价法》和《建设项目环境保护管理条例》（国务院第682号令）的规定，该项目应进行环境影响评价。依据《建设项目环境影响评价分类管理名录（2021版）》（部令第16号2021年1月1日实施）的规定，</w:t>
            </w:r>
            <w:r>
              <w:rPr>
                <w:rFonts w:hint="default" w:ascii="Times New Roman" w:hAnsi="Times New Roman" w:cs="Times New Roman"/>
                <w:b w:val="0"/>
                <w:bCs w:val="0"/>
                <w:color w:val="auto"/>
                <w:sz w:val="24"/>
                <w:szCs w:val="24"/>
                <w:highlight w:val="none"/>
                <w:u w:val="none" w:color="auto"/>
                <w:lang w:val="en-US" w:eastAsia="zh-CN"/>
              </w:rPr>
              <w:t>①</w:t>
            </w:r>
            <w:r>
              <w:rPr>
                <w:rFonts w:hint="default" w:ascii="Times New Roman" w:hAnsi="Times New Roman" w:eastAsia="宋体" w:cs="Times New Roman"/>
                <w:b w:val="0"/>
                <w:bCs/>
                <w:color w:val="auto"/>
                <w:sz w:val="24"/>
                <w:szCs w:val="24"/>
                <w:highlight w:val="none"/>
                <w:u w:val="none" w:color="auto"/>
              </w:rPr>
              <w:t>本项目</w:t>
            </w:r>
            <w:r>
              <w:rPr>
                <w:rFonts w:hint="default" w:ascii="Times New Roman" w:hAnsi="Times New Roman" w:cs="Times New Roman"/>
                <w:b w:val="0"/>
                <w:bCs/>
                <w:color w:val="auto"/>
                <w:sz w:val="24"/>
                <w:szCs w:val="24"/>
                <w:highlight w:val="none"/>
                <w:u w:val="none" w:color="auto"/>
                <w:lang w:val="en-US" w:eastAsia="zh-CN"/>
              </w:rPr>
              <w:t>生物质颗粒</w:t>
            </w:r>
            <w:r>
              <w:rPr>
                <w:rFonts w:hint="default" w:ascii="Times New Roman" w:hAnsi="Times New Roman" w:cs="Times New Roman"/>
                <w:color w:val="auto"/>
                <w:sz w:val="24"/>
                <w:szCs w:val="24"/>
              </w:rPr>
              <w:t>属于“二十二、石油、煤炭及其他燃料加工业25”“43.生物质</w:t>
            </w:r>
            <w:r>
              <w:rPr>
                <w:rFonts w:hint="default" w:ascii="Times New Roman" w:hAnsi="Times New Roman" w:eastAsia="宋体" w:cs="Times New Roman"/>
                <w:b w:val="0"/>
                <w:bCs w:val="0"/>
                <w:color w:val="auto"/>
                <w:sz w:val="24"/>
                <w:szCs w:val="24"/>
                <w:highlight w:val="none"/>
                <w:u w:val="none" w:color="auto"/>
                <w:lang w:val="en-US" w:eastAsia="zh-CN"/>
              </w:rPr>
              <w:t>燃料</w:t>
            </w:r>
            <w:r>
              <w:rPr>
                <w:rFonts w:hint="default" w:ascii="Times New Roman" w:hAnsi="Times New Roman" w:cs="Times New Roman"/>
                <w:color w:val="auto"/>
                <w:sz w:val="24"/>
                <w:szCs w:val="24"/>
              </w:rPr>
              <w:t>加工254”中的生物质致密成型燃料加工，应编写环境影响报</w:t>
            </w:r>
            <w:r>
              <w:rPr>
                <w:rFonts w:hint="default" w:ascii="Times New Roman" w:hAnsi="Times New Roman" w:cs="Times New Roman"/>
                <w:color w:val="000000" w:themeColor="text1"/>
                <w:sz w:val="24"/>
                <w:szCs w:val="24"/>
                <w14:textFill>
                  <w14:solidFill>
                    <w14:schemeClr w14:val="tx1"/>
                  </w14:solidFill>
                </w14:textFill>
              </w:rPr>
              <w:t>告表。</w:t>
            </w:r>
            <w:r>
              <w:rPr>
                <w:rFonts w:hint="default" w:ascii="Times New Roman" w:hAnsi="Times New Roman" w:cs="Times New Roman"/>
                <w:color w:val="000000" w:themeColor="text1"/>
                <w:sz w:val="24"/>
                <w:szCs w:val="24"/>
                <w:lang w:val="en-US" w:eastAsia="zh-CN"/>
                <w14:textFill>
                  <w14:solidFill>
                    <w14:schemeClr w14:val="tx1"/>
                  </w14:solidFill>
                </w14:textFill>
              </w:rPr>
              <w:t>②机制炭：</w:t>
            </w:r>
            <w:r>
              <w:rPr>
                <w:rFonts w:hint="default" w:ascii="Times New Roman" w:hAnsi="Times New Roman" w:cs="Times New Roman"/>
                <w:color w:val="000000" w:themeColor="text1"/>
                <w:sz w:val="24"/>
                <w:szCs w:val="24"/>
                <w:highlight w:val="none"/>
                <w14:textFill>
                  <w14:solidFill>
                    <w14:schemeClr w14:val="tx1"/>
                  </w14:solidFill>
                </w14:textFill>
              </w:rPr>
              <w:t>根据生态环境部2019年1月7日回复“关于机制炭生产项目环评文件类型确定的回复”，机制炭项目按“废旧资源（含生物质）加工、再生利用”的其他类别，编制环境影响报告表</w:t>
            </w:r>
            <w:r>
              <w:rPr>
                <w:rFonts w:hint="default" w:ascii="Times New Roman" w:hAnsi="Times New Roman" w:cs="Times New Roman"/>
                <w:color w:val="000000" w:themeColor="text1"/>
                <w:sz w:val="24"/>
                <w:szCs w:val="24"/>
                <w:highlight w:val="none"/>
                <w:lang w:eastAsia="zh-CN"/>
                <w14:textFill>
                  <w14:solidFill>
                    <w14:schemeClr w14:val="tx1"/>
                  </w14:solidFill>
                </w14:textFill>
              </w:rPr>
              <w:t>。</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由于分类管理名录2021更新，因此根据</w:t>
            </w:r>
            <w:r>
              <w:rPr>
                <w:rFonts w:hint="default" w:ascii="Times New Roman" w:hAnsi="Times New Roman" w:eastAsia="宋体" w:cs="Times New Roman"/>
                <w:b w:val="0"/>
                <w:bCs w:val="0"/>
                <w:color w:val="000000" w:themeColor="text1"/>
                <w:sz w:val="24"/>
                <w:szCs w:val="24"/>
                <w:highlight w:val="none"/>
                <w:u w:val="none" w:color="auto"/>
                <w:lang w:val="en-US" w:eastAsia="zh-CN"/>
                <w14:textFill>
                  <w14:solidFill>
                    <w14:schemeClr w14:val="tx1"/>
                  </w14:solidFill>
                </w14:textFill>
              </w:rPr>
              <w:t>《建设项目环境影响评价分类管理名录（2021版）》（部令第16号2021年1月1日实施）</w:t>
            </w:r>
            <w:r>
              <w:rPr>
                <w:rFonts w:hint="default" w:ascii="Times New Roman" w:hAnsi="Times New Roman" w:cs="Times New Roman"/>
                <w:b w:val="0"/>
                <w:bCs w:val="0"/>
                <w:color w:val="000000" w:themeColor="text1"/>
                <w:sz w:val="24"/>
                <w:szCs w:val="24"/>
                <w:highlight w:val="none"/>
                <w:u w:val="none" w:color="auto"/>
                <w:lang w:val="en-US" w:eastAsia="zh-CN"/>
                <w14:textFill>
                  <w14:solidFill>
                    <w14:schemeClr w14:val="tx1"/>
                  </w14:solidFill>
                </w14:textFill>
              </w:rPr>
              <w:t>，项目</w:t>
            </w:r>
            <w:r>
              <w:rPr>
                <w:rFonts w:hint="default" w:ascii="Times New Roman" w:hAnsi="Times New Roman" w:cs="Times New Roman"/>
                <w:color w:val="000000" w:themeColor="text1"/>
                <w:sz w:val="24"/>
                <w:szCs w:val="24"/>
                <w:highlight w:val="none"/>
                <w14:textFill>
                  <w14:solidFill>
                    <w14:schemeClr w14:val="tx1"/>
                  </w14:solidFill>
                </w14:textFill>
              </w:rPr>
              <w:t>属于</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2021年版分类管理名录中</w:t>
            </w:r>
            <w:r>
              <w:rPr>
                <w:rFonts w:hint="default" w:ascii="Times New Roman" w:hAnsi="Times New Roman" w:cs="Times New Roman"/>
                <w:color w:val="000000" w:themeColor="text1"/>
                <w:sz w:val="24"/>
                <w:szCs w:val="24"/>
                <w:highlight w:val="none"/>
                <w14:textFill>
                  <w14:solidFill>
                    <w14:schemeClr w14:val="tx1"/>
                  </w14:solidFill>
                </w14:textFill>
              </w:rPr>
              <w:t>“第三十九项：废弃资源综合利用业”中“第85条：</w:t>
            </w:r>
            <w:r>
              <w:rPr>
                <w:rFonts w:hint="default" w:ascii="Times New Roman" w:hAnsi="Times New Roman" w:eastAsia="Helvetica" w:cs="Times New Roman"/>
                <w:i w:val="0"/>
                <w:iCs w:val="0"/>
                <w:caps w:val="0"/>
                <w:color w:val="333333"/>
                <w:spacing w:val="0"/>
                <w:sz w:val="24"/>
                <w:szCs w:val="24"/>
                <w:shd w:val="clear" w:fill="FFFFFF"/>
              </w:rPr>
              <w:t>非金属废料和碎屑加工处理422</w:t>
            </w:r>
            <w:r>
              <w:rPr>
                <w:rFonts w:hint="default" w:ascii="Times New Roman" w:hAnsi="Times New Roman" w:eastAsia="宋体" w:cs="Times New Roman"/>
                <w:i w:val="0"/>
                <w:iCs w:val="0"/>
                <w:caps w:val="0"/>
                <w:color w:val="333333"/>
                <w:spacing w:val="0"/>
                <w:sz w:val="24"/>
                <w:szCs w:val="24"/>
                <w:shd w:val="clear" w:fill="FFFFFF"/>
                <w:lang w:eastAsia="zh-CN"/>
              </w:rPr>
              <w:t>”，</w:t>
            </w:r>
            <w:r>
              <w:rPr>
                <w:rFonts w:hint="default" w:ascii="Times New Roman" w:hAnsi="Times New Roman" w:eastAsia="宋体" w:cs="Times New Roman"/>
                <w:i w:val="0"/>
                <w:iCs w:val="0"/>
                <w:caps w:val="0"/>
                <w:color w:val="333333"/>
                <w:spacing w:val="0"/>
                <w:sz w:val="24"/>
                <w:szCs w:val="24"/>
                <w:shd w:val="clear" w:fill="FFFFFF"/>
                <w:lang w:val="en-US" w:eastAsia="zh-CN"/>
              </w:rPr>
              <w:t>属于“</w:t>
            </w:r>
            <w:r>
              <w:rPr>
                <w:rFonts w:hint="default" w:ascii="Times New Roman" w:hAnsi="Times New Roman" w:cs="Times New Roman"/>
                <w:color w:val="000000" w:themeColor="text1"/>
                <w:sz w:val="24"/>
                <w:szCs w:val="24"/>
                <w:highlight w:val="none"/>
                <w14:textFill>
                  <w14:solidFill>
                    <w14:schemeClr w14:val="tx1"/>
                  </w14:solidFill>
                </w14:textFill>
              </w:rPr>
              <w:t>其他废料和碎屑加工处理”</w:t>
            </w:r>
            <w:r>
              <w:rPr>
                <w:rFonts w:hint="default" w:ascii="Times New Roman" w:hAnsi="Times New Roman" w:cs="Times New Roman"/>
                <w:color w:val="000000" w:themeColor="text1"/>
                <w:sz w:val="24"/>
                <w:szCs w:val="24"/>
                <w:highlight w:val="none"/>
                <w:lang w:eastAsia="zh-CN"/>
                <w14:textFill>
                  <w14:solidFill>
                    <w14:schemeClr w14:val="tx1"/>
                  </w14:solidFill>
                </w14:textFill>
              </w:rPr>
              <w:t>，</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该分类中“含水洗工艺的其他废料和碎屑加工处理（农业生产产生的废旧秧盘、薄膜破碎和清洗工艺的除外）”为报告表，其他的未做要求。综上</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本项目应编制环境影响报告表。</w:t>
            </w:r>
          </w:p>
          <w:p w14:paraId="27159E5F">
            <w:pPr>
              <w:keepNext w:val="0"/>
              <w:keepLines w:val="0"/>
              <w:pageBreakBefore w:val="0"/>
              <w:widowControl w:val="0"/>
              <w:suppressLineNumbers w:val="0"/>
              <w:tabs>
                <w:tab w:val="left" w:pos="1081"/>
              </w:tabs>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000000" w:themeColor="text1"/>
                <w:sz w:val="24"/>
                <w:szCs w:val="24"/>
                <w:highlight w:val="none"/>
                <w:u w:val="none" w:color="auto"/>
                <w:lang w:val="en-US" w:eastAsia="zh-CN"/>
                <w14:textFill>
                  <w14:solidFill>
                    <w14:schemeClr w14:val="tx1"/>
                  </w14:solidFill>
                </w14:textFill>
              </w:rPr>
              <w:t>受河南星能智源能源有限公司委托，我单位承担本项目的环境影响评价工作。我单位接受委托后即派技术人员现场踏勘，经资料</w:t>
            </w:r>
            <w:r>
              <w:rPr>
                <w:rFonts w:hint="default" w:ascii="Times New Roman" w:hAnsi="Times New Roman" w:eastAsia="宋体" w:cs="Times New Roman"/>
                <w:color w:val="auto"/>
                <w:sz w:val="24"/>
                <w:szCs w:val="24"/>
                <w:highlight w:val="none"/>
                <w:u w:val="none" w:color="auto"/>
                <w:lang w:val="en-US" w:eastAsia="zh-CN"/>
              </w:rPr>
              <w:t>收集、</w:t>
            </w:r>
            <w:r>
              <w:rPr>
                <w:rFonts w:hint="default" w:ascii="Times New Roman" w:hAnsi="Times New Roman" w:eastAsia="宋体" w:cs="Times New Roman"/>
                <w:color w:val="auto"/>
                <w:sz w:val="24"/>
                <w:szCs w:val="24"/>
                <w:highlight w:val="none"/>
                <w:u w:val="none" w:color="auto"/>
              </w:rPr>
              <w:t>分析、调研后，按照技术导则所规</w:t>
            </w:r>
            <w:r>
              <w:rPr>
                <w:rFonts w:hint="default" w:ascii="Times New Roman" w:hAnsi="Times New Roman" w:eastAsia="宋体" w:cs="Times New Roman"/>
                <w:color w:val="auto"/>
                <w:sz w:val="24"/>
                <w:szCs w:val="24"/>
                <w:highlight w:val="none"/>
                <w:u w:val="none" w:color="auto"/>
                <w:lang w:eastAsia="zh-CN"/>
              </w:rPr>
              <w:t>定的</w:t>
            </w:r>
            <w:r>
              <w:rPr>
                <w:rFonts w:hint="default" w:ascii="Times New Roman" w:hAnsi="Times New Roman" w:eastAsia="宋体" w:cs="Times New Roman"/>
                <w:color w:val="auto"/>
                <w:sz w:val="24"/>
                <w:szCs w:val="24"/>
                <w:highlight w:val="none"/>
                <w:u w:val="none" w:color="auto"/>
              </w:rPr>
              <w:t>原则、方法、内容和要求，对该项目进行了环境评价，本着客观、公正、科学、规范的要求，编制完成了该项目环境影响报告表。</w:t>
            </w:r>
          </w:p>
          <w:p w14:paraId="63FEB69E">
            <w:pPr>
              <w:keepNext w:val="0"/>
              <w:keepLines w:val="0"/>
              <w:pageBreakBefore w:val="0"/>
              <w:widowControl w:val="0"/>
              <w:suppressLineNumbers w:val="0"/>
              <w:tabs>
                <w:tab w:val="left" w:pos="1081"/>
              </w:tabs>
              <w:kinsoku/>
              <w:wordWrap/>
              <w:overflowPunct/>
              <w:topLinePunct w:val="0"/>
              <w:autoSpaceDE/>
              <w:autoSpaceDN/>
              <w:bidi w:val="0"/>
              <w:adjustRightInd w:val="0"/>
              <w:snapToGrid w:val="0"/>
              <w:spacing w:before="0" w:beforeAutospacing="0" w:after="0" w:afterAutospacing="0" w:line="360" w:lineRule="auto"/>
              <w:ind w:left="0" w:right="0" w:firstLine="482" w:firstLineChars="200"/>
              <w:jc w:val="both"/>
              <w:textAlignment w:val="auto"/>
              <w:rPr>
                <w:rFonts w:hint="eastAsia"/>
                <w:b/>
                <w:bCs/>
                <w:color w:val="000000" w:themeColor="text1"/>
                <w:sz w:val="24"/>
                <w:szCs w:val="24"/>
                <w:u w:val="none"/>
                <w:lang w:val="en-US" w:eastAsia="zh-CN"/>
                <w14:textFill>
                  <w14:solidFill>
                    <w14:schemeClr w14:val="tx1"/>
                  </w14:solidFill>
                </w14:textFill>
              </w:rPr>
            </w:pPr>
            <w:r>
              <w:rPr>
                <w:rFonts w:hint="default"/>
                <w:b/>
                <w:bCs/>
                <w:color w:val="000000" w:themeColor="text1"/>
                <w:sz w:val="24"/>
                <w:szCs w:val="24"/>
                <w:u w:val="none"/>
                <w14:textFill>
                  <w14:solidFill>
                    <w14:schemeClr w14:val="tx1"/>
                  </w14:solidFill>
                </w14:textFill>
              </w:rPr>
              <w:t>2、</w:t>
            </w:r>
            <w:r>
              <w:rPr>
                <w:rFonts w:hint="eastAsia"/>
                <w:b/>
                <w:bCs/>
                <w:color w:val="000000" w:themeColor="text1"/>
                <w:sz w:val="24"/>
                <w:szCs w:val="24"/>
                <w:u w:val="none"/>
                <w:lang w:val="en-US" w:eastAsia="zh-CN"/>
                <w14:textFill>
                  <w14:solidFill>
                    <w14:schemeClr w14:val="tx1"/>
                  </w14:solidFill>
                </w14:textFill>
              </w:rPr>
              <w:t>主要产品产能</w:t>
            </w:r>
          </w:p>
          <w:p w14:paraId="465FB773">
            <w:pPr>
              <w:keepNext w:val="0"/>
              <w:keepLines w:val="0"/>
              <w:pageBreakBefore w:val="0"/>
              <w:widowControl w:val="0"/>
              <w:suppressLineNumbers w:val="0"/>
              <w:tabs>
                <w:tab w:val="left" w:pos="1081"/>
              </w:tabs>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default"/>
                <w:color w:val="000000" w:themeColor="text1"/>
                <w:sz w:val="24"/>
                <w:szCs w:val="24"/>
                <w:u w:val="none"/>
                <w14:textFill>
                  <w14:solidFill>
                    <w14:schemeClr w14:val="tx1"/>
                  </w14:solidFill>
                </w14:textFill>
              </w:rPr>
            </w:pPr>
            <w:r>
              <w:rPr>
                <w:rFonts w:hint="default"/>
                <w:color w:val="000000" w:themeColor="text1"/>
                <w:sz w:val="24"/>
                <w:szCs w:val="24"/>
                <w:u w:val="none"/>
                <w14:textFill>
                  <w14:solidFill>
                    <w14:schemeClr w14:val="tx1"/>
                  </w14:solidFill>
                </w14:textFill>
              </w:rPr>
              <w:t>根据市场需求及企业发展规划，预计本项目投产后形成</w:t>
            </w:r>
            <w:r>
              <w:rPr>
                <w:rFonts w:hint="eastAsia"/>
                <w:color w:val="000000" w:themeColor="text1"/>
                <w:sz w:val="24"/>
                <w:szCs w:val="24"/>
                <w:u w:val="none"/>
                <w:lang w:val="en-US" w:eastAsia="zh-CN"/>
                <w14:textFill>
                  <w14:solidFill>
                    <w14:schemeClr w14:val="tx1"/>
                  </w14:solidFill>
                </w14:textFill>
              </w:rPr>
              <w:t>年产3000吨机制炭、年产500t生物质颗粒的生产规模</w:t>
            </w:r>
            <w:r>
              <w:rPr>
                <w:rFonts w:hint="default"/>
                <w:color w:val="000000" w:themeColor="text1"/>
                <w:sz w:val="24"/>
                <w:szCs w:val="24"/>
                <w:u w:val="none"/>
                <w14:textFill>
                  <w14:solidFill>
                    <w14:schemeClr w14:val="tx1"/>
                  </w14:solidFill>
                </w14:textFill>
              </w:rPr>
              <w:t>。</w:t>
            </w:r>
          </w:p>
          <w:p w14:paraId="5EF7903E">
            <w:pPr>
              <w:keepNext w:val="0"/>
              <w:keepLines w:val="0"/>
              <w:pageBreakBefore w:val="0"/>
              <w:suppressLineNumbers w:val="0"/>
              <w:kinsoku/>
              <w:wordWrap/>
              <w:overflowPunct/>
              <w:topLinePunct w:val="0"/>
              <w:bidi w:val="0"/>
              <w:adjustRightInd/>
              <w:snapToGrid/>
              <w:spacing w:before="0" w:beforeAutospacing="0" w:after="0" w:afterAutospacing="0" w:line="360" w:lineRule="auto"/>
              <w:ind w:left="0" w:right="0" w:firstLine="482" w:firstLineChars="200"/>
              <w:jc w:val="left"/>
              <w:textAlignment w:val="auto"/>
              <w:rPr>
                <w:rFonts w:hint="default"/>
                <w:b/>
                <w:bCs/>
                <w:color w:val="000000" w:themeColor="text1"/>
                <w:sz w:val="24"/>
                <w:szCs w:val="24"/>
                <w:u w:val="none"/>
                <w14:textFill>
                  <w14:solidFill>
                    <w14:schemeClr w14:val="tx1"/>
                  </w14:solidFill>
                </w14:textFill>
              </w:rPr>
            </w:pPr>
            <w:r>
              <w:rPr>
                <w:rFonts w:hint="default"/>
                <w:b/>
                <w:bCs/>
                <w:color w:val="000000" w:themeColor="text1"/>
                <w:sz w:val="24"/>
                <w:szCs w:val="24"/>
                <w:u w:val="none"/>
                <w14:textFill>
                  <w14:solidFill>
                    <w14:schemeClr w14:val="tx1"/>
                  </w14:solidFill>
                </w14:textFill>
              </w:rPr>
              <w:t>3、建设内容</w:t>
            </w:r>
          </w:p>
          <w:p w14:paraId="4FD57633">
            <w:pPr>
              <w:keepNext w:val="0"/>
              <w:keepLines w:val="0"/>
              <w:pageBreakBefore w:val="0"/>
              <w:suppressLineNumbers w:val="0"/>
              <w:kinsoku/>
              <w:wordWrap/>
              <w:overflowPunct/>
              <w:topLinePunct w:val="0"/>
              <w:bidi w:val="0"/>
              <w:adjustRightInd/>
              <w:snapToGrid/>
              <w:spacing w:before="0" w:beforeAutospacing="0" w:after="0" w:afterAutospacing="0" w:line="360" w:lineRule="auto"/>
              <w:ind w:left="0" w:right="0" w:firstLine="480" w:firstLineChars="200"/>
              <w:jc w:val="left"/>
              <w:textAlignment w:val="auto"/>
              <w:rPr>
                <w:rFonts w:hint="default"/>
                <w:color w:val="000000" w:themeColor="text1"/>
                <w:sz w:val="24"/>
                <w:szCs w:val="24"/>
                <w:u w:val="none"/>
                <w14:textFill>
                  <w14:solidFill>
                    <w14:schemeClr w14:val="tx1"/>
                  </w14:solidFill>
                </w14:textFill>
              </w:rPr>
            </w:pPr>
            <w:r>
              <w:rPr>
                <w:rFonts w:hint="default"/>
                <w:color w:val="000000" w:themeColor="text1"/>
                <w:sz w:val="24"/>
                <w:szCs w:val="24"/>
                <w:u w:val="none"/>
                <w14:textFill>
                  <w14:solidFill>
                    <w14:schemeClr w14:val="tx1"/>
                  </w14:solidFill>
                </w14:textFill>
              </w:rPr>
              <w:t>本次项目总投资</w:t>
            </w:r>
            <w:r>
              <w:rPr>
                <w:rFonts w:hint="eastAsia"/>
                <w:color w:val="000000" w:themeColor="text1"/>
                <w:sz w:val="24"/>
                <w:szCs w:val="24"/>
                <w:u w:val="none"/>
                <w:lang w:val="en-US" w:eastAsia="zh-CN"/>
                <w14:textFill>
                  <w14:solidFill>
                    <w14:schemeClr w14:val="tx1"/>
                  </w14:solidFill>
                </w14:textFill>
              </w:rPr>
              <w:t>60</w:t>
            </w:r>
            <w:r>
              <w:rPr>
                <w:rFonts w:hint="default"/>
                <w:color w:val="000000" w:themeColor="text1"/>
                <w:sz w:val="24"/>
                <w:szCs w:val="24"/>
                <w:u w:val="none"/>
                <w14:textFill>
                  <w14:solidFill>
                    <w14:schemeClr w14:val="tx1"/>
                  </w14:solidFill>
                </w14:textFill>
              </w:rPr>
              <w:t>0万元，占地面积</w:t>
            </w:r>
            <w:r>
              <w:rPr>
                <w:rFonts w:hint="eastAsia"/>
                <w:color w:val="000000" w:themeColor="text1"/>
                <w:sz w:val="24"/>
                <w:szCs w:val="24"/>
                <w:u w:val="none"/>
                <w:lang w:val="en-US" w:eastAsia="zh-CN"/>
                <w14:textFill>
                  <w14:solidFill>
                    <w14:schemeClr w14:val="tx1"/>
                  </w14:solidFill>
                </w14:textFill>
              </w:rPr>
              <w:t>17000</w:t>
            </w:r>
            <w:r>
              <w:rPr>
                <w:rFonts w:hint="default"/>
                <w:color w:val="000000" w:themeColor="text1"/>
                <w:sz w:val="24"/>
                <w:szCs w:val="24"/>
                <w:u w:val="none"/>
                <w14:textFill>
                  <w14:solidFill>
                    <w14:schemeClr w14:val="tx1"/>
                  </w14:solidFill>
                </w14:textFill>
              </w:rPr>
              <w:t>m</w:t>
            </w:r>
            <w:r>
              <w:rPr>
                <w:rFonts w:hint="default"/>
                <w:color w:val="000000" w:themeColor="text1"/>
                <w:sz w:val="24"/>
                <w:szCs w:val="24"/>
                <w:u w:val="none"/>
                <w:vertAlign w:val="superscript"/>
                <w14:textFill>
                  <w14:solidFill>
                    <w14:schemeClr w14:val="tx1"/>
                  </w14:solidFill>
                </w14:textFill>
              </w:rPr>
              <w:t>2</w:t>
            </w:r>
            <w:r>
              <w:rPr>
                <w:rFonts w:hint="eastAsia"/>
                <w:color w:val="000000" w:themeColor="text1"/>
                <w:sz w:val="24"/>
                <w:szCs w:val="24"/>
                <w:u w:val="none"/>
                <w:lang w:eastAsia="zh-CN"/>
                <w14:textFill>
                  <w14:solidFill>
                    <w14:schemeClr w14:val="tx1"/>
                  </w14:solidFill>
                </w14:textFill>
              </w:rPr>
              <w:t>。</w:t>
            </w:r>
            <w:r>
              <w:rPr>
                <w:rFonts w:hint="default"/>
                <w:color w:val="000000" w:themeColor="text1"/>
                <w:sz w:val="24"/>
                <w:szCs w:val="24"/>
                <w:u w:val="none"/>
                <w14:textFill>
                  <w14:solidFill>
                    <w14:schemeClr w14:val="tx1"/>
                  </w14:solidFill>
                </w14:textFill>
              </w:rPr>
              <w:t>项目建设与备案内容相符性分析见下表：</w:t>
            </w:r>
          </w:p>
          <w:p w14:paraId="3EF2EEF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default"/>
                <w:b/>
                <w:bCs/>
                <w:color w:val="000000" w:themeColor="text1"/>
                <w:sz w:val="24"/>
                <w:szCs w:val="24"/>
                <w:u w:val="none"/>
                <w14:textFill>
                  <w14:solidFill>
                    <w14:schemeClr w14:val="tx1"/>
                  </w14:solidFill>
                </w14:textFill>
              </w:rPr>
            </w:pPr>
            <w:r>
              <w:rPr>
                <w:rFonts w:hint="default"/>
                <w:b/>
                <w:bCs/>
                <w:color w:val="000000" w:themeColor="text1"/>
                <w:sz w:val="24"/>
                <w:szCs w:val="24"/>
                <w:u w:val="none"/>
                <w14:textFill>
                  <w14:solidFill>
                    <w14:schemeClr w14:val="tx1"/>
                  </w14:solidFill>
                </w14:textFill>
              </w:rPr>
              <w:t>表2-1</w:t>
            </w:r>
            <w:r>
              <w:rPr>
                <w:rFonts w:hint="eastAsia"/>
                <w:b/>
                <w:bCs/>
                <w:color w:val="000000" w:themeColor="text1"/>
                <w:sz w:val="24"/>
                <w:szCs w:val="24"/>
                <w:u w:val="none"/>
                <w:lang w:val="en-US" w:eastAsia="zh-CN"/>
                <w14:textFill>
                  <w14:solidFill>
                    <w14:schemeClr w14:val="tx1"/>
                  </w14:solidFill>
                </w14:textFill>
              </w:rPr>
              <w:t xml:space="preserve">  </w:t>
            </w:r>
            <w:r>
              <w:rPr>
                <w:rFonts w:hint="default"/>
                <w:b/>
                <w:bCs/>
                <w:color w:val="000000" w:themeColor="text1"/>
                <w:sz w:val="24"/>
                <w:szCs w:val="24"/>
                <w:u w:val="none"/>
                <w14:textFill>
                  <w14:solidFill>
                    <w14:schemeClr w14:val="tx1"/>
                  </w14:solidFill>
                </w14:textFill>
              </w:rPr>
              <w:t>项目建设与备案内容相符性分析</w:t>
            </w:r>
          </w:p>
          <w:tbl>
            <w:tblPr>
              <w:tblStyle w:val="30"/>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7"/>
              <w:gridCol w:w="1066"/>
              <w:gridCol w:w="3297"/>
              <w:gridCol w:w="3310"/>
              <w:gridCol w:w="937"/>
            </w:tblGrid>
            <w:tr w14:paraId="506C40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54" w:type="pct"/>
                  <w:vAlign w:val="center"/>
                </w:tcPr>
                <w:p w14:paraId="5C4A691E">
                  <w:pPr>
                    <w:pStyle w:val="36"/>
                    <w:bidi w:val="0"/>
                    <w:rPr>
                      <w:rFonts w:hint="default"/>
                      <w:b w:val="0"/>
                      <w:bCs/>
                      <w:sz w:val="21"/>
                      <w:szCs w:val="21"/>
                    </w:rPr>
                  </w:pPr>
                  <w:r>
                    <w:rPr>
                      <w:rFonts w:hint="default"/>
                      <w:b w:val="0"/>
                      <w:bCs/>
                      <w:sz w:val="21"/>
                      <w:szCs w:val="21"/>
                    </w:rPr>
                    <w:t>序号</w:t>
                  </w:r>
                </w:p>
              </w:tc>
              <w:tc>
                <w:tcPr>
                  <w:tcW w:w="575" w:type="pct"/>
                  <w:vAlign w:val="center"/>
                </w:tcPr>
                <w:p w14:paraId="43FDFEC5">
                  <w:pPr>
                    <w:pStyle w:val="36"/>
                    <w:bidi w:val="0"/>
                    <w:rPr>
                      <w:rFonts w:hint="default"/>
                      <w:b w:val="0"/>
                      <w:bCs/>
                      <w:sz w:val="21"/>
                      <w:szCs w:val="21"/>
                    </w:rPr>
                  </w:pPr>
                  <w:r>
                    <w:rPr>
                      <w:rFonts w:hint="default"/>
                      <w:b w:val="0"/>
                      <w:bCs/>
                      <w:sz w:val="21"/>
                      <w:szCs w:val="21"/>
                    </w:rPr>
                    <w:t>项目</w:t>
                  </w:r>
                </w:p>
              </w:tc>
              <w:tc>
                <w:tcPr>
                  <w:tcW w:w="1778" w:type="pct"/>
                  <w:vAlign w:val="center"/>
                </w:tcPr>
                <w:p w14:paraId="306268F8">
                  <w:pPr>
                    <w:pStyle w:val="36"/>
                    <w:bidi w:val="0"/>
                    <w:rPr>
                      <w:rFonts w:hint="default"/>
                      <w:b w:val="0"/>
                      <w:bCs/>
                      <w:sz w:val="21"/>
                      <w:szCs w:val="21"/>
                    </w:rPr>
                  </w:pPr>
                  <w:r>
                    <w:rPr>
                      <w:rFonts w:hint="default"/>
                      <w:b w:val="0"/>
                      <w:bCs/>
                      <w:sz w:val="21"/>
                      <w:szCs w:val="21"/>
                    </w:rPr>
                    <w:t>备案情况</w:t>
                  </w:r>
                </w:p>
              </w:tc>
              <w:tc>
                <w:tcPr>
                  <w:tcW w:w="1785" w:type="pct"/>
                  <w:vAlign w:val="center"/>
                </w:tcPr>
                <w:p w14:paraId="5C45240B">
                  <w:pPr>
                    <w:pStyle w:val="36"/>
                    <w:bidi w:val="0"/>
                    <w:rPr>
                      <w:rFonts w:hint="default"/>
                      <w:b w:val="0"/>
                      <w:bCs/>
                      <w:sz w:val="21"/>
                      <w:szCs w:val="21"/>
                    </w:rPr>
                  </w:pPr>
                  <w:r>
                    <w:rPr>
                      <w:rFonts w:hint="default"/>
                      <w:b w:val="0"/>
                      <w:bCs/>
                      <w:sz w:val="21"/>
                      <w:szCs w:val="21"/>
                    </w:rPr>
                    <w:t>环评情况</w:t>
                  </w:r>
                </w:p>
              </w:tc>
              <w:tc>
                <w:tcPr>
                  <w:tcW w:w="505" w:type="pct"/>
                  <w:vAlign w:val="center"/>
                </w:tcPr>
                <w:p w14:paraId="3A35D1AB">
                  <w:pPr>
                    <w:pStyle w:val="36"/>
                    <w:bidi w:val="0"/>
                    <w:rPr>
                      <w:rFonts w:hint="default"/>
                      <w:b w:val="0"/>
                      <w:bCs/>
                      <w:sz w:val="21"/>
                      <w:szCs w:val="21"/>
                    </w:rPr>
                  </w:pPr>
                  <w:r>
                    <w:rPr>
                      <w:rFonts w:hint="default"/>
                      <w:b w:val="0"/>
                      <w:bCs/>
                      <w:sz w:val="21"/>
                      <w:szCs w:val="21"/>
                    </w:rPr>
                    <w:t>相符性</w:t>
                  </w:r>
                </w:p>
              </w:tc>
            </w:tr>
            <w:tr w14:paraId="4EB925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jc w:val="center"/>
              </w:trPr>
              <w:tc>
                <w:tcPr>
                  <w:tcW w:w="354" w:type="pct"/>
                  <w:shd w:val="clear" w:color="auto" w:fill="auto"/>
                  <w:vAlign w:val="center"/>
                </w:tcPr>
                <w:p w14:paraId="2B900672">
                  <w:pPr>
                    <w:pStyle w:val="36"/>
                    <w:bidi w:val="0"/>
                    <w:rPr>
                      <w:rFonts w:hint="default"/>
                      <w:b w:val="0"/>
                      <w:bCs/>
                      <w:sz w:val="21"/>
                      <w:szCs w:val="21"/>
                      <w:lang w:val="en-US" w:eastAsia="zh-CN"/>
                    </w:rPr>
                  </w:pPr>
                  <w:r>
                    <w:rPr>
                      <w:rFonts w:hint="default"/>
                      <w:b w:val="0"/>
                      <w:bCs/>
                      <w:sz w:val="21"/>
                      <w:szCs w:val="21"/>
                    </w:rPr>
                    <w:t>1</w:t>
                  </w:r>
                </w:p>
              </w:tc>
              <w:tc>
                <w:tcPr>
                  <w:tcW w:w="575" w:type="pct"/>
                  <w:vAlign w:val="center"/>
                </w:tcPr>
                <w:p w14:paraId="17F929BC">
                  <w:pPr>
                    <w:pStyle w:val="36"/>
                    <w:bidi w:val="0"/>
                    <w:rPr>
                      <w:rFonts w:hint="default"/>
                      <w:b w:val="0"/>
                      <w:bCs/>
                      <w:sz w:val="21"/>
                      <w:szCs w:val="21"/>
                      <w:lang w:val="en-US" w:eastAsia="zh-CN"/>
                    </w:rPr>
                  </w:pPr>
                  <w:r>
                    <w:rPr>
                      <w:rFonts w:hint="default"/>
                      <w:b w:val="0"/>
                      <w:bCs/>
                      <w:sz w:val="21"/>
                      <w:szCs w:val="21"/>
                      <w:lang w:val="en-US" w:eastAsia="zh-CN"/>
                    </w:rPr>
                    <w:t>项目名称</w:t>
                  </w:r>
                </w:p>
              </w:tc>
              <w:tc>
                <w:tcPr>
                  <w:tcW w:w="1778" w:type="pct"/>
                  <w:vAlign w:val="center"/>
                </w:tcPr>
                <w:p w14:paraId="091F3064">
                  <w:pPr>
                    <w:pStyle w:val="36"/>
                    <w:bidi w:val="0"/>
                    <w:rPr>
                      <w:rFonts w:hint="default"/>
                      <w:b w:val="0"/>
                      <w:bCs/>
                      <w:sz w:val="21"/>
                      <w:szCs w:val="21"/>
                      <w:lang w:val="en-US" w:eastAsia="zh-CN"/>
                    </w:rPr>
                  </w:pPr>
                  <w:r>
                    <w:rPr>
                      <w:rFonts w:hint="default"/>
                      <w:b w:val="0"/>
                      <w:bCs/>
                      <w:sz w:val="21"/>
                      <w:szCs w:val="21"/>
                      <w:lang w:val="en-US" w:eastAsia="zh-CN"/>
                    </w:rPr>
                    <w:t>河南星能智源能源有限公司年产3500吨次小薪材系列产品综合利用建设项目</w:t>
                  </w:r>
                </w:p>
              </w:tc>
              <w:tc>
                <w:tcPr>
                  <w:tcW w:w="1785" w:type="pct"/>
                  <w:shd w:val="clear" w:color="auto" w:fill="auto"/>
                  <w:vAlign w:val="center"/>
                </w:tcPr>
                <w:p w14:paraId="30218883">
                  <w:pPr>
                    <w:pStyle w:val="36"/>
                    <w:bidi w:val="0"/>
                    <w:rPr>
                      <w:rFonts w:hint="default"/>
                      <w:b w:val="0"/>
                      <w:bCs/>
                      <w:sz w:val="21"/>
                      <w:szCs w:val="21"/>
                      <w:lang w:val="en-US" w:eastAsia="zh-CN"/>
                    </w:rPr>
                  </w:pPr>
                  <w:r>
                    <w:rPr>
                      <w:rFonts w:hint="default"/>
                      <w:b w:val="0"/>
                      <w:bCs/>
                      <w:sz w:val="21"/>
                      <w:szCs w:val="21"/>
                      <w:lang w:val="en-US" w:eastAsia="zh-CN"/>
                    </w:rPr>
                    <w:t>河南星能智源能源有限公司年产3500吨次小薪材系列产品综合利用建设项目</w:t>
                  </w:r>
                </w:p>
              </w:tc>
              <w:tc>
                <w:tcPr>
                  <w:tcW w:w="505" w:type="pct"/>
                  <w:vAlign w:val="center"/>
                </w:tcPr>
                <w:p w14:paraId="4CB0252A">
                  <w:pPr>
                    <w:pStyle w:val="36"/>
                    <w:bidi w:val="0"/>
                    <w:rPr>
                      <w:rFonts w:hint="default"/>
                      <w:b w:val="0"/>
                      <w:bCs/>
                      <w:sz w:val="21"/>
                      <w:szCs w:val="21"/>
                    </w:rPr>
                  </w:pPr>
                  <w:r>
                    <w:rPr>
                      <w:rFonts w:hint="default"/>
                      <w:b w:val="0"/>
                      <w:bCs/>
                      <w:sz w:val="21"/>
                      <w:szCs w:val="21"/>
                    </w:rPr>
                    <w:t>相符</w:t>
                  </w:r>
                </w:p>
              </w:tc>
            </w:tr>
            <w:tr w14:paraId="643F63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jc w:val="center"/>
              </w:trPr>
              <w:tc>
                <w:tcPr>
                  <w:tcW w:w="354" w:type="pct"/>
                  <w:shd w:val="clear" w:color="auto" w:fill="auto"/>
                  <w:vAlign w:val="center"/>
                </w:tcPr>
                <w:p w14:paraId="56106A1B">
                  <w:pPr>
                    <w:pStyle w:val="36"/>
                    <w:bidi w:val="0"/>
                    <w:rPr>
                      <w:rFonts w:hint="default"/>
                      <w:b w:val="0"/>
                      <w:bCs/>
                      <w:sz w:val="21"/>
                      <w:szCs w:val="21"/>
                      <w:lang w:val="en-US" w:eastAsia="zh-CN"/>
                    </w:rPr>
                  </w:pPr>
                  <w:r>
                    <w:rPr>
                      <w:rFonts w:hint="default"/>
                      <w:b w:val="0"/>
                      <w:bCs/>
                      <w:sz w:val="21"/>
                      <w:szCs w:val="21"/>
                    </w:rPr>
                    <w:t>2</w:t>
                  </w:r>
                </w:p>
              </w:tc>
              <w:tc>
                <w:tcPr>
                  <w:tcW w:w="575" w:type="pct"/>
                  <w:vAlign w:val="center"/>
                </w:tcPr>
                <w:p w14:paraId="0E6F60D3">
                  <w:pPr>
                    <w:pStyle w:val="36"/>
                    <w:bidi w:val="0"/>
                    <w:rPr>
                      <w:rFonts w:hint="default"/>
                      <w:b w:val="0"/>
                      <w:bCs/>
                      <w:sz w:val="21"/>
                      <w:szCs w:val="21"/>
                    </w:rPr>
                  </w:pPr>
                  <w:r>
                    <w:rPr>
                      <w:rFonts w:hint="default"/>
                      <w:b w:val="0"/>
                      <w:bCs/>
                      <w:sz w:val="21"/>
                      <w:szCs w:val="21"/>
                    </w:rPr>
                    <w:t>建设单位</w:t>
                  </w:r>
                </w:p>
              </w:tc>
              <w:tc>
                <w:tcPr>
                  <w:tcW w:w="1778" w:type="pct"/>
                  <w:vAlign w:val="center"/>
                </w:tcPr>
                <w:p w14:paraId="21705069">
                  <w:pPr>
                    <w:pStyle w:val="36"/>
                    <w:bidi w:val="0"/>
                    <w:rPr>
                      <w:rFonts w:hint="default"/>
                      <w:b w:val="0"/>
                      <w:bCs/>
                      <w:sz w:val="21"/>
                      <w:szCs w:val="21"/>
                      <w:lang w:val="en-US" w:eastAsia="zh-CN"/>
                    </w:rPr>
                  </w:pPr>
                  <w:r>
                    <w:rPr>
                      <w:rFonts w:hint="default"/>
                      <w:b w:val="0"/>
                      <w:bCs/>
                      <w:sz w:val="21"/>
                      <w:szCs w:val="21"/>
                      <w:lang w:val="en-US" w:eastAsia="zh-CN"/>
                    </w:rPr>
                    <w:t>河南星能智源能源有限公司</w:t>
                  </w:r>
                </w:p>
              </w:tc>
              <w:tc>
                <w:tcPr>
                  <w:tcW w:w="1785" w:type="pct"/>
                  <w:shd w:val="clear" w:color="auto" w:fill="auto"/>
                  <w:vAlign w:val="center"/>
                </w:tcPr>
                <w:p w14:paraId="7821C726">
                  <w:pPr>
                    <w:pStyle w:val="36"/>
                    <w:bidi w:val="0"/>
                    <w:rPr>
                      <w:rFonts w:hint="default"/>
                      <w:b w:val="0"/>
                      <w:bCs/>
                      <w:sz w:val="21"/>
                      <w:szCs w:val="21"/>
                      <w:lang w:val="en-US" w:eastAsia="zh-CN"/>
                    </w:rPr>
                  </w:pPr>
                  <w:r>
                    <w:rPr>
                      <w:rFonts w:hint="default"/>
                      <w:b w:val="0"/>
                      <w:bCs/>
                      <w:sz w:val="21"/>
                      <w:szCs w:val="21"/>
                      <w:lang w:val="en-US" w:eastAsia="zh-CN"/>
                    </w:rPr>
                    <w:t>河南星能智源能源有限公司</w:t>
                  </w:r>
                </w:p>
              </w:tc>
              <w:tc>
                <w:tcPr>
                  <w:tcW w:w="505" w:type="pct"/>
                  <w:vAlign w:val="center"/>
                </w:tcPr>
                <w:p w14:paraId="6D2A3936">
                  <w:pPr>
                    <w:pStyle w:val="36"/>
                    <w:bidi w:val="0"/>
                    <w:rPr>
                      <w:rFonts w:hint="default"/>
                      <w:b w:val="0"/>
                      <w:bCs/>
                      <w:sz w:val="21"/>
                      <w:szCs w:val="21"/>
                    </w:rPr>
                  </w:pPr>
                  <w:r>
                    <w:rPr>
                      <w:rFonts w:hint="default"/>
                      <w:b w:val="0"/>
                      <w:bCs/>
                      <w:sz w:val="21"/>
                      <w:szCs w:val="21"/>
                    </w:rPr>
                    <w:t>相符</w:t>
                  </w:r>
                </w:p>
              </w:tc>
            </w:tr>
            <w:tr w14:paraId="5E1EED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54" w:type="pct"/>
                  <w:shd w:val="clear" w:color="auto" w:fill="auto"/>
                  <w:vAlign w:val="center"/>
                </w:tcPr>
                <w:p w14:paraId="71762DED">
                  <w:pPr>
                    <w:pStyle w:val="36"/>
                    <w:bidi w:val="0"/>
                    <w:rPr>
                      <w:rFonts w:hint="default"/>
                      <w:b w:val="0"/>
                      <w:bCs/>
                      <w:sz w:val="21"/>
                      <w:szCs w:val="21"/>
                      <w:lang w:val="en-US" w:eastAsia="zh-CN"/>
                    </w:rPr>
                  </w:pPr>
                  <w:r>
                    <w:rPr>
                      <w:rFonts w:hint="default"/>
                      <w:b w:val="0"/>
                      <w:bCs/>
                      <w:sz w:val="21"/>
                      <w:szCs w:val="21"/>
                    </w:rPr>
                    <w:t>3</w:t>
                  </w:r>
                </w:p>
              </w:tc>
              <w:tc>
                <w:tcPr>
                  <w:tcW w:w="575" w:type="pct"/>
                  <w:vAlign w:val="center"/>
                </w:tcPr>
                <w:p w14:paraId="34BA48EE">
                  <w:pPr>
                    <w:pStyle w:val="36"/>
                    <w:bidi w:val="0"/>
                    <w:rPr>
                      <w:rFonts w:hint="default"/>
                      <w:b w:val="0"/>
                      <w:bCs/>
                      <w:sz w:val="21"/>
                      <w:szCs w:val="21"/>
                    </w:rPr>
                  </w:pPr>
                  <w:r>
                    <w:rPr>
                      <w:rFonts w:hint="default"/>
                      <w:b w:val="0"/>
                      <w:bCs/>
                      <w:sz w:val="21"/>
                      <w:szCs w:val="21"/>
                    </w:rPr>
                    <w:t>建设地点</w:t>
                  </w:r>
                </w:p>
              </w:tc>
              <w:tc>
                <w:tcPr>
                  <w:tcW w:w="1778" w:type="pct"/>
                  <w:vAlign w:val="center"/>
                </w:tcPr>
                <w:p w14:paraId="249F7427">
                  <w:pPr>
                    <w:pStyle w:val="36"/>
                    <w:bidi w:val="0"/>
                    <w:rPr>
                      <w:rFonts w:hint="default"/>
                      <w:b w:val="0"/>
                      <w:bCs/>
                      <w:sz w:val="21"/>
                      <w:szCs w:val="21"/>
                      <w:lang w:eastAsia="zh-CN"/>
                    </w:rPr>
                  </w:pPr>
                  <w:r>
                    <w:rPr>
                      <w:rFonts w:hint="default"/>
                      <w:b w:val="0"/>
                      <w:bCs/>
                      <w:sz w:val="21"/>
                      <w:szCs w:val="21"/>
                      <w:lang w:eastAsia="zh-CN"/>
                    </w:rPr>
                    <w:t>南阳市方城县四里店镇小店村何家庄</w:t>
                  </w:r>
                </w:p>
              </w:tc>
              <w:tc>
                <w:tcPr>
                  <w:tcW w:w="1785" w:type="pct"/>
                  <w:shd w:val="clear" w:color="auto" w:fill="auto"/>
                  <w:vAlign w:val="center"/>
                </w:tcPr>
                <w:p w14:paraId="3E122DE2">
                  <w:pPr>
                    <w:pStyle w:val="36"/>
                    <w:bidi w:val="0"/>
                    <w:rPr>
                      <w:rFonts w:hint="default"/>
                      <w:b w:val="0"/>
                      <w:bCs/>
                      <w:sz w:val="21"/>
                      <w:szCs w:val="21"/>
                      <w:lang w:val="en-US" w:eastAsia="zh-CN"/>
                    </w:rPr>
                  </w:pPr>
                  <w:r>
                    <w:rPr>
                      <w:rFonts w:hint="default"/>
                      <w:b w:val="0"/>
                      <w:bCs/>
                      <w:sz w:val="21"/>
                      <w:szCs w:val="21"/>
                      <w:lang w:eastAsia="zh-CN"/>
                    </w:rPr>
                    <w:t>南阳市方城县四里店镇小店村何家庄</w:t>
                  </w:r>
                </w:p>
              </w:tc>
              <w:tc>
                <w:tcPr>
                  <w:tcW w:w="505" w:type="pct"/>
                  <w:vAlign w:val="center"/>
                </w:tcPr>
                <w:p w14:paraId="2687DC3F">
                  <w:pPr>
                    <w:pStyle w:val="36"/>
                    <w:bidi w:val="0"/>
                    <w:rPr>
                      <w:rFonts w:hint="default"/>
                      <w:b w:val="0"/>
                      <w:bCs/>
                      <w:sz w:val="21"/>
                      <w:szCs w:val="21"/>
                    </w:rPr>
                  </w:pPr>
                  <w:r>
                    <w:rPr>
                      <w:rFonts w:hint="default"/>
                      <w:b w:val="0"/>
                      <w:bCs/>
                      <w:sz w:val="21"/>
                      <w:szCs w:val="21"/>
                    </w:rPr>
                    <w:t>相符</w:t>
                  </w:r>
                </w:p>
              </w:tc>
            </w:tr>
            <w:tr w14:paraId="3E3E07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54" w:type="pct"/>
                  <w:shd w:val="clear" w:color="auto" w:fill="auto"/>
                  <w:vAlign w:val="center"/>
                </w:tcPr>
                <w:p w14:paraId="1638569F">
                  <w:pPr>
                    <w:pStyle w:val="36"/>
                    <w:bidi w:val="0"/>
                    <w:rPr>
                      <w:rFonts w:hint="default"/>
                      <w:b w:val="0"/>
                      <w:bCs/>
                      <w:sz w:val="21"/>
                      <w:szCs w:val="21"/>
                      <w:lang w:val="en-US" w:eastAsia="zh-CN"/>
                    </w:rPr>
                  </w:pPr>
                  <w:r>
                    <w:rPr>
                      <w:rFonts w:hint="default"/>
                      <w:b w:val="0"/>
                      <w:bCs/>
                      <w:sz w:val="21"/>
                      <w:szCs w:val="21"/>
                    </w:rPr>
                    <w:t>4</w:t>
                  </w:r>
                </w:p>
              </w:tc>
              <w:tc>
                <w:tcPr>
                  <w:tcW w:w="575" w:type="pct"/>
                  <w:vAlign w:val="center"/>
                </w:tcPr>
                <w:p w14:paraId="3492BE5F">
                  <w:pPr>
                    <w:pStyle w:val="36"/>
                    <w:bidi w:val="0"/>
                    <w:rPr>
                      <w:rFonts w:hint="default"/>
                      <w:b w:val="0"/>
                      <w:bCs/>
                      <w:sz w:val="21"/>
                      <w:szCs w:val="21"/>
                    </w:rPr>
                  </w:pPr>
                  <w:r>
                    <w:rPr>
                      <w:rFonts w:hint="default"/>
                      <w:b w:val="0"/>
                      <w:bCs/>
                      <w:sz w:val="21"/>
                      <w:szCs w:val="21"/>
                    </w:rPr>
                    <w:t>投资</w:t>
                  </w:r>
                </w:p>
              </w:tc>
              <w:tc>
                <w:tcPr>
                  <w:tcW w:w="1778" w:type="pct"/>
                  <w:vAlign w:val="center"/>
                </w:tcPr>
                <w:p w14:paraId="0FE7A268">
                  <w:pPr>
                    <w:pStyle w:val="36"/>
                    <w:bidi w:val="0"/>
                    <w:rPr>
                      <w:rFonts w:hint="default"/>
                      <w:b w:val="0"/>
                      <w:bCs/>
                      <w:sz w:val="21"/>
                      <w:szCs w:val="21"/>
                    </w:rPr>
                  </w:pPr>
                  <w:r>
                    <w:rPr>
                      <w:rFonts w:hint="eastAsia"/>
                      <w:b w:val="0"/>
                      <w:bCs/>
                      <w:sz w:val="21"/>
                      <w:szCs w:val="21"/>
                      <w:lang w:val="en-US" w:eastAsia="zh-CN"/>
                    </w:rPr>
                    <w:t>10</w:t>
                  </w:r>
                  <w:r>
                    <w:rPr>
                      <w:rFonts w:hint="default"/>
                      <w:b w:val="0"/>
                      <w:bCs/>
                      <w:sz w:val="21"/>
                      <w:szCs w:val="21"/>
                      <w:lang w:val="en-US" w:eastAsia="zh-CN"/>
                    </w:rPr>
                    <w:t>00</w:t>
                  </w:r>
                  <w:r>
                    <w:rPr>
                      <w:rFonts w:hint="default"/>
                      <w:b w:val="0"/>
                      <w:bCs/>
                      <w:sz w:val="21"/>
                      <w:szCs w:val="21"/>
                    </w:rPr>
                    <w:t>万元</w:t>
                  </w:r>
                </w:p>
              </w:tc>
              <w:tc>
                <w:tcPr>
                  <w:tcW w:w="1785" w:type="pct"/>
                  <w:shd w:val="clear" w:color="auto" w:fill="auto"/>
                  <w:vAlign w:val="center"/>
                </w:tcPr>
                <w:p w14:paraId="1BF7F528">
                  <w:pPr>
                    <w:pStyle w:val="36"/>
                    <w:bidi w:val="0"/>
                    <w:rPr>
                      <w:rFonts w:hint="default"/>
                      <w:b w:val="0"/>
                      <w:bCs/>
                      <w:sz w:val="21"/>
                      <w:szCs w:val="21"/>
                      <w:lang w:val="en-US" w:eastAsia="zh-CN"/>
                    </w:rPr>
                  </w:pPr>
                  <w:r>
                    <w:rPr>
                      <w:rFonts w:hint="eastAsia"/>
                      <w:b w:val="0"/>
                      <w:bCs/>
                      <w:sz w:val="21"/>
                      <w:szCs w:val="21"/>
                      <w:lang w:val="en-US" w:eastAsia="zh-CN"/>
                    </w:rPr>
                    <w:t>10</w:t>
                  </w:r>
                  <w:r>
                    <w:rPr>
                      <w:rFonts w:hint="default"/>
                      <w:b w:val="0"/>
                      <w:bCs/>
                      <w:sz w:val="21"/>
                      <w:szCs w:val="21"/>
                      <w:lang w:val="en-US" w:eastAsia="zh-CN"/>
                    </w:rPr>
                    <w:t>00</w:t>
                  </w:r>
                  <w:r>
                    <w:rPr>
                      <w:rFonts w:hint="default"/>
                      <w:b w:val="0"/>
                      <w:bCs/>
                      <w:sz w:val="21"/>
                      <w:szCs w:val="21"/>
                    </w:rPr>
                    <w:t>万元</w:t>
                  </w:r>
                </w:p>
              </w:tc>
              <w:tc>
                <w:tcPr>
                  <w:tcW w:w="505" w:type="pct"/>
                  <w:vAlign w:val="center"/>
                </w:tcPr>
                <w:p w14:paraId="4CA01BD8">
                  <w:pPr>
                    <w:pStyle w:val="36"/>
                    <w:bidi w:val="0"/>
                    <w:rPr>
                      <w:rFonts w:hint="default"/>
                      <w:b w:val="0"/>
                      <w:bCs/>
                      <w:sz w:val="21"/>
                      <w:szCs w:val="21"/>
                    </w:rPr>
                  </w:pPr>
                  <w:r>
                    <w:rPr>
                      <w:rFonts w:hint="default"/>
                      <w:b w:val="0"/>
                      <w:bCs/>
                      <w:sz w:val="21"/>
                      <w:szCs w:val="21"/>
                    </w:rPr>
                    <w:t>相符</w:t>
                  </w:r>
                </w:p>
              </w:tc>
            </w:tr>
            <w:tr w14:paraId="3A8D87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54" w:type="pct"/>
                  <w:shd w:val="clear" w:color="auto" w:fill="auto"/>
                  <w:vAlign w:val="center"/>
                </w:tcPr>
                <w:p w14:paraId="292E90A4">
                  <w:pPr>
                    <w:pStyle w:val="36"/>
                    <w:bidi w:val="0"/>
                    <w:rPr>
                      <w:rFonts w:hint="default"/>
                      <w:b w:val="0"/>
                      <w:bCs/>
                      <w:sz w:val="21"/>
                      <w:szCs w:val="21"/>
                      <w:lang w:val="en-US" w:eastAsia="zh-CN"/>
                    </w:rPr>
                  </w:pPr>
                  <w:r>
                    <w:rPr>
                      <w:rFonts w:hint="default"/>
                      <w:b w:val="0"/>
                      <w:bCs/>
                      <w:sz w:val="21"/>
                      <w:szCs w:val="21"/>
                    </w:rPr>
                    <w:t>5</w:t>
                  </w:r>
                </w:p>
              </w:tc>
              <w:tc>
                <w:tcPr>
                  <w:tcW w:w="575" w:type="pct"/>
                  <w:vAlign w:val="center"/>
                </w:tcPr>
                <w:p w14:paraId="66981145">
                  <w:pPr>
                    <w:pStyle w:val="36"/>
                    <w:bidi w:val="0"/>
                    <w:rPr>
                      <w:rFonts w:hint="default"/>
                      <w:b w:val="0"/>
                      <w:bCs/>
                      <w:sz w:val="21"/>
                      <w:szCs w:val="21"/>
                    </w:rPr>
                  </w:pPr>
                  <w:r>
                    <w:rPr>
                      <w:rFonts w:hint="default"/>
                      <w:b w:val="0"/>
                      <w:bCs/>
                      <w:sz w:val="21"/>
                      <w:szCs w:val="21"/>
                    </w:rPr>
                    <w:t>建设内容</w:t>
                  </w:r>
                </w:p>
              </w:tc>
              <w:tc>
                <w:tcPr>
                  <w:tcW w:w="1778" w:type="pct"/>
                  <w:vAlign w:val="center"/>
                </w:tcPr>
                <w:p w14:paraId="48A0202C">
                  <w:pPr>
                    <w:pStyle w:val="36"/>
                    <w:bidi w:val="0"/>
                    <w:rPr>
                      <w:rFonts w:hint="default"/>
                      <w:b w:val="0"/>
                      <w:bCs/>
                      <w:sz w:val="21"/>
                      <w:szCs w:val="21"/>
                    </w:rPr>
                  </w:pPr>
                  <w:r>
                    <w:rPr>
                      <w:rFonts w:hint="default"/>
                      <w:b w:val="0"/>
                      <w:bCs/>
                      <w:sz w:val="21"/>
                      <w:szCs w:val="21"/>
                      <w:lang w:val="en-US" w:eastAsia="zh-CN"/>
                    </w:rPr>
                    <w:t>项目占地面积约17000平方米，主要构筑物为生产车间、成品库以及办公生活区等。①机制炭生产线：主要以外购废木材、小薪材等为原料，建设年产3000吨机制炭生产线，主要生产工艺：原料-破碎-筛分-烘干-制棒-碳化-切割-成品。主要生产设备有粉碎机、筛分机、烘干机、制棒机、炭化炉等。②生物质颗粒生产线：主要以外购花生壳、秸秆等生物质为原料，建设年产500t生物质颗粒生产线，主要生产工艺:原料-破碎-筛分-造粒-成品。主要生产设备有破碎机、筛分机、造粒机等。</w:t>
                  </w:r>
                </w:p>
              </w:tc>
              <w:tc>
                <w:tcPr>
                  <w:tcW w:w="1785" w:type="pct"/>
                  <w:vAlign w:val="center"/>
                </w:tcPr>
                <w:p w14:paraId="58460066">
                  <w:pPr>
                    <w:pStyle w:val="36"/>
                    <w:bidi w:val="0"/>
                    <w:rPr>
                      <w:rFonts w:hint="default"/>
                      <w:b w:val="0"/>
                      <w:bCs/>
                      <w:sz w:val="21"/>
                      <w:szCs w:val="21"/>
                    </w:rPr>
                  </w:pPr>
                  <w:r>
                    <w:rPr>
                      <w:rFonts w:hint="default"/>
                      <w:b w:val="0"/>
                      <w:bCs/>
                      <w:sz w:val="21"/>
                      <w:szCs w:val="21"/>
                      <w:lang w:val="en-US" w:eastAsia="zh-CN"/>
                    </w:rPr>
                    <w:t>项目占地面积约17000平方米，主要构筑物为生产车间、成品库以及办公生活区等。①机制炭生产线：主要以外购废木材、小薪材等为原料，建设年产3000吨机制炭生产线，主要生产工艺：原料-破碎-筛分-烘干-制棒-碳化-切割-成品。主要生产设备有粉碎机、筛分机、烘干机、制棒机、炭化炉等。②生物质颗粒生产线：主要以外购花生壳、秸秆等生物质为原料，建设年产500t生物质颗粒生产线，主要生产工艺:原料-破碎-筛分-造粒-成品。主要生产设备有破碎机、筛分机、造粒机等。</w:t>
                  </w:r>
                </w:p>
              </w:tc>
              <w:tc>
                <w:tcPr>
                  <w:tcW w:w="505" w:type="pct"/>
                  <w:vAlign w:val="center"/>
                </w:tcPr>
                <w:p w14:paraId="232017E9">
                  <w:pPr>
                    <w:pStyle w:val="36"/>
                    <w:bidi w:val="0"/>
                    <w:rPr>
                      <w:rFonts w:hint="default"/>
                      <w:b w:val="0"/>
                      <w:bCs/>
                      <w:sz w:val="21"/>
                      <w:szCs w:val="21"/>
                    </w:rPr>
                  </w:pPr>
                  <w:r>
                    <w:rPr>
                      <w:rFonts w:hint="default"/>
                      <w:b w:val="0"/>
                      <w:bCs/>
                      <w:sz w:val="21"/>
                      <w:szCs w:val="21"/>
                    </w:rPr>
                    <w:t>相符</w:t>
                  </w:r>
                </w:p>
              </w:tc>
            </w:tr>
            <w:tr w14:paraId="48F674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54" w:type="pct"/>
                  <w:vAlign w:val="center"/>
                </w:tcPr>
                <w:p w14:paraId="5331CBB6">
                  <w:pPr>
                    <w:pStyle w:val="36"/>
                    <w:bidi w:val="0"/>
                    <w:rPr>
                      <w:rFonts w:hint="default"/>
                      <w:b w:val="0"/>
                      <w:bCs/>
                      <w:sz w:val="21"/>
                      <w:szCs w:val="21"/>
                      <w:lang w:val="en-US" w:eastAsia="zh-CN"/>
                    </w:rPr>
                  </w:pPr>
                  <w:r>
                    <w:rPr>
                      <w:rFonts w:hint="default"/>
                      <w:b w:val="0"/>
                      <w:bCs/>
                      <w:sz w:val="21"/>
                      <w:szCs w:val="21"/>
                      <w:lang w:val="en-US" w:eastAsia="zh-CN"/>
                    </w:rPr>
                    <w:t>6</w:t>
                  </w:r>
                </w:p>
              </w:tc>
              <w:tc>
                <w:tcPr>
                  <w:tcW w:w="575" w:type="pct"/>
                  <w:vAlign w:val="center"/>
                </w:tcPr>
                <w:p w14:paraId="35022D01">
                  <w:pPr>
                    <w:pStyle w:val="36"/>
                    <w:bidi w:val="0"/>
                    <w:rPr>
                      <w:rFonts w:hint="default"/>
                      <w:b w:val="0"/>
                      <w:bCs/>
                      <w:sz w:val="21"/>
                      <w:szCs w:val="21"/>
                    </w:rPr>
                  </w:pPr>
                  <w:r>
                    <w:rPr>
                      <w:rFonts w:hint="default"/>
                      <w:b w:val="0"/>
                      <w:bCs/>
                      <w:sz w:val="21"/>
                      <w:szCs w:val="21"/>
                    </w:rPr>
                    <w:t>生产能力</w:t>
                  </w:r>
                </w:p>
              </w:tc>
              <w:tc>
                <w:tcPr>
                  <w:tcW w:w="1778" w:type="pct"/>
                  <w:vAlign w:val="center"/>
                </w:tcPr>
                <w:p w14:paraId="3706DE95">
                  <w:pPr>
                    <w:pStyle w:val="36"/>
                    <w:bidi w:val="0"/>
                    <w:rPr>
                      <w:rFonts w:hint="default"/>
                      <w:b w:val="0"/>
                      <w:bCs/>
                      <w:sz w:val="21"/>
                      <w:szCs w:val="21"/>
                    </w:rPr>
                  </w:pPr>
                  <w:r>
                    <w:rPr>
                      <w:rFonts w:hint="default"/>
                      <w:b w:val="0"/>
                      <w:bCs/>
                      <w:sz w:val="21"/>
                      <w:szCs w:val="21"/>
                      <w:lang w:val="en-US" w:eastAsia="zh-CN"/>
                    </w:rPr>
                    <w:t>年产</w:t>
                  </w:r>
                  <w:r>
                    <w:rPr>
                      <w:rFonts w:hint="eastAsia"/>
                      <w:b w:val="0"/>
                      <w:bCs/>
                      <w:sz w:val="21"/>
                      <w:szCs w:val="21"/>
                      <w:lang w:val="en-US" w:eastAsia="zh-CN"/>
                    </w:rPr>
                    <w:t>30</w:t>
                  </w:r>
                  <w:r>
                    <w:rPr>
                      <w:rFonts w:hint="default"/>
                      <w:b w:val="0"/>
                      <w:bCs/>
                      <w:sz w:val="21"/>
                      <w:szCs w:val="21"/>
                      <w:lang w:val="en-US" w:eastAsia="zh-CN"/>
                    </w:rPr>
                    <w:t>00吨机制炭、</w:t>
                  </w:r>
                  <w:r>
                    <w:rPr>
                      <w:rFonts w:hint="eastAsia"/>
                      <w:b w:val="0"/>
                      <w:bCs/>
                      <w:sz w:val="21"/>
                      <w:szCs w:val="21"/>
                      <w:lang w:val="en-US" w:eastAsia="zh-CN"/>
                    </w:rPr>
                    <w:t>5</w:t>
                  </w:r>
                  <w:r>
                    <w:rPr>
                      <w:rFonts w:hint="default"/>
                      <w:b w:val="0"/>
                      <w:bCs/>
                      <w:sz w:val="21"/>
                      <w:szCs w:val="21"/>
                      <w:lang w:val="en-US" w:eastAsia="zh-CN"/>
                    </w:rPr>
                    <w:t>00t生物质颗粒</w:t>
                  </w:r>
                </w:p>
              </w:tc>
              <w:tc>
                <w:tcPr>
                  <w:tcW w:w="1785" w:type="pct"/>
                  <w:vAlign w:val="center"/>
                </w:tcPr>
                <w:p w14:paraId="5A613118">
                  <w:pPr>
                    <w:pStyle w:val="36"/>
                    <w:bidi w:val="0"/>
                    <w:rPr>
                      <w:rFonts w:hint="default"/>
                      <w:b w:val="0"/>
                      <w:bCs/>
                      <w:sz w:val="21"/>
                      <w:szCs w:val="21"/>
                    </w:rPr>
                  </w:pPr>
                  <w:r>
                    <w:rPr>
                      <w:rFonts w:hint="default"/>
                      <w:b w:val="0"/>
                      <w:bCs/>
                      <w:sz w:val="21"/>
                      <w:szCs w:val="21"/>
                      <w:lang w:val="en-US" w:eastAsia="zh-CN"/>
                    </w:rPr>
                    <w:t>年产</w:t>
                  </w:r>
                  <w:r>
                    <w:rPr>
                      <w:rFonts w:hint="eastAsia"/>
                      <w:b w:val="0"/>
                      <w:bCs/>
                      <w:sz w:val="21"/>
                      <w:szCs w:val="21"/>
                      <w:lang w:val="en-US" w:eastAsia="zh-CN"/>
                    </w:rPr>
                    <w:t>30</w:t>
                  </w:r>
                  <w:r>
                    <w:rPr>
                      <w:rFonts w:hint="default"/>
                      <w:b w:val="0"/>
                      <w:bCs/>
                      <w:sz w:val="21"/>
                      <w:szCs w:val="21"/>
                      <w:lang w:val="en-US" w:eastAsia="zh-CN"/>
                    </w:rPr>
                    <w:t>00吨机制炭、</w:t>
                  </w:r>
                  <w:r>
                    <w:rPr>
                      <w:rFonts w:hint="eastAsia"/>
                      <w:b w:val="0"/>
                      <w:bCs/>
                      <w:sz w:val="21"/>
                      <w:szCs w:val="21"/>
                      <w:lang w:val="en-US" w:eastAsia="zh-CN"/>
                    </w:rPr>
                    <w:t>5</w:t>
                  </w:r>
                  <w:r>
                    <w:rPr>
                      <w:rFonts w:hint="default"/>
                      <w:b w:val="0"/>
                      <w:bCs/>
                      <w:sz w:val="21"/>
                      <w:szCs w:val="21"/>
                      <w:lang w:val="en-US" w:eastAsia="zh-CN"/>
                    </w:rPr>
                    <w:t>00t生物质颗粒</w:t>
                  </w:r>
                </w:p>
              </w:tc>
              <w:tc>
                <w:tcPr>
                  <w:tcW w:w="505" w:type="pct"/>
                  <w:vAlign w:val="center"/>
                </w:tcPr>
                <w:p w14:paraId="1A62780C">
                  <w:pPr>
                    <w:pStyle w:val="36"/>
                    <w:bidi w:val="0"/>
                    <w:rPr>
                      <w:rFonts w:hint="default"/>
                      <w:b w:val="0"/>
                      <w:bCs/>
                      <w:sz w:val="21"/>
                      <w:szCs w:val="21"/>
                    </w:rPr>
                  </w:pPr>
                  <w:r>
                    <w:rPr>
                      <w:rFonts w:hint="default"/>
                      <w:b w:val="0"/>
                      <w:bCs/>
                      <w:sz w:val="21"/>
                      <w:szCs w:val="21"/>
                    </w:rPr>
                    <w:t>相符</w:t>
                  </w:r>
                </w:p>
              </w:tc>
            </w:tr>
          </w:tbl>
          <w:p w14:paraId="6D702AC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default"/>
                <w:color w:val="000000" w:themeColor="text1"/>
                <w:sz w:val="24"/>
                <w:szCs w:val="24"/>
                <w:u w:val="none"/>
                <w14:textFill>
                  <w14:solidFill>
                    <w14:schemeClr w14:val="tx1"/>
                  </w14:solidFill>
                </w14:textFill>
              </w:rPr>
            </w:pPr>
            <w:r>
              <w:rPr>
                <w:rFonts w:hint="eastAsia"/>
                <w:color w:val="000000" w:themeColor="text1"/>
                <w:sz w:val="24"/>
                <w:szCs w:val="24"/>
                <w:u w:val="none"/>
                <w:lang w:val="en-US" w:eastAsia="zh-CN"/>
                <w14:textFill>
                  <w14:solidFill>
                    <w14:schemeClr w14:val="tx1"/>
                  </w14:solidFill>
                </w14:textFill>
              </w:rPr>
              <w:t>项目厂区占地面积17000平方米，</w:t>
            </w:r>
            <w:r>
              <w:rPr>
                <w:rFonts w:hint="default"/>
                <w:color w:val="000000" w:themeColor="text1"/>
                <w:sz w:val="24"/>
                <w:szCs w:val="24"/>
                <w:u w:val="none"/>
                <w14:textFill>
                  <w14:solidFill>
                    <w14:schemeClr w14:val="tx1"/>
                  </w14:solidFill>
                </w14:textFill>
              </w:rPr>
              <w:t>本项目工程组成见下表。</w:t>
            </w:r>
          </w:p>
          <w:p w14:paraId="4888955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jc w:val="center"/>
              <w:textAlignment w:val="auto"/>
              <w:rPr>
                <w:rFonts w:hint="default"/>
                <w:b/>
                <w:color w:val="000000" w:themeColor="text1"/>
                <w:sz w:val="24"/>
                <w:szCs w:val="24"/>
                <w:u w:val="none"/>
                <w14:textFill>
                  <w14:solidFill>
                    <w14:schemeClr w14:val="tx1"/>
                  </w14:solidFill>
                </w14:textFill>
              </w:rPr>
            </w:pPr>
            <w:r>
              <w:rPr>
                <w:rFonts w:hint="default"/>
                <w:b/>
                <w:color w:val="000000" w:themeColor="text1"/>
                <w:sz w:val="24"/>
                <w:szCs w:val="24"/>
                <w:u w:val="none"/>
                <w14:textFill>
                  <w14:solidFill>
                    <w14:schemeClr w14:val="tx1"/>
                  </w14:solidFill>
                </w14:textFill>
              </w:rPr>
              <w:t>表2-2</w:t>
            </w:r>
            <w:r>
              <w:rPr>
                <w:rFonts w:hint="eastAsia"/>
                <w:b/>
                <w:color w:val="000000" w:themeColor="text1"/>
                <w:sz w:val="24"/>
                <w:szCs w:val="24"/>
                <w:u w:val="none"/>
                <w:lang w:val="en-US" w:eastAsia="zh-CN"/>
                <w14:textFill>
                  <w14:solidFill>
                    <w14:schemeClr w14:val="tx1"/>
                  </w14:solidFill>
                </w14:textFill>
              </w:rPr>
              <w:t xml:space="preserve">  </w:t>
            </w:r>
            <w:r>
              <w:rPr>
                <w:rFonts w:hint="default"/>
                <w:b/>
                <w:color w:val="000000" w:themeColor="text1"/>
                <w:sz w:val="24"/>
                <w:szCs w:val="24"/>
                <w:u w:val="none"/>
                <w14:textFill>
                  <w14:solidFill>
                    <w14:schemeClr w14:val="tx1"/>
                  </w14:solidFill>
                </w14:textFill>
              </w:rPr>
              <w:t>项目主要建设内容一览表</w:t>
            </w:r>
          </w:p>
          <w:tbl>
            <w:tblPr>
              <w:tblStyle w:val="2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87"/>
              <w:gridCol w:w="1707"/>
              <w:gridCol w:w="1345"/>
              <w:gridCol w:w="184"/>
              <w:gridCol w:w="1614"/>
              <w:gridCol w:w="3737"/>
            </w:tblGrid>
            <w:tr w14:paraId="61C5B8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0" w:type="pct"/>
                  <w:vAlign w:val="center"/>
                </w:tcPr>
                <w:p w14:paraId="1F979D59">
                  <w:pPr>
                    <w:keepNext w:val="0"/>
                    <w:keepLines w:val="0"/>
                    <w:suppressLineNumbers w:val="0"/>
                    <w:tabs>
                      <w:tab w:val="left" w:pos="5250"/>
                    </w:tabs>
                    <w:adjustRightInd w:val="0"/>
                    <w:snapToGrid w:val="0"/>
                    <w:spacing w:before="0" w:beforeAutospacing="0" w:after="0" w:afterAutospacing="0"/>
                    <w:ind w:left="0" w:right="0"/>
                    <w:jc w:val="center"/>
                    <w:rPr>
                      <w:rFonts w:hint="default" w:ascii="Times New Roman" w:hAnsi="Times New Roman" w:cs="Times New Roman"/>
                      <w:bCs/>
                      <w:color w:val="000000" w:themeColor="text1"/>
                      <w:sz w:val="21"/>
                      <w:szCs w:val="21"/>
                      <w:highlight w:val="none"/>
                      <w:u w:val="none"/>
                      <w14:textFill>
                        <w14:solidFill>
                          <w14:schemeClr w14:val="tx1"/>
                        </w14:solidFill>
                      </w14:textFill>
                    </w:rPr>
                  </w:pPr>
                  <w:r>
                    <w:rPr>
                      <w:rFonts w:hint="default" w:ascii="Times New Roman" w:hAnsi="Times New Roman" w:cs="Times New Roman"/>
                      <w:bCs/>
                      <w:color w:val="000000" w:themeColor="text1"/>
                      <w:sz w:val="21"/>
                      <w:szCs w:val="21"/>
                      <w:highlight w:val="none"/>
                      <w:u w:val="none"/>
                      <w14:textFill>
                        <w14:solidFill>
                          <w14:schemeClr w14:val="tx1"/>
                        </w14:solidFill>
                      </w14:textFill>
                    </w:rPr>
                    <w:t>类别</w:t>
                  </w:r>
                </w:p>
              </w:tc>
              <w:tc>
                <w:tcPr>
                  <w:tcW w:w="920" w:type="pct"/>
                  <w:vAlign w:val="center"/>
                </w:tcPr>
                <w:p w14:paraId="3D72355D">
                  <w:pPr>
                    <w:keepNext w:val="0"/>
                    <w:keepLines w:val="0"/>
                    <w:suppressLineNumbers w:val="0"/>
                    <w:tabs>
                      <w:tab w:val="left" w:pos="5250"/>
                    </w:tabs>
                    <w:adjustRightInd w:val="0"/>
                    <w:snapToGrid w:val="0"/>
                    <w:spacing w:before="0" w:beforeAutospacing="0" w:after="0" w:afterAutospacing="0"/>
                    <w:ind w:left="0" w:right="0"/>
                    <w:jc w:val="center"/>
                    <w:rPr>
                      <w:rFonts w:hint="default" w:ascii="Times New Roman" w:hAnsi="Times New Roman" w:cs="Times New Roman"/>
                      <w:bCs/>
                      <w:color w:val="000000" w:themeColor="text1"/>
                      <w:sz w:val="21"/>
                      <w:szCs w:val="21"/>
                      <w:highlight w:val="none"/>
                      <w:u w:val="none"/>
                      <w14:textFill>
                        <w14:solidFill>
                          <w14:schemeClr w14:val="tx1"/>
                        </w14:solidFill>
                      </w14:textFill>
                    </w:rPr>
                  </w:pPr>
                  <w:r>
                    <w:rPr>
                      <w:rFonts w:hint="default" w:ascii="Times New Roman" w:hAnsi="Times New Roman" w:cs="Times New Roman"/>
                      <w:bCs/>
                      <w:color w:val="000000" w:themeColor="text1"/>
                      <w:sz w:val="21"/>
                      <w:szCs w:val="21"/>
                      <w:highlight w:val="none"/>
                      <w:u w:val="none"/>
                      <w14:textFill>
                        <w14:solidFill>
                          <w14:schemeClr w14:val="tx1"/>
                        </w14:solidFill>
                      </w14:textFill>
                    </w:rPr>
                    <w:t>构筑物名称</w:t>
                  </w:r>
                </w:p>
              </w:tc>
              <w:tc>
                <w:tcPr>
                  <w:tcW w:w="725" w:type="pct"/>
                  <w:vAlign w:val="center"/>
                </w:tcPr>
                <w:p w14:paraId="3ACB8E3E">
                  <w:pPr>
                    <w:keepNext w:val="0"/>
                    <w:keepLines w:val="0"/>
                    <w:suppressLineNumbers w:val="0"/>
                    <w:tabs>
                      <w:tab w:val="left" w:pos="5250"/>
                    </w:tabs>
                    <w:adjustRightInd w:val="0"/>
                    <w:snapToGrid w:val="0"/>
                    <w:spacing w:before="0" w:beforeAutospacing="0" w:after="0" w:afterAutospacing="0"/>
                    <w:ind w:left="0" w:right="0"/>
                    <w:jc w:val="center"/>
                    <w:rPr>
                      <w:rFonts w:hint="default" w:ascii="Times New Roman" w:hAnsi="Times New Roman" w:cs="Times New Roman"/>
                      <w:bCs/>
                      <w:color w:val="000000" w:themeColor="text1"/>
                      <w:sz w:val="21"/>
                      <w:szCs w:val="21"/>
                      <w:highlight w:val="none"/>
                      <w:u w:val="none"/>
                      <w14:textFill>
                        <w14:solidFill>
                          <w14:schemeClr w14:val="tx1"/>
                        </w14:solidFill>
                      </w14:textFill>
                    </w:rPr>
                  </w:pPr>
                  <w:r>
                    <w:rPr>
                      <w:rFonts w:hint="default" w:ascii="Times New Roman" w:hAnsi="Times New Roman" w:cs="Times New Roman"/>
                      <w:bCs/>
                      <w:color w:val="000000" w:themeColor="text1"/>
                      <w:sz w:val="21"/>
                      <w:szCs w:val="21"/>
                      <w:highlight w:val="none"/>
                      <w:u w:val="none"/>
                      <w14:textFill>
                        <w14:solidFill>
                          <w14:schemeClr w14:val="tx1"/>
                        </w14:solidFill>
                      </w14:textFill>
                    </w:rPr>
                    <w:t>建筑面积</w:t>
                  </w:r>
                </w:p>
              </w:tc>
              <w:tc>
                <w:tcPr>
                  <w:tcW w:w="2983" w:type="pct"/>
                  <w:gridSpan w:val="3"/>
                  <w:vAlign w:val="center"/>
                </w:tcPr>
                <w:p w14:paraId="2EF1486D">
                  <w:pPr>
                    <w:keepNext w:val="0"/>
                    <w:keepLines w:val="0"/>
                    <w:suppressLineNumbers w:val="0"/>
                    <w:tabs>
                      <w:tab w:val="left" w:pos="5250"/>
                    </w:tabs>
                    <w:adjustRightInd w:val="0"/>
                    <w:snapToGrid w:val="0"/>
                    <w:spacing w:before="0" w:beforeAutospacing="0" w:after="0" w:afterAutospacing="0"/>
                    <w:ind w:left="0" w:right="0"/>
                    <w:jc w:val="center"/>
                    <w:rPr>
                      <w:rFonts w:hint="default" w:ascii="Times New Roman" w:hAnsi="Times New Roman" w:cs="Times New Roman"/>
                      <w:bCs/>
                      <w:color w:val="000000" w:themeColor="text1"/>
                      <w:sz w:val="21"/>
                      <w:szCs w:val="21"/>
                      <w:highlight w:val="none"/>
                      <w:u w:val="none"/>
                      <w14:textFill>
                        <w14:solidFill>
                          <w14:schemeClr w14:val="tx1"/>
                        </w14:solidFill>
                      </w14:textFill>
                    </w:rPr>
                  </w:pPr>
                  <w:r>
                    <w:rPr>
                      <w:rFonts w:hint="default" w:ascii="Times New Roman" w:hAnsi="Times New Roman" w:cs="Times New Roman"/>
                      <w:bCs/>
                      <w:color w:val="000000" w:themeColor="text1"/>
                      <w:sz w:val="21"/>
                      <w:szCs w:val="21"/>
                      <w:highlight w:val="none"/>
                      <w:u w:val="none"/>
                      <w14:textFill>
                        <w14:solidFill>
                          <w14:schemeClr w14:val="tx1"/>
                        </w14:solidFill>
                      </w14:textFill>
                    </w:rPr>
                    <w:t>备注</w:t>
                  </w:r>
                </w:p>
              </w:tc>
            </w:tr>
            <w:tr w14:paraId="25D586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0" w:type="pct"/>
                  <w:vMerge w:val="restart"/>
                  <w:vAlign w:val="center"/>
                </w:tcPr>
                <w:p w14:paraId="45C4B276">
                  <w:pPr>
                    <w:keepNext w:val="0"/>
                    <w:keepLines w:val="0"/>
                    <w:suppressLineNumbers w:val="0"/>
                    <w:tabs>
                      <w:tab w:val="left" w:pos="5250"/>
                    </w:tabs>
                    <w:adjustRightInd w:val="0"/>
                    <w:snapToGrid w:val="0"/>
                    <w:spacing w:before="0" w:beforeAutospacing="0" w:after="0" w:afterAutospacing="0"/>
                    <w:ind w:left="0" w:right="0"/>
                    <w:jc w:val="center"/>
                    <w:rPr>
                      <w:rFonts w:hint="default" w:ascii="Times New Roman" w:hAnsi="Times New Roman" w:cs="Times New Roman"/>
                      <w:bCs/>
                      <w:color w:val="000000" w:themeColor="text1"/>
                      <w:sz w:val="21"/>
                      <w:szCs w:val="21"/>
                      <w:highlight w:val="none"/>
                      <w:u w:val="none"/>
                      <w14:textFill>
                        <w14:solidFill>
                          <w14:schemeClr w14:val="tx1"/>
                        </w14:solidFill>
                      </w14:textFill>
                    </w:rPr>
                  </w:pPr>
                  <w:r>
                    <w:rPr>
                      <w:rFonts w:hint="default" w:ascii="Times New Roman" w:hAnsi="Times New Roman" w:cs="Times New Roman"/>
                      <w:bCs/>
                      <w:color w:val="000000" w:themeColor="text1"/>
                      <w:sz w:val="21"/>
                      <w:szCs w:val="21"/>
                      <w:highlight w:val="none"/>
                      <w:u w:val="none"/>
                      <w14:textFill>
                        <w14:solidFill>
                          <w14:schemeClr w14:val="tx1"/>
                        </w14:solidFill>
                      </w14:textFill>
                    </w:rPr>
                    <w:t>主体工程</w:t>
                  </w:r>
                </w:p>
              </w:tc>
              <w:tc>
                <w:tcPr>
                  <w:tcW w:w="920" w:type="pct"/>
                  <w:vAlign w:val="center"/>
                </w:tcPr>
                <w:p w14:paraId="64417967">
                  <w:pPr>
                    <w:keepNext w:val="0"/>
                    <w:keepLines w:val="0"/>
                    <w:suppressLineNumbers w:val="0"/>
                    <w:tabs>
                      <w:tab w:val="left" w:pos="5250"/>
                    </w:tabs>
                    <w:adjustRightInd w:val="0"/>
                    <w:snapToGrid w:val="0"/>
                    <w:spacing w:before="0" w:beforeAutospacing="0" w:after="0" w:afterAutospacing="0"/>
                    <w:ind w:left="0" w:right="0"/>
                    <w:jc w:val="center"/>
                    <w:rPr>
                      <w:rFonts w:hint="default" w:ascii="Times New Roman" w:hAnsi="Times New Roman" w:eastAsia="宋体" w:cs="Times New Roman"/>
                      <w:bCs/>
                      <w:color w:val="000000" w:themeColor="text1"/>
                      <w:sz w:val="21"/>
                      <w:szCs w:val="21"/>
                      <w:highlight w:val="none"/>
                      <w:u w:val="single"/>
                      <w:lang w:val="en-US" w:eastAsia="zh-CN"/>
                      <w14:textFill>
                        <w14:solidFill>
                          <w14:schemeClr w14:val="tx1"/>
                        </w14:solidFill>
                      </w14:textFill>
                    </w:rPr>
                  </w:pPr>
                  <w:r>
                    <w:rPr>
                      <w:rFonts w:hint="default" w:ascii="Times New Roman" w:hAnsi="Times New Roman" w:cs="Times New Roman"/>
                      <w:bCs/>
                      <w:color w:val="000000" w:themeColor="text1"/>
                      <w:sz w:val="21"/>
                      <w:szCs w:val="21"/>
                      <w:highlight w:val="none"/>
                      <w:u w:val="none"/>
                      <w:lang w:val="en-US" w:eastAsia="zh-CN"/>
                      <w14:textFill>
                        <w14:solidFill>
                          <w14:schemeClr w14:val="tx1"/>
                        </w14:solidFill>
                      </w14:textFill>
                    </w:rPr>
                    <w:t>生产车间</w:t>
                  </w:r>
                </w:p>
              </w:tc>
              <w:tc>
                <w:tcPr>
                  <w:tcW w:w="725" w:type="pct"/>
                  <w:vAlign w:val="center"/>
                </w:tcPr>
                <w:p w14:paraId="7CBDFBB5">
                  <w:pPr>
                    <w:keepNext w:val="0"/>
                    <w:keepLines w:val="0"/>
                    <w:suppressLineNumbers w:val="0"/>
                    <w:tabs>
                      <w:tab w:val="left" w:pos="5250"/>
                    </w:tabs>
                    <w:adjustRightInd w:val="0"/>
                    <w:snapToGrid w:val="0"/>
                    <w:spacing w:before="0" w:beforeAutospacing="0" w:after="0" w:afterAutospacing="0"/>
                    <w:ind w:left="0" w:right="0"/>
                    <w:jc w:val="center"/>
                    <w:rPr>
                      <w:rFonts w:hint="default" w:ascii="Times New Roman" w:hAnsi="Times New Roman" w:cs="Times New Roman"/>
                      <w:bCs/>
                      <w:color w:val="000000" w:themeColor="text1"/>
                      <w:sz w:val="21"/>
                      <w:szCs w:val="21"/>
                      <w:highlight w:val="none"/>
                      <w:u w:val="none"/>
                      <w14:textFill>
                        <w14:solidFill>
                          <w14:schemeClr w14:val="tx1"/>
                        </w14:solidFill>
                      </w14:textFill>
                    </w:rPr>
                  </w:pPr>
                  <w:r>
                    <w:rPr>
                      <w:rFonts w:hint="default" w:ascii="Times New Roman" w:hAnsi="Times New Roman" w:cs="Times New Roman"/>
                      <w:bCs/>
                      <w:color w:val="000000" w:themeColor="text1"/>
                      <w:sz w:val="21"/>
                      <w:szCs w:val="21"/>
                      <w:highlight w:val="none"/>
                      <w:u w:val="none"/>
                      <w:lang w:val="en-US" w:eastAsia="zh-CN"/>
                      <w14:textFill>
                        <w14:solidFill>
                          <w14:schemeClr w14:val="tx1"/>
                        </w14:solidFill>
                      </w14:textFill>
                    </w:rPr>
                    <w:t>3024</w:t>
                  </w:r>
                  <w:r>
                    <w:rPr>
                      <w:rFonts w:hint="default" w:ascii="Times New Roman" w:hAnsi="Times New Roman" w:cs="Times New Roman"/>
                      <w:bCs/>
                      <w:color w:val="000000" w:themeColor="text1"/>
                      <w:sz w:val="21"/>
                      <w:szCs w:val="21"/>
                      <w:highlight w:val="none"/>
                      <w:u w:val="none"/>
                      <w14:textFill>
                        <w14:solidFill>
                          <w14:schemeClr w14:val="tx1"/>
                        </w14:solidFill>
                      </w14:textFill>
                    </w:rPr>
                    <w:t>m</w:t>
                  </w:r>
                  <w:r>
                    <w:rPr>
                      <w:rFonts w:hint="default" w:ascii="Times New Roman" w:hAnsi="Times New Roman" w:cs="Times New Roman"/>
                      <w:bCs/>
                      <w:color w:val="000000" w:themeColor="text1"/>
                      <w:sz w:val="21"/>
                      <w:szCs w:val="21"/>
                      <w:highlight w:val="none"/>
                      <w:u w:val="none"/>
                      <w:vertAlign w:val="superscript"/>
                      <w14:textFill>
                        <w14:solidFill>
                          <w14:schemeClr w14:val="tx1"/>
                        </w14:solidFill>
                      </w14:textFill>
                    </w:rPr>
                    <w:t>2</w:t>
                  </w:r>
                </w:p>
              </w:tc>
              <w:tc>
                <w:tcPr>
                  <w:tcW w:w="2983" w:type="pct"/>
                  <w:gridSpan w:val="3"/>
                  <w:vAlign w:val="center"/>
                </w:tcPr>
                <w:p w14:paraId="4D28F29B">
                  <w:pPr>
                    <w:keepNext w:val="0"/>
                    <w:keepLines w:val="0"/>
                    <w:suppressLineNumbers w:val="0"/>
                    <w:tabs>
                      <w:tab w:val="left" w:pos="5250"/>
                    </w:tabs>
                    <w:adjustRightInd w:val="0"/>
                    <w:snapToGrid w:val="0"/>
                    <w:spacing w:before="0" w:beforeAutospacing="0" w:after="0" w:afterAutospacing="0"/>
                    <w:ind w:left="0" w:right="0"/>
                    <w:jc w:val="center"/>
                    <w:rPr>
                      <w:rFonts w:hint="default" w:ascii="Times New Roman" w:hAnsi="Times New Roman" w:eastAsia="宋体" w:cs="Times New Roman"/>
                      <w:bCs/>
                      <w:color w:val="000000" w:themeColor="text1"/>
                      <w:sz w:val="21"/>
                      <w:szCs w:val="21"/>
                      <w:highlight w:val="none"/>
                      <w:u w:val="single"/>
                      <w:lang w:val="en-US" w:eastAsia="zh-CN"/>
                      <w14:textFill>
                        <w14:solidFill>
                          <w14:schemeClr w14:val="tx1"/>
                        </w14:solidFill>
                      </w14:textFill>
                    </w:rPr>
                  </w:pPr>
                  <w:r>
                    <w:rPr>
                      <w:rFonts w:hint="default" w:ascii="Times New Roman" w:hAnsi="Times New Roman" w:cs="Times New Roman"/>
                      <w:bCs/>
                      <w:color w:val="000000" w:themeColor="text1"/>
                      <w:sz w:val="21"/>
                      <w:szCs w:val="21"/>
                      <w:highlight w:val="none"/>
                      <w:u w:val="none"/>
                      <w14:textFill>
                        <w14:solidFill>
                          <w14:schemeClr w14:val="tx1"/>
                        </w14:solidFill>
                      </w14:textFill>
                    </w:rPr>
                    <w:t>1层，封闭钢结构，车间内分区布局，</w:t>
                  </w:r>
                  <w:r>
                    <w:rPr>
                      <w:rFonts w:hint="default" w:ascii="Times New Roman" w:hAnsi="Times New Roman" w:cs="Times New Roman"/>
                      <w:color w:val="000000" w:themeColor="text1"/>
                      <w:sz w:val="21"/>
                      <w:szCs w:val="21"/>
                      <w:highlight w:val="none"/>
                      <w:u w:val="none"/>
                      <w14:textFill>
                        <w14:solidFill>
                          <w14:schemeClr w14:val="tx1"/>
                        </w14:solidFill>
                      </w14:textFill>
                    </w:rPr>
                    <w:t>设置</w:t>
                  </w:r>
                  <w:r>
                    <w:rPr>
                      <w:rFonts w:hint="eastAsia" w:ascii="Times New Roman" w:hAnsi="Times New Roman" w:cs="Times New Roman"/>
                      <w:color w:val="000000" w:themeColor="text1"/>
                      <w:sz w:val="21"/>
                      <w:szCs w:val="21"/>
                      <w:highlight w:val="none"/>
                      <w:u w:val="none"/>
                      <w:lang w:val="en-US" w:eastAsia="zh-CN"/>
                      <w14:textFill>
                        <w14:solidFill>
                          <w14:schemeClr w14:val="tx1"/>
                        </w14:solidFill>
                      </w14:textFill>
                    </w:rPr>
                    <w:t>有原料区、粉碎机、筛分机、烘干机、制棒机、碳化炉以及锯切机</w:t>
                  </w:r>
                </w:p>
              </w:tc>
            </w:tr>
            <w:tr w14:paraId="1563CB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0" w:type="pct"/>
                  <w:vMerge w:val="continue"/>
                  <w:vAlign w:val="center"/>
                </w:tcPr>
                <w:p w14:paraId="087796E0">
                  <w:pPr>
                    <w:keepNext w:val="0"/>
                    <w:keepLines w:val="0"/>
                    <w:suppressLineNumbers w:val="0"/>
                    <w:tabs>
                      <w:tab w:val="left" w:pos="5250"/>
                    </w:tabs>
                    <w:adjustRightInd w:val="0"/>
                    <w:snapToGrid w:val="0"/>
                    <w:spacing w:before="0" w:beforeAutospacing="0" w:after="0" w:afterAutospacing="0"/>
                    <w:ind w:left="0" w:right="0"/>
                    <w:jc w:val="center"/>
                    <w:rPr>
                      <w:rFonts w:hint="default" w:ascii="Times New Roman" w:hAnsi="Times New Roman" w:cs="Times New Roman"/>
                      <w:bCs/>
                      <w:color w:val="000000" w:themeColor="text1"/>
                      <w:sz w:val="21"/>
                      <w:szCs w:val="21"/>
                      <w:highlight w:val="none"/>
                      <w:u w:val="none"/>
                      <w14:textFill>
                        <w14:solidFill>
                          <w14:schemeClr w14:val="tx1"/>
                        </w14:solidFill>
                      </w14:textFill>
                    </w:rPr>
                  </w:pPr>
                </w:p>
              </w:tc>
              <w:tc>
                <w:tcPr>
                  <w:tcW w:w="920" w:type="pct"/>
                  <w:vAlign w:val="center"/>
                </w:tcPr>
                <w:p w14:paraId="128BEAE4">
                  <w:pPr>
                    <w:keepNext w:val="0"/>
                    <w:keepLines w:val="0"/>
                    <w:suppressLineNumbers w:val="0"/>
                    <w:tabs>
                      <w:tab w:val="left" w:pos="5250"/>
                    </w:tabs>
                    <w:adjustRightInd w:val="0"/>
                    <w:snapToGrid w:val="0"/>
                    <w:spacing w:before="0" w:beforeAutospacing="0" w:after="0" w:afterAutospacing="0"/>
                    <w:ind w:left="0" w:right="0"/>
                    <w:jc w:val="center"/>
                    <w:rPr>
                      <w:rFonts w:hint="default" w:ascii="Times New Roman" w:hAnsi="Times New Roman" w:cs="Times New Roman"/>
                      <w:bCs/>
                      <w:color w:val="000000" w:themeColor="text1"/>
                      <w:sz w:val="21"/>
                      <w:szCs w:val="21"/>
                      <w:highlight w:val="none"/>
                      <w:u w:val="single"/>
                      <w:lang w:val="en-US" w:eastAsia="zh-CN"/>
                      <w14:textFill>
                        <w14:solidFill>
                          <w14:schemeClr w14:val="tx1"/>
                        </w14:solidFill>
                      </w14:textFill>
                    </w:rPr>
                  </w:pPr>
                  <w:r>
                    <w:rPr>
                      <w:rFonts w:hint="default" w:ascii="Times New Roman" w:hAnsi="Times New Roman" w:cs="Times New Roman"/>
                      <w:bCs/>
                      <w:color w:val="000000" w:themeColor="text1"/>
                      <w:sz w:val="21"/>
                      <w:szCs w:val="21"/>
                      <w:highlight w:val="none"/>
                      <w:u w:val="none"/>
                      <w:lang w:val="en-US" w:eastAsia="zh-CN"/>
                      <w14:textFill>
                        <w14:solidFill>
                          <w14:schemeClr w14:val="tx1"/>
                        </w14:solidFill>
                      </w14:textFill>
                    </w:rPr>
                    <w:t>生物质颗粒生产车间及成品仓库</w:t>
                  </w:r>
                </w:p>
              </w:tc>
              <w:tc>
                <w:tcPr>
                  <w:tcW w:w="725" w:type="pct"/>
                  <w:vAlign w:val="center"/>
                </w:tcPr>
                <w:p w14:paraId="0483E4A7">
                  <w:pPr>
                    <w:keepNext w:val="0"/>
                    <w:keepLines w:val="0"/>
                    <w:suppressLineNumbers w:val="0"/>
                    <w:tabs>
                      <w:tab w:val="left" w:pos="5250"/>
                    </w:tabs>
                    <w:adjustRightInd w:val="0"/>
                    <w:snapToGrid w:val="0"/>
                    <w:spacing w:before="0" w:beforeAutospacing="0" w:after="0" w:afterAutospacing="0"/>
                    <w:ind w:left="0" w:right="0"/>
                    <w:jc w:val="center"/>
                    <w:rPr>
                      <w:rFonts w:hint="default" w:ascii="Times New Roman" w:hAnsi="Times New Roman" w:cs="Times New Roman"/>
                      <w:bCs/>
                      <w:color w:val="000000" w:themeColor="text1"/>
                      <w:sz w:val="21"/>
                      <w:szCs w:val="21"/>
                      <w:highlight w:val="none"/>
                      <w:u w:val="none"/>
                      <w:lang w:val="en-US" w:eastAsia="zh-CN"/>
                      <w14:textFill>
                        <w14:solidFill>
                          <w14:schemeClr w14:val="tx1"/>
                        </w14:solidFill>
                      </w14:textFill>
                    </w:rPr>
                  </w:pPr>
                  <w:r>
                    <w:rPr>
                      <w:rFonts w:hint="default" w:ascii="Times New Roman" w:hAnsi="Times New Roman" w:cs="Times New Roman"/>
                      <w:bCs/>
                      <w:color w:val="000000" w:themeColor="text1"/>
                      <w:sz w:val="21"/>
                      <w:szCs w:val="21"/>
                      <w:highlight w:val="none"/>
                      <w:u w:val="none"/>
                      <w:lang w:val="en-US" w:eastAsia="zh-CN"/>
                      <w14:textFill>
                        <w14:solidFill>
                          <w14:schemeClr w14:val="tx1"/>
                        </w14:solidFill>
                      </w14:textFill>
                    </w:rPr>
                    <w:t>800</w:t>
                  </w:r>
                  <w:r>
                    <w:rPr>
                      <w:rFonts w:hint="default" w:ascii="Times New Roman" w:hAnsi="Times New Roman" w:cs="Times New Roman"/>
                      <w:bCs/>
                      <w:color w:val="000000" w:themeColor="text1"/>
                      <w:sz w:val="21"/>
                      <w:szCs w:val="21"/>
                      <w:highlight w:val="none"/>
                      <w:u w:val="none"/>
                      <w14:textFill>
                        <w14:solidFill>
                          <w14:schemeClr w14:val="tx1"/>
                        </w14:solidFill>
                      </w14:textFill>
                    </w:rPr>
                    <w:t>m</w:t>
                  </w:r>
                  <w:r>
                    <w:rPr>
                      <w:rFonts w:hint="default" w:ascii="Times New Roman" w:hAnsi="Times New Roman" w:cs="Times New Roman"/>
                      <w:bCs/>
                      <w:color w:val="000000" w:themeColor="text1"/>
                      <w:sz w:val="21"/>
                      <w:szCs w:val="21"/>
                      <w:highlight w:val="none"/>
                      <w:u w:val="none"/>
                      <w:vertAlign w:val="superscript"/>
                      <w14:textFill>
                        <w14:solidFill>
                          <w14:schemeClr w14:val="tx1"/>
                        </w14:solidFill>
                      </w14:textFill>
                    </w:rPr>
                    <w:t>2</w:t>
                  </w:r>
                </w:p>
              </w:tc>
              <w:tc>
                <w:tcPr>
                  <w:tcW w:w="2983" w:type="pct"/>
                  <w:gridSpan w:val="3"/>
                  <w:vAlign w:val="center"/>
                </w:tcPr>
                <w:p w14:paraId="23F1B9B0">
                  <w:pPr>
                    <w:keepNext w:val="0"/>
                    <w:keepLines w:val="0"/>
                    <w:suppressLineNumbers w:val="0"/>
                    <w:tabs>
                      <w:tab w:val="left" w:pos="5250"/>
                    </w:tabs>
                    <w:adjustRightInd w:val="0"/>
                    <w:snapToGrid w:val="0"/>
                    <w:spacing w:before="0" w:beforeAutospacing="0" w:after="0" w:afterAutospacing="0"/>
                    <w:ind w:left="0" w:right="0"/>
                    <w:jc w:val="center"/>
                    <w:rPr>
                      <w:rFonts w:hint="default" w:ascii="Times New Roman" w:hAnsi="Times New Roman" w:eastAsia="宋体" w:cs="Times New Roman"/>
                      <w:bCs/>
                      <w:color w:val="000000" w:themeColor="text1"/>
                      <w:sz w:val="21"/>
                      <w:szCs w:val="21"/>
                      <w:highlight w:val="none"/>
                      <w:u w:val="single"/>
                      <w:lang w:val="en-US" w:eastAsia="zh-CN"/>
                      <w14:textFill>
                        <w14:solidFill>
                          <w14:schemeClr w14:val="tx1"/>
                        </w14:solidFill>
                      </w14:textFill>
                    </w:rPr>
                  </w:pPr>
                  <w:r>
                    <w:rPr>
                      <w:rFonts w:hint="default" w:ascii="Times New Roman" w:hAnsi="Times New Roman" w:cs="Times New Roman"/>
                      <w:bCs/>
                      <w:color w:val="000000" w:themeColor="text1"/>
                      <w:sz w:val="21"/>
                      <w:szCs w:val="21"/>
                      <w:highlight w:val="none"/>
                      <w:u w:val="none"/>
                      <w14:textFill>
                        <w14:solidFill>
                          <w14:schemeClr w14:val="tx1"/>
                        </w14:solidFill>
                      </w14:textFill>
                    </w:rPr>
                    <w:t>1层，封闭钢结构，</w:t>
                  </w:r>
                  <w:r>
                    <w:rPr>
                      <w:rFonts w:hint="default" w:ascii="Times New Roman" w:hAnsi="Times New Roman" w:cs="Times New Roman"/>
                      <w:bCs/>
                      <w:color w:val="000000" w:themeColor="text1"/>
                      <w:sz w:val="21"/>
                      <w:szCs w:val="21"/>
                      <w:highlight w:val="none"/>
                      <w:u w:val="none"/>
                      <w:lang w:val="en-US" w:eastAsia="zh-CN"/>
                      <w14:textFill>
                        <w14:solidFill>
                          <w14:schemeClr w14:val="tx1"/>
                        </w14:solidFill>
                      </w14:textFill>
                    </w:rPr>
                    <w:t>设置</w:t>
                  </w:r>
                  <w:r>
                    <w:rPr>
                      <w:rFonts w:hint="default" w:ascii="Times New Roman" w:hAnsi="Times New Roman" w:eastAsia="宋体" w:cs="Times New Roman"/>
                      <w:b w:val="0"/>
                      <w:bCs w:val="0"/>
                      <w:i w:val="0"/>
                      <w:iCs w:val="0"/>
                      <w:caps w:val="0"/>
                      <w:color w:val="000000" w:themeColor="text1"/>
                      <w:spacing w:val="0"/>
                      <w:sz w:val="21"/>
                      <w:szCs w:val="21"/>
                      <w:highlight w:val="none"/>
                      <w:u w:val="none"/>
                      <w:lang w:val="en-US" w:eastAsia="zh-CN"/>
                      <w14:textFill>
                        <w14:solidFill>
                          <w14:schemeClr w14:val="tx1"/>
                        </w14:solidFill>
                      </w14:textFill>
                    </w:rPr>
                    <w:t>生物质颗粒</w:t>
                  </w:r>
                  <w:r>
                    <w:rPr>
                      <w:rFonts w:hint="default" w:ascii="Times New Roman" w:hAnsi="Times New Roman" w:cs="Times New Roman"/>
                      <w:b w:val="0"/>
                      <w:bCs w:val="0"/>
                      <w:i w:val="0"/>
                      <w:iCs w:val="0"/>
                      <w:caps w:val="0"/>
                      <w:color w:val="000000" w:themeColor="text1"/>
                      <w:spacing w:val="0"/>
                      <w:sz w:val="21"/>
                      <w:szCs w:val="21"/>
                      <w:highlight w:val="none"/>
                      <w:u w:val="none"/>
                      <w:lang w:val="en-US" w:eastAsia="zh-CN"/>
                      <w14:textFill>
                        <w14:solidFill>
                          <w14:schemeClr w14:val="tx1"/>
                        </w14:solidFill>
                      </w14:textFill>
                    </w:rPr>
                    <w:t>生产线加工区（</w:t>
                  </w:r>
                  <w:r>
                    <w:rPr>
                      <w:rFonts w:hint="eastAsia" w:ascii="Times New Roman" w:hAnsi="Times New Roman" w:cs="Times New Roman"/>
                      <w:b w:val="0"/>
                      <w:bCs w:val="0"/>
                      <w:i w:val="0"/>
                      <w:iCs w:val="0"/>
                      <w:caps w:val="0"/>
                      <w:color w:val="000000" w:themeColor="text1"/>
                      <w:spacing w:val="0"/>
                      <w:sz w:val="21"/>
                      <w:szCs w:val="21"/>
                      <w:highlight w:val="none"/>
                      <w:u w:val="none"/>
                      <w:lang w:val="en-US" w:eastAsia="zh-CN"/>
                      <w14:textFill>
                        <w14:solidFill>
                          <w14:schemeClr w14:val="tx1"/>
                        </w14:solidFill>
                      </w14:textFill>
                    </w:rPr>
                    <w:t>布设有破碎机、筛分机以及造粒机</w:t>
                  </w:r>
                  <w:r>
                    <w:rPr>
                      <w:rFonts w:hint="default" w:ascii="Times New Roman" w:hAnsi="Times New Roman" w:cs="Times New Roman"/>
                      <w:b w:val="0"/>
                      <w:bCs w:val="0"/>
                      <w:i w:val="0"/>
                      <w:iCs w:val="0"/>
                      <w:caps w:val="0"/>
                      <w:color w:val="000000" w:themeColor="text1"/>
                      <w:spacing w:val="0"/>
                      <w:sz w:val="21"/>
                      <w:szCs w:val="21"/>
                      <w:highlight w:val="none"/>
                      <w:u w:val="none"/>
                      <w:lang w:val="en-US" w:eastAsia="zh-CN"/>
                      <w14:textFill>
                        <w14:solidFill>
                          <w14:schemeClr w14:val="tx1"/>
                        </w14:solidFill>
                      </w14:textFill>
                    </w:rPr>
                    <w:t>）及成品仓库（机制炭</w:t>
                  </w:r>
                  <w:r>
                    <w:rPr>
                      <w:rFonts w:hint="eastAsia" w:ascii="Times New Roman" w:hAnsi="Times New Roman" w:cs="Times New Roman"/>
                      <w:b w:val="0"/>
                      <w:bCs w:val="0"/>
                      <w:i w:val="0"/>
                      <w:iCs w:val="0"/>
                      <w:caps w:val="0"/>
                      <w:color w:val="000000" w:themeColor="text1"/>
                      <w:spacing w:val="0"/>
                      <w:sz w:val="21"/>
                      <w:szCs w:val="21"/>
                      <w:highlight w:val="none"/>
                      <w:u w:val="none"/>
                      <w:lang w:val="en-US" w:eastAsia="zh-CN"/>
                      <w14:textFill>
                        <w14:solidFill>
                          <w14:schemeClr w14:val="tx1"/>
                        </w14:solidFill>
                      </w14:textFill>
                    </w:rPr>
                    <w:t>及</w:t>
                  </w:r>
                  <w:r>
                    <w:rPr>
                      <w:rFonts w:hint="default" w:ascii="Times New Roman" w:hAnsi="Times New Roman" w:cs="Times New Roman"/>
                      <w:b w:val="0"/>
                      <w:bCs w:val="0"/>
                      <w:i w:val="0"/>
                      <w:iCs w:val="0"/>
                      <w:caps w:val="0"/>
                      <w:color w:val="000000" w:themeColor="text1"/>
                      <w:spacing w:val="0"/>
                      <w:sz w:val="21"/>
                      <w:szCs w:val="21"/>
                      <w:highlight w:val="none"/>
                      <w:u w:val="none"/>
                      <w:lang w:val="en-US" w:eastAsia="zh-CN"/>
                      <w14:textFill>
                        <w14:solidFill>
                          <w14:schemeClr w14:val="tx1"/>
                        </w14:solidFill>
                      </w14:textFill>
                    </w:rPr>
                    <w:t>生物质颗粒成品区）</w:t>
                  </w:r>
                </w:p>
              </w:tc>
            </w:tr>
            <w:tr w14:paraId="5678F9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0" w:type="pct"/>
                  <w:vMerge w:val="restart"/>
                  <w:vAlign w:val="center"/>
                </w:tcPr>
                <w:p w14:paraId="3DC80462">
                  <w:pPr>
                    <w:keepNext w:val="0"/>
                    <w:keepLines w:val="0"/>
                    <w:suppressLineNumbers w:val="0"/>
                    <w:tabs>
                      <w:tab w:val="left" w:pos="5250"/>
                    </w:tabs>
                    <w:adjustRightInd w:val="0"/>
                    <w:snapToGrid w:val="0"/>
                    <w:spacing w:before="0" w:beforeAutospacing="0" w:after="0" w:afterAutospacing="0"/>
                    <w:ind w:left="0" w:right="0"/>
                    <w:jc w:val="center"/>
                    <w:rPr>
                      <w:rFonts w:hint="default" w:ascii="Times New Roman" w:hAnsi="Times New Roman" w:cs="Times New Roman"/>
                      <w:bCs/>
                      <w:color w:val="000000" w:themeColor="text1"/>
                      <w:sz w:val="21"/>
                      <w:szCs w:val="21"/>
                      <w:highlight w:val="none"/>
                      <w:u w:val="none"/>
                      <w14:textFill>
                        <w14:solidFill>
                          <w14:schemeClr w14:val="tx1"/>
                        </w14:solidFill>
                      </w14:textFill>
                    </w:rPr>
                  </w:pPr>
                  <w:r>
                    <w:rPr>
                      <w:rFonts w:hint="default" w:ascii="Times New Roman" w:hAnsi="Times New Roman" w:cs="Times New Roman"/>
                      <w:bCs/>
                      <w:color w:val="000000" w:themeColor="text1"/>
                      <w:sz w:val="21"/>
                      <w:szCs w:val="21"/>
                      <w:highlight w:val="none"/>
                      <w:u w:val="none"/>
                      <w14:textFill>
                        <w14:solidFill>
                          <w14:schemeClr w14:val="tx1"/>
                        </w14:solidFill>
                      </w14:textFill>
                    </w:rPr>
                    <w:t>辅助工程</w:t>
                  </w:r>
                </w:p>
              </w:tc>
              <w:tc>
                <w:tcPr>
                  <w:tcW w:w="920" w:type="pct"/>
                  <w:vAlign w:val="center"/>
                </w:tcPr>
                <w:p w14:paraId="708C9E64">
                  <w:pPr>
                    <w:keepNext w:val="0"/>
                    <w:keepLines w:val="0"/>
                    <w:suppressLineNumbers w:val="0"/>
                    <w:tabs>
                      <w:tab w:val="left" w:pos="5250"/>
                    </w:tabs>
                    <w:adjustRightInd w:val="0"/>
                    <w:snapToGrid w:val="0"/>
                    <w:spacing w:before="0" w:beforeAutospacing="0" w:after="0" w:afterAutospacing="0"/>
                    <w:ind w:left="0" w:right="0"/>
                    <w:jc w:val="center"/>
                    <w:rPr>
                      <w:rFonts w:hint="default" w:ascii="Times New Roman" w:hAnsi="Times New Roman" w:eastAsia="宋体" w:cs="Times New Roman"/>
                      <w:bCs/>
                      <w:color w:val="000000" w:themeColor="text1"/>
                      <w:sz w:val="21"/>
                      <w:szCs w:val="21"/>
                      <w:highlight w:val="none"/>
                      <w:u w:val="none"/>
                      <w:lang w:val="en-US" w:eastAsia="zh-CN"/>
                      <w14:textFill>
                        <w14:solidFill>
                          <w14:schemeClr w14:val="tx1"/>
                        </w14:solidFill>
                      </w14:textFill>
                    </w:rPr>
                  </w:pPr>
                  <w:r>
                    <w:rPr>
                      <w:rFonts w:hint="default" w:ascii="Times New Roman" w:hAnsi="Times New Roman" w:cs="Times New Roman"/>
                      <w:bCs/>
                      <w:color w:val="000000" w:themeColor="text1"/>
                      <w:sz w:val="21"/>
                      <w:szCs w:val="21"/>
                      <w:highlight w:val="none"/>
                      <w:u w:val="none"/>
                      <w:lang w:val="en-US" w:eastAsia="zh-CN"/>
                      <w14:textFill>
                        <w14:solidFill>
                          <w14:schemeClr w14:val="tx1"/>
                        </w14:solidFill>
                      </w14:textFill>
                    </w:rPr>
                    <w:t>办公生活区</w:t>
                  </w:r>
                </w:p>
              </w:tc>
              <w:tc>
                <w:tcPr>
                  <w:tcW w:w="725" w:type="pct"/>
                  <w:vAlign w:val="center"/>
                </w:tcPr>
                <w:p w14:paraId="0D4B725C">
                  <w:pPr>
                    <w:keepNext w:val="0"/>
                    <w:keepLines w:val="0"/>
                    <w:suppressLineNumbers w:val="0"/>
                    <w:tabs>
                      <w:tab w:val="left" w:pos="5250"/>
                    </w:tabs>
                    <w:adjustRightInd w:val="0"/>
                    <w:snapToGrid w:val="0"/>
                    <w:spacing w:before="0" w:beforeAutospacing="0" w:after="0" w:afterAutospacing="0"/>
                    <w:ind w:left="0" w:right="0"/>
                    <w:jc w:val="center"/>
                    <w:rPr>
                      <w:rFonts w:hint="default" w:ascii="Times New Roman" w:hAnsi="Times New Roman" w:cs="Times New Roman"/>
                      <w:bCs/>
                      <w:color w:val="000000" w:themeColor="text1"/>
                      <w:sz w:val="21"/>
                      <w:szCs w:val="21"/>
                      <w:highlight w:val="none"/>
                      <w:u w:val="none"/>
                      <w14:textFill>
                        <w14:solidFill>
                          <w14:schemeClr w14:val="tx1"/>
                        </w14:solidFill>
                      </w14:textFill>
                    </w:rPr>
                  </w:pPr>
                  <w:r>
                    <w:rPr>
                      <w:rFonts w:hint="eastAsia" w:ascii="Times New Roman" w:hAnsi="Times New Roman" w:cs="Times New Roman"/>
                      <w:bCs/>
                      <w:color w:val="000000" w:themeColor="text1"/>
                      <w:sz w:val="21"/>
                      <w:szCs w:val="21"/>
                      <w:highlight w:val="none"/>
                      <w:u w:val="none"/>
                      <w:lang w:val="en-US" w:eastAsia="zh-CN"/>
                      <w14:textFill>
                        <w14:solidFill>
                          <w14:schemeClr w14:val="tx1"/>
                        </w14:solidFill>
                      </w14:textFill>
                    </w:rPr>
                    <w:t>300</w:t>
                  </w:r>
                  <w:r>
                    <w:rPr>
                      <w:rFonts w:hint="default" w:ascii="Times New Roman" w:hAnsi="Times New Roman" w:cs="Times New Roman"/>
                      <w:bCs/>
                      <w:color w:val="000000" w:themeColor="text1"/>
                      <w:sz w:val="21"/>
                      <w:szCs w:val="21"/>
                      <w:highlight w:val="none"/>
                      <w:u w:val="none"/>
                      <w14:textFill>
                        <w14:solidFill>
                          <w14:schemeClr w14:val="tx1"/>
                        </w14:solidFill>
                      </w14:textFill>
                    </w:rPr>
                    <w:t>m</w:t>
                  </w:r>
                  <w:r>
                    <w:rPr>
                      <w:rFonts w:hint="default" w:ascii="Times New Roman" w:hAnsi="Times New Roman" w:cs="Times New Roman"/>
                      <w:bCs/>
                      <w:color w:val="000000" w:themeColor="text1"/>
                      <w:sz w:val="21"/>
                      <w:szCs w:val="21"/>
                      <w:highlight w:val="none"/>
                      <w:u w:val="none"/>
                      <w:vertAlign w:val="superscript"/>
                      <w14:textFill>
                        <w14:solidFill>
                          <w14:schemeClr w14:val="tx1"/>
                        </w14:solidFill>
                      </w14:textFill>
                    </w:rPr>
                    <w:t>2</w:t>
                  </w:r>
                </w:p>
              </w:tc>
              <w:tc>
                <w:tcPr>
                  <w:tcW w:w="2983" w:type="pct"/>
                  <w:gridSpan w:val="3"/>
                  <w:vAlign w:val="center"/>
                </w:tcPr>
                <w:p w14:paraId="40579BAC">
                  <w:pPr>
                    <w:keepNext w:val="0"/>
                    <w:keepLines w:val="0"/>
                    <w:suppressLineNumbers w:val="0"/>
                    <w:tabs>
                      <w:tab w:val="left" w:pos="5250"/>
                    </w:tabs>
                    <w:adjustRightInd w:val="0"/>
                    <w:snapToGrid w:val="0"/>
                    <w:spacing w:before="0" w:beforeAutospacing="0" w:after="0" w:afterAutospacing="0"/>
                    <w:ind w:left="0" w:right="0"/>
                    <w:jc w:val="center"/>
                    <w:rPr>
                      <w:rFonts w:hint="default" w:ascii="Times New Roman" w:hAnsi="Times New Roman" w:eastAsia="宋体" w:cs="Times New Roman"/>
                      <w:bCs/>
                      <w:color w:val="000000" w:themeColor="text1"/>
                      <w:sz w:val="21"/>
                      <w:szCs w:val="21"/>
                      <w:highlight w:val="none"/>
                      <w:u w:val="none"/>
                      <w:lang w:val="en-US" w:eastAsia="zh-CN"/>
                      <w14:textFill>
                        <w14:solidFill>
                          <w14:schemeClr w14:val="tx1"/>
                        </w14:solidFill>
                      </w14:textFill>
                    </w:rPr>
                  </w:pPr>
                  <w:r>
                    <w:rPr>
                      <w:rFonts w:hint="default" w:ascii="Times New Roman" w:hAnsi="Times New Roman" w:cs="Times New Roman"/>
                      <w:bCs/>
                      <w:color w:val="000000" w:themeColor="text1"/>
                      <w:sz w:val="21"/>
                      <w:szCs w:val="21"/>
                      <w:highlight w:val="none"/>
                      <w:u w:val="none"/>
                      <w14:textFill>
                        <w14:solidFill>
                          <w14:schemeClr w14:val="tx1"/>
                        </w14:solidFill>
                      </w14:textFill>
                    </w:rPr>
                    <w:t>1F，封闭</w:t>
                  </w:r>
                  <w:r>
                    <w:rPr>
                      <w:rFonts w:hint="default" w:ascii="Times New Roman" w:hAnsi="Times New Roman" w:cs="Times New Roman"/>
                      <w:bCs/>
                      <w:color w:val="000000" w:themeColor="text1"/>
                      <w:sz w:val="21"/>
                      <w:szCs w:val="21"/>
                      <w:highlight w:val="none"/>
                      <w:u w:val="none"/>
                      <w:lang w:val="en-US" w:eastAsia="zh-CN"/>
                      <w14:textFill>
                        <w14:solidFill>
                          <w14:schemeClr w14:val="tx1"/>
                        </w14:solidFill>
                      </w14:textFill>
                    </w:rPr>
                    <w:t>砖混结构</w:t>
                  </w:r>
                  <w:r>
                    <w:rPr>
                      <w:rFonts w:hint="default" w:ascii="Times New Roman" w:hAnsi="Times New Roman" w:cs="Times New Roman"/>
                      <w:bCs/>
                      <w:color w:val="000000" w:themeColor="text1"/>
                      <w:sz w:val="21"/>
                      <w:szCs w:val="21"/>
                      <w:highlight w:val="none"/>
                      <w:u w:val="none"/>
                      <w14:textFill>
                        <w14:solidFill>
                          <w14:schemeClr w14:val="tx1"/>
                        </w14:solidFill>
                      </w14:textFill>
                    </w:rPr>
                    <w:t>，用于职工日常办公</w:t>
                  </w:r>
                  <w:r>
                    <w:rPr>
                      <w:rFonts w:hint="default" w:ascii="Times New Roman" w:hAnsi="Times New Roman" w:cs="Times New Roman"/>
                      <w:bCs/>
                      <w:color w:val="000000" w:themeColor="text1"/>
                      <w:sz w:val="21"/>
                      <w:szCs w:val="21"/>
                      <w:highlight w:val="none"/>
                      <w:u w:val="none"/>
                      <w:lang w:eastAsia="zh-CN"/>
                      <w14:textFill>
                        <w14:solidFill>
                          <w14:schemeClr w14:val="tx1"/>
                        </w14:solidFill>
                      </w14:textFill>
                    </w:rPr>
                    <w:t>、</w:t>
                  </w:r>
                  <w:r>
                    <w:rPr>
                      <w:rFonts w:hint="default" w:ascii="Times New Roman" w:hAnsi="Times New Roman" w:cs="Times New Roman"/>
                      <w:bCs/>
                      <w:color w:val="000000" w:themeColor="text1"/>
                      <w:sz w:val="21"/>
                      <w:szCs w:val="21"/>
                      <w:highlight w:val="none"/>
                      <w:u w:val="none"/>
                      <w:lang w:val="en-US" w:eastAsia="zh-CN"/>
                      <w14:textFill>
                        <w14:solidFill>
                          <w14:schemeClr w14:val="tx1"/>
                        </w14:solidFill>
                      </w14:textFill>
                    </w:rPr>
                    <w:t>生活</w:t>
                  </w:r>
                </w:p>
              </w:tc>
            </w:tr>
            <w:tr w14:paraId="623494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0" w:type="pct"/>
                  <w:vMerge w:val="continue"/>
                  <w:vAlign w:val="center"/>
                </w:tcPr>
                <w:p w14:paraId="7FCB35CE">
                  <w:pPr>
                    <w:keepNext w:val="0"/>
                    <w:keepLines w:val="0"/>
                    <w:suppressLineNumbers w:val="0"/>
                    <w:tabs>
                      <w:tab w:val="left" w:pos="5250"/>
                    </w:tabs>
                    <w:adjustRightInd w:val="0"/>
                    <w:snapToGrid w:val="0"/>
                    <w:spacing w:before="0" w:beforeAutospacing="0" w:after="0" w:afterAutospacing="0"/>
                    <w:ind w:left="0" w:right="0"/>
                    <w:jc w:val="center"/>
                    <w:rPr>
                      <w:rFonts w:hint="default" w:ascii="Times New Roman" w:hAnsi="Times New Roman" w:cs="Times New Roman"/>
                      <w:bCs/>
                      <w:color w:val="000000" w:themeColor="text1"/>
                      <w:sz w:val="21"/>
                      <w:szCs w:val="21"/>
                      <w:highlight w:val="none"/>
                      <w:u w:val="none"/>
                      <w14:textFill>
                        <w14:solidFill>
                          <w14:schemeClr w14:val="tx1"/>
                        </w14:solidFill>
                      </w14:textFill>
                    </w:rPr>
                  </w:pPr>
                </w:p>
              </w:tc>
              <w:tc>
                <w:tcPr>
                  <w:tcW w:w="920" w:type="pct"/>
                  <w:vAlign w:val="center"/>
                </w:tcPr>
                <w:p w14:paraId="071B4AC2">
                  <w:pPr>
                    <w:keepNext w:val="0"/>
                    <w:keepLines w:val="0"/>
                    <w:suppressLineNumbers w:val="0"/>
                    <w:tabs>
                      <w:tab w:val="left" w:pos="5250"/>
                    </w:tabs>
                    <w:adjustRightInd w:val="0"/>
                    <w:snapToGrid w:val="0"/>
                    <w:spacing w:before="0" w:beforeAutospacing="0" w:after="0" w:afterAutospacing="0"/>
                    <w:ind w:left="0" w:leftChars="0" w:right="0" w:rightChars="0"/>
                    <w:jc w:val="center"/>
                    <w:rPr>
                      <w:rFonts w:hint="eastAsia" w:ascii="Times New Roman" w:hAnsi="Times New Roman" w:cs="Times New Roman"/>
                      <w:bCs/>
                      <w:color w:val="000000" w:themeColor="text1"/>
                      <w:sz w:val="21"/>
                      <w:szCs w:val="21"/>
                      <w:highlight w:val="none"/>
                      <w:u w:val="none"/>
                      <w:lang w:val="en-US" w:eastAsia="zh-CN"/>
                      <w14:textFill>
                        <w14:solidFill>
                          <w14:schemeClr w14:val="tx1"/>
                        </w14:solidFill>
                      </w14:textFill>
                    </w:rPr>
                  </w:pPr>
                  <w:r>
                    <w:rPr>
                      <w:rFonts w:hint="eastAsia" w:ascii="Times New Roman" w:hAnsi="Times New Roman" w:cs="Times New Roman"/>
                      <w:bCs/>
                      <w:color w:val="000000" w:themeColor="text1"/>
                      <w:sz w:val="21"/>
                      <w:szCs w:val="21"/>
                      <w:highlight w:val="none"/>
                      <w:u w:val="none"/>
                      <w:lang w:val="en-US" w:eastAsia="zh-CN"/>
                      <w14:textFill>
                        <w14:solidFill>
                          <w14:schemeClr w14:val="tx1"/>
                        </w14:solidFill>
                      </w14:textFill>
                    </w:rPr>
                    <w:t>会议室</w:t>
                  </w:r>
                </w:p>
              </w:tc>
              <w:tc>
                <w:tcPr>
                  <w:tcW w:w="725" w:type="pct"/>
                  <w:vAlign w:val="center"/>
                </w:tcPr>
                <w:p w14:paraId="018D269B">
                  <w:pPr>
                    <w:keepNext w:val="0"/>
                    <w:keepLines w:val="0"/>
                    <w:suppressLineNumbers w:val="0"/>
                    <w:tabs>
                      <w:tab w:val="left" w:pos="5250"/>
                    </w:tabs>
                    <w:adjustRightInd w:val="0"/>
                    <w:snapToGrid w:val="0"/>
                    <w:spacing w:before="0" w:beforeAutospacing="0" w:after="0" w:afterAutospacing="0"/>
                    <w:ind w:left="0" w:leftChars="0" w:right="0" w:rightChars="0"/>
                    <w:jc w:val="center"/>
                    <w:rPr>
                      <w:rFonts w:hint="eastAsia" w:ascii="Times New Roman" w:hAnsi="Times New Roman" w:cs="Times New Roman"/>
                      <w:bCs/>
                      <w:color w:val="000000" w:themeColor="text1"/>
                      <w:sz w:val="21"/>
                      <w:szCs w:val="21"/>
                      <w:highlight w:val="none"/>
                      <w:u w:val="none"/>
                      <w:lang w:val="en-US" w:eastAsia="zh-CN"/>
                      <w14:textFill>
                        <w14:solidFill>
                          <w14:schemeClr w14:val="tx1"/>
                        </w14:solidFill>
                      </w14:textFill>
                    </w:rPr>
                  </w:pPr>
                  <w:r>
                    <w:rPr>
                      <w:rFonts w:hint="eastAsia" w:ascii="Times New Roman" w:hAnsi="Times New Roman" w:cs="Times New Roman"/>
                      <w:bCs/>
                      <w:color w:val="000000" w:themeColor="text1"/>
                      <w:sz w:val="21"/>
                      <w:szCs w:val="21"/>
                      <w:highlight w:val="none"/>
                      <w:u w:val="none"/>
                      <w:lang w:val="en-US" w:eastAsia="zh-CN"/>
                      <w14:textFill>
                        <w14:solidFill>
                          <w14:schemeClr w14:val="tx1"/>
                        </w14:solidFill>
                      </w14:textFill>
                    </w:rPr>
                    <w:t>200</w:t>
                  </w:r>
                  <w:r>
                    <w:rPr>
                      <w:rFonts w:hint="default" w:ascii="Times New Roman" w:hAnsi="Times New Roman" w:cs="Times New Roman"/>
                      <w:bCs/>
                      <w:color w:val="000000" w:themeColor="text1"/>
                      <w:sz w:val="21"/>
                      <w:szCs w:val="21"/>
                      <w:highlight w:val="none"/>
                      <w:u w:val="none"/>
                      <w14:textFill>
                        <w14:solidFill>
                          <w14:schemeClr w14:val="tx1"/>
                        </w14:solidFill>
                      </w14:textFill>
                    </w:rPr>
                    <w:t>m</w:t>
                  </w:r>
                  <w:r>
                    <w:rPr>
                      <w:rFonts w:hint="default" w:ascii="Times New Roman" w:hAnsi="Times New Roman" w:cs="Times New Roman"/>
                      <w:bCs/>
                      <w:color w:val="000000" w:themeColor="text1"/>
                      <w:sz w:val="21"/>
                      <w:szCs w:val="21"/>
                      <w:highlight w:val="none"/>
                      <w:u w:val="none"/>
                      <w:vertAlign w:val="superscript"/>
                      <w14:textFill>
                        <w14:solidFill>
                          <w14:schemeClr w14:val="tx1"/>
                        </w14:solidFill>
                      </w14:textFill>
                    </w:rPr>
                    <w:t>2</w:t>
                  </w:r>
                </w:p>
              </w:tc>
              <w:tc>
                <w:tcPr>
                  <w:tcW w:w="2983" w:type="pct"/>
                  <w:gridSpan w:val="3"/>
                  <w:vAlign w:val="center"/>
                </w:tcPr>
                <w:p w14:paraId="6EFC09F4">
                  <w:pPr>
                    <w:keepNext w:val="0"/>
                    <w:keepLines w:val="0"/>
                    <w:suppressLineNumbers w:val="0"/>
                    <w:tabs>
                      <w:tab w:val="left" w:pos="5250"/>
                    </w:tabs>
                    <w:adjustRightInd w:val="0"/>
                    <w:snapToGrid w:val="0"/>
                    <w:spacing w:before="0" w:beforeAutospacing="0" w:after="0" w:afterAutospacing="0"/>
                    <w:ind w:left="0" w:leftChars="0" w:right="0" w:rightChars="0"/>
                    <w:jc w:val="center"/>
                    <w:rPr>
                      <w:rFonts w:hint="default" w:ascii="Times New Roman" w:hAnsi="Times New Roman" w:cs="Times New Roman"/>
                      <w:bCs/>
                      <w:color w:val="000000" w:themeColor="text1"/>
                      <w:sz w:val="21"/>
                      <w:szCs w:val="21"/>
                      <w:highlight w:val="none"/>
                      <w:u w:val="none"/>
                      <w14:textFill>
                        <w14:solidFill>
                          <w14:schemeClr w14:val="tx1"/>
                        </w14:solidFill>
                      </w14:textFill>
                    </w:rPr>
                  </w:pPr>
                  <w:r>
                    <w:rPr>
                      <w:rFonts w:hint="default" w:ascii="Times New Roman" w:hAnsi="Times New Roman" w:cs="Times New Roman"/>
                      <w:bCs/>
                      <w:color w:val="000000" w:themeColor="text1"/>
                      <w:sz w:val="21"/>
                      <w:szCs w:val="21"/>
                      <w:highlight w:val="none"/>
                      <w:u w:val="none"/>
                      <w14:textFill>
                        <w14:solidFill>
                          <w14:schemeClr w14:val="tx1"/>
                        </w14:solidFill>
                      </w14:textFill>
                    </w:rPr>
                    <w:t>1F，封闭</w:t>
                  </w:r>
                  <w:r>
                    <w:rPr>
                      <w:rFonts w:hint="default" w:ascii="Times New Roman" w:hAnsi="Times New Roman" w:cs="Times New Roman"/>
                      <w:bCs/>
                      <w:color w:val="000000" w:themeColor="text1"/>
                      <w:sz w:val="21"/>
                      <w:szCs w:val="21"/>
                      <w:highlight w:val="none"/>
                      <w:u w:val="none"/>
                      <w:lang w:val="en-US" w:eastAsia="zh-CN"/>
                      <w14:textFill>
                        <w14:solidFill>
                          <w14:schemeClr w14:val="tx1"/>
                        </w14:solidFill>
                      </w14:textFill>
                    </w:rPr>
                    <w:t>砖混结构</w:t>
                  </w:r>
                </w:p>
              </w:tc>
            </w:tr>
            <w:tr w14:paraId="7E1F28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0" w:type="pct"/>
                  <w:vMerge w:val="continue"/>
                  <w:vAlign w:val="center"/>
                </w:tcPr>
                <w:p w14:paraId="35A85A90">
                  <w:pPr>
                    <w:keepNext w:val="0"/>
                    <w:keepLines w:val="0"/>
                    <w:suppressLineNumbers w:val="0"/>
                    <w:tabs>
                      <w:tab w:val="left" w:pos="5250"/>
                    </w:tabs>
                    <w:adjustRightInd w:val="0"/>
                    <w:snapToGrid w:val="0"/>
                    <w:spacing w:before="0" w:beforeAutospacing="0" w:after="0" w:afterAutospacing="0"/>
                    <w:ind w:left="0" w:right="0"/>
                    <w:jc w:val="center"/>
                    <w:rPr>
                      <w:rFonts w:hint="default" w:ascii="Times New Roman" w:hAnsi="Times New Roman" w:cs="Times New Roman"/>
                      <w:bCs/>
                      <w:color w:val="000000" w:themeColor="text1"/>
                      <w:sz w:val="21"/>
                      <w:szCs w:val="21"/>
                      <w:highlight w:val="none"/>
                      <w:u w:val="none"/>
                      <w14:textFill>
                        <w14:solidFill>
                          <w14:schemeClr w14:val="tx1"/>
                        </w14:solidFill>
                      </w14:textFill>
                    </w:rPr>
                  </w:pPr>
                </w:p>
              </w:tc>
              <w:tc>
                <w:tcPr>
                  <w:tcW w:w="920" w:type="pct"/>
                  <w:vAlign w:val="center"/>
                </w:tcPr>
                <w:p w14:paraId="20E08AED">
                  <w:pPr>
                    <w:keepNext w:val="0"/>
                    <w:keepLines w:val="0"/>
                    <w:suppressLineNumbers w:val="0"/>
                    <w:tabs>
                      <w:tab w:val="left" w:pos="5250"/>
                    </w:tabs>
                    <w:adjustRightInd w:val="0"/>
                    <w:snapToGrid w:val="0"/>
                    <w:spacing w:before="0" w:beforeAutospacing="0" w:after="0" w:afterAutospacing="0"/>
                    <w:ind w:left="0" w:leftChars="0" w:right="0" w:rightChars="0"/>
                    <w:jc w:val="center"/>
                    <w:rPr>
                      <w:rFonts w:hint="default" w:ascii="Times New Roman" w:hAnsi="Times New Roman" w:cs="Times New Roman"/>
                      <w:bCs/>
                      <w:color w:val="000000" w:themeColor="text1"/>
                      <w:sz w:val="21"/>
                      <w:szCs w:val="21"/>
                      <w:highlight w:val="none"/>
                      <w:u w:val="none"/>
                      <w:lang w:val="en-US" w:eastAsia="zh-CN"/>
                      <w14:textFill>
                        <w14:solidFill>
                          <w14:schemeClr w14:val="tx1"/>
                        </w14:solidFill>
                      </w14:textFill>
                    </w:rPr>
                  </w:pPr>
                  <w:r>
                    <w:rPr>
                      <w:rFonts w:hint="eastAsia" w:ascii="Times New Roman" w:hAnsi="Times New Roman" w:cs="Times New Roman"/>
                      <w:bCs/>
                      <w:color w:val="000000" w:themeColor="text1"/>
                      <w:sz w:val="21"/>
                      <w:szCs w:val="21"/>
                      <w:highlight w:val="none"/>
                      <w:u w:val="none"/>
                      <w:lang w:val="en-US" w:eastAsia="zh-CN"/>
                      <w14:textFill>
                        <w14:solidFill>
                          <w14:schemeClr w14:val="tx1"/>
                        </w14:solidFill>
                      </w14:textFill>
                    </w:rPr>
                    <w:t>门卫室</w:t>
                  </w:r>
                </w:p>
              </w:tc>
              <w:tc>
                <w:tcPr>
                  <w:tcW w:w="725" w:type="pct"/>
                  <w:vAlign w:val="center"/>
                </w:tcPr>
                <w:p w14:paraId="6C68CA07">
                  <w:pPr>
                    <w:keepNext w:val="0"/>
                    <w:keepLines w:val="0"/>
                    <w:suppressLineNumbers w:val="0"/>
                    <w:tabs>
                      <w:tab w:val="left" w:pos="5250"/>
                    </w:tabs>
                    <w:adjustRightInd w:val="0"/>
                    <w:snapToGrid w:val="0"/>
                    <w:spacing w:before="0" w:beforeAutospacing="0" w:after="0" w:afterAutospacing="0"/>
                    <w:ind w:left="0" w:leftChars="0" w:right="0" w:rightChars="0"/>
                    <w:jc w:val="center"/>
                    <w:rPr>
                      <w:rFonts w:hint="eastAsia" w:ascii="Times New Roman" w:hAnsi="Times New Roman" w:cs="Times New Roman"/>
                      <w:bCs/>
                      <w:color w:val="000000" w:themeColor="text1"/>
                      <w:sz w:val="21"/>
                      <w:szCs w:val="21"/>
                      <w:highlight w:val="none"/>
                      <w:u w:val="none"/>
                      <w:lang w:val="en-US" w:eastAsia="zh-CN"/>
                      <w14:textFill>
                        <w14:solidFill>
                          <w14:schemeClr w14:val="tx1"/>
                        </w14:solidFill>
                      </w14:textFill>
                    </w:rPr>
                  </w:pPr>
                  <w:r>
                    <w:rPr>
                      <w:rFonts w:hint="eastAsia" w:ascii="Times New Roman" w:hAnsi="Times New Roman" w:cs="Times New Roman"/>
                      <w:bCs/>
                      <w:color w:val="000000" w:themeColor="text1"/>
                      <w:sz w:val="21"/>
                      <w:szCs w:val="21"/>
                      <w:highlight w:val="none"/>
                      <w:u w:val="none"/>
                      <w:lang w:val="en-US" w:eastAsia="zh-CN"/>
                      <w14:textFill>
                        <w14:solidFill>
                          <w14:schemeClr w14:val="tx1"/>
                        </w14:solidFill>
                      </w14:textFill>
                    </w:rPr>
                    <w:t>40</w:t>
                  </w:r>
                  <w:r>
                    <w:rPr>
                      <w:rFonts w:hint="default" w:ascii="Times New Roman" w:hAnsi="Times New Roman" w:cs="Times New Roman"/>
                      <w:bCs/>
                      <w:color w:val="000000" w:themeColor="text1"/>
                      <w:sz w:val="21"/>
                      <w:szCs w:val="21"/>
                      <w:highlight w:val="none"/>
                      <w:u w:val="none"/>
                      <w14:textFill>
                        <w14:solidFill>
                          <w14:schemeClr w14:val="tx1"/>
                        </w14:solidFill>
                      </w14:textFill>
                    </w:rPr>
                    <w:t>m</w:t>
                  </w:r>
                  <w:r>
                    <w:rPr>
                      <w:rFonts w:hint="default" w:ascii="Times New Roman" w:hAnsi="Times New Roman" w:cs="Times New Roman"/>
                      <w:bCs/>
                      <w:color w:val="000000" w:themeColor="text1"/>
                      <w:sz w:val="21"/>
                      <w:szCs w:val="21"/>
                      <w:highlight w:val="none"/>
                      <w:u w:val="none"/>
                      <w:vertAlign w:val="superscript"/>
                      <w14:textFill>
                        <w14:solidFill>
                          <w14:schemeClr w14:val="tx1"/>
                        </w14:solidFill>
                      </w14:textFill>
                    </w:rPr>
                    <w:t>2</w:t>
                  </w:r>
                </w:p>
              </w:tc>
              <w:tc>
                <w:tcPr>
                  <w:tcW w:w="2983" w:type="pct"/>
                  <w:gridSpan w:val="3"/>
                  <w:vAlign w:val="center"/>
                </w:tcPr>
                <w:p w14:paraId="129C7492">
                  <w:pPr>
                    <w:keepNext w:val="0"/>
                    <w:keepLines w:val="0"/>
                    <w:suppressLineNumbers w:val="0"/>
                    <w:tabs>
                      <w:tab w:val="left" w:pos="5250"/>
                    </w:tabs>
                    <w:adjustRightInd w:val="0"/>
                    <w:snapToGrid w:val="0"/>
                    <w:spacing w:before="0" w:beforeAutospacing="0" w:after="0" w:afterAutospacing="0"/>
                    <w:ind w:left="0" w:leftChars="0" w:right="0" w:rightChars="0"/>
                    <w:jc w:val="center"/>
                    <w:rPr>
                      <w:rFonts w:hint="default" w:ascii="Times New Roman" w:hAnsi="Times New Roman" w:cs="Times New Roman"/>
                      <w:bCs/>
                      <w:color w:val="000000" w:themeColor="text1"/>
                      <w:sz w:val="21"/>
                      <w:szCs w:val="21"/>
                      <w:highlight w:val="none"/>
                      <w:u w:val="none"/>
                      <w14:textFill>
                        <w14:solidFill>
                          <w14:schemeClr w14:val="tx1"/>
                        </w14:solidFill>
                      </w14:textFill>
                    </w:rPr>
                  </w:pPr>
                  <w:r>
                    <w:rPr>
                      <w:rFonts w:hint="default" w:ascii="Times New Roman" w:hAnsi="Times New Roman" w:cs="Times New Roman"/>
                      <w:bCs/>
                      <w:color w:val="000000" w:themeColor="text1"/>
                      <w:sz w:val="21"/>
                      <w:szCs w:val="21"/>
                      <w:highlight w:val="none"/>
                      <w:u w:val="none"/>
                      <w14:textFill>
                        <w14:solidFill>
                          <w14:schemeClr w14:val="tx1"/>
                        </w14:solidFill>
                      </w14:textFill>
                    </w:rPr>
                    <w:t>1F，封闭</w:t>
                  </w:r>
                  <w:r>
                    <w:rPr>
                      <w:rFonts w:hint="default" w:ascii="Times New Roman" w:hAnsi="Times New Roman" w:cs="Times New Roman"/>
                      <w:bCs/>
                      <w:color w:val="000000" w:themeColor="text1"/>
                      <w:sz w:val="21"/>
                      <w:szCs w:val="21"/>
                      <w:highlight w:val="none"/>
                      <w:u w:val="none"/>
                      <w:lang w:val="en-US" w:eastAsia="zh-CN"/>
                      <w14:textFill>
                        <w14:solidFill>
                          <w14:schemeClr w14:val="tx1"/>
                        </w14:solidFill>
                      </w14:textFill>
                    </w:rPr>
                    <w:t>砖混结构</w:t>
                  </w:r>
                </w:p>
              </w:tc>
            </w:tr>
            <w:tr w14:paraId="64C9C6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0" w:type="pct"/>
                  <w:vMerge w:val="restart"/>
                  <w:vAlign w:val="center"/>
                </w:tcPr>
                <w:p w14:paraId="429BF9FF">
                  <w:pPr>
                    <w:keepNext w:val="0"/>
                    <w:keepLines w:val="0"/>
                    <w:suppressLineNumbers w:val="0"/>
                    <w:tabs>
                      <w:tab w:val="left" w:pos="5250"/>
                    </w:tabs>
                    <w:adjustRightInd w:val="0"/>
                    <w:snapToGrid w:val="0"/>
                    <w:spacing w:before="0" w:beforeAutospacing="0" w:after="0" w:afterAutospacing="0"/>
                    <w:ind w:left="0" w:right="0"/>
                    <w:jc w:val="center"/>
                    <w:rPr>
                      <w:rFonts w:hint="default" w:ascii="Times New Roman" w:hAnsi="Times New Roman" w:cs="Times New Roman"/>
                      <w:bCs/>
                      <w:color w:val="000000" w:themeColor="text1"/>
                      <w:sz w:val="21"/>
                      <w:szCs w:val="21"/>
                      <w:highlight w:val="none"/>
                      <w:u w:val="none"/>
                      <w14:textFill>
                        <w14:solidFill>
                          <w14:schemeClr w14:val="tx1"/>
                        </w14:solidFill>
                      </w14:textFill>
                    </w:rPr>
                  </w:pPr>
                  <w:r>
                    <w:rPr>
                      <w:rFonts w:hint="default" w:ascii="Times New Roman" w:hAnsi="Times New Roman" w:cs="Times New Roman"/>
                      <w:bCs/>
                      <w:color w:val="000000" w:themeColor="text1"/>
                      <w:sz w:val="21"/>
                      <w:szCs w:val="21"/>
                      <w:highlight w:val="none"/>
                      <w:u w:val="none"/>
                      <w14:textFill>
                        <w14:solidFill>
                          <w14:schemeClr w14:val="tx1"/>
                        </w14:solidFill>
                      </w14:textFill>
                    </w:rPr>
                    <w:t>公用工程</w:t>
                  </w:r>
                </w:p>
              </w:tc>
              <w:tc>
                <w:tcPr>
                  <w:tcW w:w="920" w:type="pct"/>
                  <w:vAlign w:val="center"/>
                </w:tcPr>
                <w:p w14:paraId="01AA419E">
                  <w:pPr>
                    <w:keepNext w:val="0"/>
                    <w:keepLines w:val="0"/>
                    <w:suppressLineNumbers w:val="0"/>
                    <w:tabs>
                      <w:tab w:val="left" w:pos="5250"/>
                    </w:tabs>
                    <w:adjustRightInd w:val="0"/>
                    <w:snapToGrid w:val="0"/>
                    <w:spacing w:before="0" w:beforeAutospacing="0" w:after="0" w:afterAutospacing="0"/>
                    <w:ind w:left="0" w:right="0"/>
                    <w:jc w:val="center"/>
                    <w:rPr>
                      <w:rFonts w:hint="default" w:ascii="Times New Roman" w:hAnsi="Times New Roman" w:cs="Times New Roman"/>
                      <w:color w:val="000000" w:themeColor="text1"/>
                      <w:sz w:val="21"/>
                      <w:szCs w:val="21"/>
                      <w:highlight w:val="none"/>
                      <w:u w:val="none"/>
                      <w14:textFill>
                        <w14:solidFill>
                          <w14:schemeClr w14:val="tx1"/>
                        </w14:solidFill>
                      </w14:textFill>
                    </w:rPr>
                  </w:pPr>
                  <w:r>
                    <w:rPr>
                      <w:rFonts w:hint="default" w:ascii="Times New Roman" w:hAnsi="Times New Roman" w:cs="Times New Roman"/>
                      <w:color w:val="000000" w:themeColor="text1"/>
                      <w:sz w:val="21"/>
                      <w:szCs w:val="21"/>
                      <w:highlight w:val="none"/>
                      <w:u w:val="none"/>
                      <w14:textFill>
                        <w14:solidFill>
                          <w14:schemeClr w14:val="tx1"/>
                        </w14:solidFill>
                      </w14:textFill>
                    </w:rPr>
                    <w:t>供水</w:t>
                  </w:r>
                </w:p>
              </w:tc>
              <w:tc>
                <w:tcPr>
                  <w:tcW w:w="3708" w:type="pct"/>
                  <w:gridSpan w:val="4"/>
                  <w:vAlign w:val="center"/>
                </w:tcPr>
                <w:p w14:paraId="4CF8D2A9">
                  <w:pPr>
                    <w:keepNext w:val="0"/>
                    <w:keepLines w:val="0"/>
                    <w:suppressLineNumbers w:val="0"/>
                    <w:tabs>
                      <w:tab w:val="left" w:pos="5250"/>
                    </w:tabs>
                    <w:adjustRightInd w:val="0"/>
                    <w:snapToGrid w:val="0"/>
                    <w:spacing w:before="0" w:beforeAutospacing="0" w:after="0" w:afterAutospacing="0"/>
                    <w:ind w:left="0" w:right="0"/>
                    <w:jc w:val="center"/>
                    <w:rPr>
                      <w:rFonts w:hint="default" w:ascii="Times New Roman" w:hAnsi="Times New Roman" w:cs="Times New Roman"/>
                      <w:color w:val="000000" w:themeColor="text1"/>
                      <w:sz w:val="21"/>
                      <w:szCs w:val="21"/>
                      <w:highlight w:val="none"/>
                      <w:u w:val="none"/>
                      <w14:textFill>
                        <w14:solidFill>
                          <w14:schemeClr w14:val="tx1"/>
                        </w14:solidFill>
                      </w14:textFill>
                    </w:rPr>
                  </w:pPr>
                  <w:r>
                    <w:rPr>
                      <w:rFonts w:hint="default" w:ascii="Times New Roman" w:hAnsi="Times New Roman" w:cs="Times New Roman"/>
                      <w:color w:val="000000" w:themeColor="text1"/>
                      <w:sz w:val="21"/>
                      <w:szCs w:val="21"/>
                      <w:highlight w:val="none"/>
                      <w:u w:val="none"/>
                      <w14:textFill>
                        <w14:solidFill>
                          <w14:schemeClr w14:val="tx1"/>
                        </w14:solidFill>
                      </w14:textFill>
                    </w:rPr>
                    <w:t>由</w:t>
                  </w:r>
                  <w:r>
                    <w:rPr>
                      <w:rFonts w:hint="default" w:ascii="Times New Roman" w:hAnsi="Times New Roman" w:cs="Times New Roman"/>
                      <w:color w:val="000000" w:themeColor="text1"/>
                      <w:sz w:val="21"/>
                      <w:szCs w:val="21"/>
                      <w:highlight w:val="none"/>
                      <w:u w:val="none"/>
                      <w:lang w:val="en-US" w:eastAsia="zh-CN"/>
                      <w14:textFill>
                        <w14:solidFill>
                          <w14:schemeClr w14:val="tx1"/>
                        </w14:solidFill>
                      </w14:textFill>
                    </w:rPr>
                    <w:t>自备井</w:t>
                  </w:r>
                  <w:r>
                    <w:rPr>
                      <w:rFonts w:hint="default" w:ascii="Times New Roman" w:hAnsi="Times New Roman" w:cs="Times New Roman"/>
                      <w:color w:val="000000" w:themeColor="text1"/>
                      <w:sz w:val="21"/>
                      <w:szCs w:val="21"/>
                      <w:highlight w:val="none"/>
                      <w:u w:val="none"/>
                      <w14:textFill>
                        <w14:solidFill>
                          <w14:schemeClr w14:val="tx1"/>
                        </w14:solidFill>
                      </w14:textFill>
                    </w:rPr>
                    <w:t>提供</w:t>
                  </w:r>
                </w:p>
              </w:tc>
            </w:tr>
            <w:tr w14:paraId="5457BD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0" w:type="pct"/>
                  <w:vMerge w:val="continue"/>
                  <w:vAlign w:val="center"/>
                </w:tcPr>
                <w:p w14:paraId="66EB6936">
                  <w:pPr>
                    <w:keepNext w:val="0"/>
                    <w:keepLines w:val="0"/>
                    <w:suppressLineNumbers w:val="0"/>
                    <w:tabs>
                      <w:tab w:val="left" w:pos="5250"/>
                    </w:tabs>
                    <w:adjustRightInd w:val="0"/>
                    <w:snapToGrid w:val="0"/>
                    <w:spacing w:before="0" w:beforeAutospacing="0" w:after="0" w:afterAutospacing="0"/>
                    <w:ind w:left="0" w:right="0"/>
                    <w:jc w:val="center"/>
                    <w:rPr>
                      <w:rFonts w:hint="default" w:ascii="Times New Roman" w:hAnsi="Times New Roman" w:cs="Times New Roman"/>
                      <w:bCs/>
                      <w:color w:val="000000" w:themeColor="text1"/>
                      <w:sz w:val="21"/>
                      <w:szCs w:val="21"/>
                      <w:highlight w:val="none"/>
                      <w:u w:val="none"/>
                      <w14:textFill>
                        <w14:solidFill>
                          <w14:schemeClr w14:val="tx1"/>
                        </w14:solidFill>
                      </w14:textFill>
                    </w:rPr>
                  </w:pPr>
                </w:p>
              </w:tc>
              <w:tc>
                <w:tcPr>
                  <w:tcW w:w="920" w:type="pct"/>
                  <w:vAlign w:val="center"/>
                </w:tcPr>
                <w:p w14:paraId="75E98554">
                  <w:pPr>
                    <w:keepNext w:val="0"/>
                    <w:keepLines w:val="0"/>
                    <w:suppressLineNumbers w:val="0"/>
                    <w:tabs>
                      <w:tab w:val="left" w:pos="5250"/>
                    </w:tabs>
                    <w:adjustRightInd w:val="0"/>
                    <w:snapToGrid w:val="0"/>
                    <w:spacing w:before="0" w:beforeAutospacing="0" w:after="0" w:afterAutospacing="0"/>
                    <w:ind w:left="0" w:right="0"/>
                    <w:jc w:val="center"/>
                    <w:rPr>
                      <w:rFonts w:hint="default" w:ascii="Times New Roman" w:hAnsi="Times New Roman" w:cs="Times New Roman"/>
                      <w:color w:val="000000" w:themeColor="text1"/>
                      <w:sz w:val="21"/>
                      <w:szCs w:val="21"/>
                      <w:highlight w:val="none"/>
                      <w:u w:val="none"/>
                      <w14:textFill>
                        <w14:solidFill>
                          <w14:schemeClr w14:val="tx1"/>
                        </w14:solidFill>
                      </w14:textFill>
                    </w:rPr>
                  </w:pPr>
                  <w:r>
                    <w:rPr>
                      <w:rFonts w:hint="default" w:ascii="Times New Roman" w:hAnsi="Times New Roman" w:cs="Times New Roman"/>
                      <w:color w:val="000000" w:themeColor="text1"/>
                      <w:sz w:val="21"/>
                      <w:szCs w:val="21"/>
                      <w:highlight w:val="none"/>
                      <w:u w:val="none"/>
                      <w14:textFill>
                        <w14:solidFill>
                          <w14:schemeClr w14:val="tx1"/>
                        </w14:solidFill>
                      </w14:textFill>
                    </w:rPr>
                    <w:t>排水</w:t>
                  </w:r>
                </w:p>
              </w:tc>
              <w:tc>
                <w:tcPr>
                  <w:tcW w:w="3708" w:type="pct"/>
                  <w:gridSpan w:val="4"/>
                  <w:vAlign w:val="center"/>
                </w:tcPr>
                <w:p w14:paraId="0859303E">
                  <w:pPr>
                    <w:keepNext w:val="0"/>
                    <w:keepLines w:val="0"/>
                    <w:suppressLineNumbers w:val="0"/>
                    <w:tabs>
                      <w:tab w:val="left" w:pos="5250"/>
                    </w:tabs>
                    <w:adjustRightInd w:val="0"/>
                    <w:snapToGrid w:val="0"/>
                    <w:spacing w:before="0" w:beforeAutospacing="0" w:after="0" w:afterAutospacing="0"/>
                    <w:ind w:left="0" w:right="0"/>
                    <w:jc w:val="center"/>
                    <w:rPr>
                      <w:rFonts w:hint="default" w:ascii="Times New Roman" w:hAnsi="Times New Roman" w:cs="Times New Roman"/>
                      <w:color w:val="000000" w:themeColor="text1"/>
                      <w:sz w:val="21"/>
                      <w:szCs w:val="21"/>
                      <w:highlight w:val="none"/>
                      <w:u w:val="none"/>
                      <w14:textFill>
                        <w14:solidFill>
                          <w14:schemeClr w14:val="tx1"/>
                        </w14:solidFill>
                      </w14:textFill>
                    </w:rPr>
                  </w:pPr>
                  <w:r>
                    <w:rPr>
                      <w:rFonts w:hint="default" w:ascii="Times New Roman" w:hAnsi="Times New Roman" w:cs="Times New Roman"/>
                      <w:color w:val="000000" w:themeColor="text1"/>
                      <w:sz w:val="21"/>
                      <w:szCs w:val="21"/>
                      <w:highlight w:val="none"/>
                      <w:u w:val="none"/>
                      <w14:textFill>
                        <w14:solidFill>
                          <w14:schemeClr w14:val="tx1"/>
                        </w14:solidFill>
                      </w14:textFill>
                    </w:rPr>
                    <w:t>采用雨污分流排水系统，雨水排放：项目区雨水经厂区雨水排放口依地势排入项目西侧的</w:t>
                  </w:r>
                  <w:r>
                    <w:rPr>
                      <w:rFonts w:hint="default" w:ascii="Times New Roman" w:hAnsi="Times New Roman" w:cs="Times New Roman"/>
                      <w:color w:val="000000" w:themeColor="text1"/>
                      <w:sz w:val="21"/>
                      <w:szCs w:val="21"/>
                      <w:highlight w:val="none"/>
                      <w:u w:val="none"/>
                      <w:lang w:val="en-US" w:eastAsia="zh-CN"/>
                      <w14:textFill>
                        <w14:solidFill>
                          <w14:schemeClr w14:val="tx1"/>
                        </w14:solidFill>
                      </w14:textFill>
                    </w:rPr>
                    <w:t>自然沟，再向北流入澧</w:t>
                  </w:r>
                  <w:r>
                    <w:rPr>
                      <w:rFonts w:hint="default" w:ascii="Times New Roman" w:hAnsi="Times New Roman" w:cs="Times New Roman"/>
                      <w:color w:val="000000" w:themeColor="text1"/>
                      <w:sz w:val="21"/>
                      <w:szCs w:val="21"/>
                      <w:highlight w:val="none"/>
                      <w:u w:val="none"/>
                      <w14:textFill>
                        <w14:solidFill>
                          <w14:schemeClr w14:val="tx1"/>
                        </w14:solidFill>
                      </w14:textFill>
                    </w:rPr>
                    <w:t>河，</w:t>
                  </w:r>
                  <w:r>
                    <w:rPr>
                      <w:rFonts w:hint="default" w:ascii="Times New Roman" w:hAnsi="Times New Roman" w:cs="Times New Roman"/>
                      <w:color w:val="000000" w:themeColor="text1"/>
                      <w:sz w:val="21"/>
                      <w:szCs w:val="21"/>
                      <w:highlight w:val="none"/>
                      <w:u w:val="none"/>
                      <w:lang w:val="en-US" w:eastAsia="zh-CN"/>
                      <w14:textFill>
                        <w14:solidFill>
                          <w14:schemeClr w14:val="tx1"/>
                        </w14:solidFill>
                      </w14:textFill>
                    </w:rPr>
                    <w:t>最终</w:t>
                  </w:r>
                  <w:r>
                    <w:rPr>
                      <w:rFonts w:hint="default" w:ascii="Times New Roman" w:hAnsi="Times New Roman" w:cs="Times New Roman"/>
                      <w:color w:val="000000" w:themeColor="text1"/>
                      <w:sz w:val="21"/>
                      <w:szCs w:val="21"/>
                      <w:highlight w:val="none"/>
                      <w:u w:val="none"/>
                      <w14:textFill>
                        <w14:solidFill>
                          <w14:schemeClr w14:val="tx1"/>
                        </w14:solidFill>
                      </w14:textFill>
                    </w:rPr>
                    <w:t>汇入</w:t>
                  </w:r>
                  <w:r>
                    <w:rPr>
                      <w:rFonts w:hint="default" w:ascii="Times New Roman" w:hAnsi="Times New Roman" w:cs="Times New Roman"/>
                      <w:color w:val="000000" w:themeColor="text1"/>
                      <w:sz w:val="21"/>
                      <w:szCs w:val="21"/>
                      <w:highlight w:val="none"/>
                      <w:u w:val="none"/>
                      <w:lang w:val="en-US" w:eastAsia="zh-CN"/>
                      <w14:textFill>
                        <w14:solidFill>
                          <w14:schemeClr w14:val="tx1"/>
                        </w14:solidFill>
                      </w14:textFill>
                    </w:rPr>
                    <w:t>沙</w:t>
                  </w:r>
                  <w:r>
                    <w:rPr>
                      <w:rFonts w:hint="default" w:ascii="Times New Roman" w:hAnsi="Times New Roman" w:cs="Times New Roman"/>
                      <w:color w:val="000000" w:themeColor="text1"/>
                      <w:sz w:val="21"/>
                      <w:szCs w:val="21"/>
                      <w:highlight w:val="none"/>
                      <w:u w:val="none"/>
                      <w14:textFill>
                        <w14:solidFill>
                          <w14:schemeClr w14:val="tx1"/>
                        </w14:solidFill>
                      </w14:textFill>
                    </w:rPr>
                    <w:t>河</w:t>
                  </w:r>
                  <w:r>
                    <w:rPr>
                      <w:rFonts w:hint="default" w:ascii="Times New Roman" w:hAnsi="Times New Roman" w:eastAsia="宋体" w:cs="Times New Roman"/>
                      <w:color w:val="000000" w:themeColor="text1"/>
                      <w:sz w:val="21"/>
                      <w:szCs w:val="21"/>
                      <w:highlight w:val="none"/>
                      <w:u w:val="none"/>
                      <w14:textFill>
                        <w14:solidFill>
                          <w14:schemeClr w14:val="tx1"/>
                        </w14:solidFill>
                      </w14:textFill>
                    </w:rPr>
                    <w:t>；</w:t>
                  </w:r>
                  <w:r>
                    <w:rPr>
                      <w:rFonts w:hint="default" w:ascii="Times New Roman" w:hAnsi="Times New Roman" w:cs="Times New Roman"/>
                      <w:color w:val="000000" w:themeColor="text1"/>
                      <w:sz w:val="21"/>
                      <w:szCs w:val="21"/>
                      <w:highlight w:val="none"/>
                      <w:u w:val="none"/>
                      <w:lang w:val="en-US" w:eastAsia="zh-CN"/>
                      <w14:textFill>
                        <w14:solidFill>
                          <w14:schemeClr w14:val="tx1"/>
                        </w14:solidFill>
                      </w14:textFill>
                    </w:rPr>
                    <w:t>污水排放</w:t>
                  </w:r>
                  <w:r>
                    <w:rPr>
                      <w:rFonts w:hint="default" w:ascii="Times New Roman" w:hAnsi="Times New Roman" w:eastAsia="宋体" w:cs="Times New Roman"/>
                      <w:color w:val="000000" w:themeColor="text1"/>
                      <w:sz w:val="21"/>
                      <w:szCs w:val="21"/>
                      <w:highlight w:val="none"/>
                      <w:u w:val="none"/>
                      <w14:textFill>
                        <w14:solidFill>
                          <w14:schemeClr w14:val="tx1"/>
                        </w14:solidFill>
                      </w14:textFill>
                    </w:rPr>
                    <w:t>：项目营运期职工生活污水经化粪池</w:t>
                  </w:r>
                  <w:r>
                    <w:rPr>
                      <w:rFonts w:hint="default" w:ascii="Times New Roman" w:hAnsi="Times New Roman" w:cs="Times New Roman"/>
                      <w:color w:val="000000" w:themeColor="text1"/>
                      <w:sz w:val="21"/>
                      <w:szCs w:val="21"/>
                      <w:highlight w:val="none"/>
                      <w:u w:val="none"/>
                      <w:lang w:val="en-US" w:eastAsia="zh-CN"/>
                      <w14:textFill>
                        <w14:solidFill>
                          <w14:schemeClr w14:val="tx1"/>
                        </w14:solidFill>
                      </w14:textFill>
                    </w:rPr>
                    <w:t>处理后作为农肥施用于周边农田</w:t>
                  </w:r>
                  <w:r>
                    <w:rPr>
                      <w:rFonts w:hint="default" w:ascii="Times New Roman" w:hAnsi="Times New Roman" w:eastAsia="宋体" w:cs="Times New Roman"/>
                      <w:color w:val="000000" w:themeColor="text1"/>
                      <w:sz w:val="21"/>
                      <w:szCs w:val="21"/>
                      <w:highlight w:val="none"/>
                      <w:u w:val="none"/>
                      <w14:textFill>
                        <w14:solidFill>
                          <w14:schemeClr w14:val="tx1"/>
                        </w14:solidFill>
                      </w14:textFill>
                    </w:rPr>
                    <w:t>。</w:t>
                  </w:r>
                </w:p>
              </w:tc>
            </w:tr>
            <w:tr w14:paraId="74025A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0" w:type="pct"/>
                  <w:vMerge w:val="continue"/>
                  <w:vAlign w:val="center"/>
                </w:tcPr>
                <w:p w14:paraId="4E71AE15">
                  <w:pPr>
                    <w:keepNext w:val="0"/>
                    <w:keepLines w:val="0"/>
                    <w:suppressLineNumbers w:val="0"/>
                    <w:tabs>
                      <w:tab w:val="left" w:pos="5250"/>
                    </w:tabs>
                    <w:adjustRightInd w:val="0"/>
                    <w:snapToGrid w:val="0"/>
                    <w:spacing w:before="0" w:beforeAutospacing="0" w:after="0" w:afterAutospacing="0"/>
                    <w:ind w:left="0" w:right="0"/>
                    <w:jc w:val="center"/>
                    <w:rPr>
                      <w:rFonts w:hint="default" w:ascii="Times New Roman" w:hAnsi="Times New Roman" w:cs="Times New Roman"/>
                      <w:bCs/>
                      <w:color w:val="000000" w:themeColor="text1"/>
                      <w:sz w:val="21"/>
                      <w:szCs w:val="21"/>
                      <w:highlight w:val="none"/>
                      <w:u w:val="single"/>
                      <w14:textFill>
                        <w14:solidFill>
                          <w14:schemeClr w14:val="tx1"/>
                        </w14:solidFill>
                      </w14:textFill>
                    </w:rPr>
                  </w:pPr>
                </w:p>
              </w:tc>
              <w:tc>
                <w:tcPr>
                  <w:tcW w:w="920" w:type="pct"/>
                  <w:vAlign w:val="center"/>
                </w:tcPr>
                <w:p w14:paraId="66158DE4">
                  <w:pPr>
                    <w:keepNext w:val="0"/>
                    <w:keepLines w:val="0"/>
                    <w:suppressLineNumbers w:val="0"/>
                    <w:tabs>
                      <w:tab w:val="left" w:pos="5250"/>
                    </w:tabs>
                    <w:adjustRightInd w:val="0"/>
                    <w:snapToGrid w:val="0"/>
                    <w:spacing w:before="0" w:beforeAutospacing="0" w:after="0" w:afterAutospacing="0"/>
                    <w:ind w:left="0" w:right="0"/>
                    <w:jc w:val="center"/>
                    <w:rPr>
                      <w:rFonts w:hint="default" w:ascii="Times New Roman" w:hAnsi="Times New Roman" w:cs="Times New Roman"/>
                      <w:color w:val="000000" w:themeColor="text1"/>
                      <w:sz w:val="21"/>
                      <w:szCs w:val="21"/>
                      <w:highlight w:val="none"/>
                      <w:u w:val="none"/>
                      <w14:textFill>
                        <w14:solidFill>
                          <w14:schemeClr w14:val="tx1"/>
                        </w14:solidFill>
                      </w14:textFill>
                    </w:rPr>
                  </w:pPr>
                  <w:r>
                    <w:rPr>
                      <w:rFonts w:hint="default" w:ascii="Times New Roman" w:hAnsi="Times New Roman" w:cs="Times New Roman"/>
                      <w:color w:val="000000" w:themeColor="text1"/>
                      <w:sz w:val="21"/>
                      <w:szCs w:val="21"/>
                      <w:highlight w:val="none"/>
                      <w:u w:val="none"/>
                      <w14:textFill>
                        <w14:solidFill>
                          <w14:schemeClr w14:val="tx1"/>
                        </w14:solidFill>
                      </w14:textFill>
                    </w:rPr>
                    <w:t>供电</w:t>
                  </w:r>
                </w:p>
              </w:tc>
              <w:tc>
                <w:tcPr>
                  <w:tcW w:w="3708" w:type="pct"/>
                  <w:gridSpan w:val="4"/>
                  <w:vAlign w:val="center"/>
                </w:tcPr>
                <w:p w14:paraId="5D507BC9">
                  <w:pPr>
                    <w:keepNext w:val="0"/>
                    <w:keepLines w:val="0"/>
                    <w:suppressLineNumbers w:val="0"/>
                    <w:tabs>
                      <w:tab w:val="left" w:pos="5250"/>
                    </w:tabs>
                    <w:adjustRightInd w:val="0"/>
                    <w:snapToGrid w:val="0"/>
                    <w:spacing w:before="0" w:beforeAutospacing="0" w:after="0" w:afterAutospacing="0"/>
                    <w:ind w:left="0" w:right="0"/>
                    <w:jc w:val="center"/>
                    <w:rPr>
                      <w:rFonts w:hint="default" w:ascii="Times New Roman" w:hAnsi="Times New Roman" w:cs="Times New Roman"/>
                      <w:color w:val="000000" w:themeColor="text1"/>
                      <w:sz w:val="21"/>
                      <w:szCs w:val="21"/>
                      <w:highlight w:val="none"/>
                      <w:u w:val="none"/>
                      <w14:textFill>
                        <w14:solidFill>
                          <w14:schemeClr w14:val="tx1"/>
                        </w14:solidFill>
                      </w14:textFill>
                    </w:rPr>
                  </w:pPr>
                  <w:r>
                    <w:rPr>
                      <w:rFonts w:hint="default" w:ascii="Times New Roman" w:hAnsi="Times New Roman" w:cs="Times New Roman"/>
                      <w:color w:val="000000" w:themeColor="text1"/>
                      <w:sz w:val="21"/>
                      <w:szCs w:val="21"/>
                      <w:highlight w:val="none"/>
                      <w:u w:val="none"/>
                      <w14:textFill>
                        <w14:solidFill>
                          <w14:schemeClr w14:val="tx1"/>
                        </w14:solidFill>
                      </w14:textFill>
                    </w:rPr>
                    <w:t>由</w:t>
                  </w:r>
                  <w:r>
                    <w:rPr>
                      <w:rFonts w:hint="default" w:ascii="Times New Roman" w:hAnsi="Times New Roman" w:cs="Times New Roman"/>
                      <w:color w:val="000000" w:themeColor="text1"/>
                      <w:sz w:val="21"/>
                      <w:szCs w:val="21"/>
                      <w:highlight w:val="none"/>
                      <w:u w:val="none"/>
                      <w:lang w:val="en-US" w:eastAsia="zh-CN"/>
                      <w14:textFill>
                        <w14:solidFill>
                          <w14:schemeClr w14:val="tx1"/>
                        </w14:solidFill>
                      </w14:textFill>
                    </w:rPr>
                    <w:t>当地</w:t>
                  </w:r>
                  <w:r>
                    <w:rPr>
                      <w:rFonts w:hint="default" w:ascii="Times New Roman" w:hAnsi="Times New Roman" w:cs="Times New Roman"/>
                      <w:color w:val="000000" w:themeColor="text1"/>
                      <w:sz w:val="21"/>
                      <w:szCs w:val="21"/>
                      <w:highlight w:val="none"/>
                      <w:u w:val="none"/>
                      <w14:textFill>
                        <w14:solidFill>
                          <w14:schemeClr w14:val="tx1"/>
                        </w14:solidFill>
                      </w14:textFill>
                    </w:rPr>
                    <w:t>供电</w:t>
                  </w:r>
                  <w:r>
                    <w:rPr>
                      <w:rFonts w:hint="default" w:ascii="Times New Roman" w:hAnsi="Times New Roman" w:cs="Times New Roman"/>
                      <w:color w:val="000000" w:themeColor="text1"/>
                      <w:sz w:val="21"/>
                      <w:szCs w:val="21"/>
                      <w:highlight w:val="none"/>
                      <w:u w:val="none"/>
                      <w:lang w:val="en-US" w:eastAsia="zh-CN"/>
                      <w14:textFill>
                        <w14:solidFill>
                          <w14:schemeClr w14:val="tx1"/>
                        </w14:solidFill>
                      </w14:textFill>
                    </w:rPr>
                    <w:t>电网</w:t>
                  </w:r>
                  <w:r>
                    <w:rPr>
                      <w:rFonts w:hint="default" w:ascii="Times New Roman" w:hAnsi="Times New Roman" w:cs="Times New Roman"/>
                      <w:color w:val="000000" w:themeColor="text1"/>
                      <w:sz w:val="21"/>
                      <w:szCs w:val="21"/>
                      <w:highlight w:val="none"/>
                      <w:u w:val="none"/>
                      <w14:textFill>
                        <w14:solidFill>
                          <w14:schemeClr w14:val="tx1"/>
                        </w14:solidFill>
                      </w14:textFill>
                    </w:rPr>
                    <w:t>供应</w:t>
                  </w:r>
                </w:p>
              </w:tc>
            </w:tr>
            <w:tr w14:paraId="70D1F2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0" w:type="pct"/>
                  <w:vMerge w:val="restart"/>
                  <w:vAlign w:val="center"/>
                </w:tcPr>
                <w:p w14:paraId="432CA255">
                  <w:pPr>
                    <w:keepNext w:val="0"/>
                    <w:keepLines w:val="0"/>
                    <w:suppressLineNumbers w:val="0"/>
                    <w:tabs>
                      <w:tab w:val="left" w:pos="5250"/>
                    </w:tabs>
                    <w:adjustRightInd w:val="0"/>
                    <w:snapToGrid w:val="0"/>
                    <w:spacing w:before="0" w:beforeAutospacing="0" w:after="0" w:afterAutospacing="0"/>
                    <w:ind w:left="0" w:right="0"/>
                    <w:jc w:val="center"/>
                    <w:rPr>
                      <w:rFonts w:hint="default" w:ascii="Times New Roman" w:hAnsi="Times New Roman" w:cs="Times New Roman"/>
                      <w:bCs/>
                      <w:color w:val="000000" w:themeColor="text1"/>
                      <w:sz w:val="21"/>
                      <w:szCs w:val="21"/>
                      <w:highlight w:val="none"/>
                      <w:u w:val="none"/>
                      <w14:textFill>
                        <w14:solidFill>
                          <w14:schemeClr w14:val="tx1"/>
                        </w14:solidFill>
                      </w14:textFill>
                    </w:rPr>
                  </w:pPr>
                  <w:r>
                    <w:rPr>
                      <w:rFonts w:hint="default" w:ascii="Times New Roman" w:hAnsi="Times New Roman" w:cs="Times New Roman"/>
                      <w:bCs/>
                      <w:color w:val="000000" w:themeColor="text1"/>
                      <w:sz w:val="21"/>
                      <w:szCs w:val="21"/>
                      <w:highlight w:val="none"/>
                      <w:u w:val="none"/>
                      <w14:textFill>
                        <w14:solidFill>
                          <w14:schemeClr w14:val="tx1"/>
                        </w14:solidFill>
                      </w14:textFill>
                    </w:rPr>
                    <w:t>环保工程</w:t>
                  </w:r>
                </w:p>
              </w:tc>
              <w:tc>
                <w:tcPr>
                  <w:tcW w:w="920" w:type="pct"/>
                  <w:vMerge w:val="restart"/>
                  <w:vAlign w:val="center"/>
                </w:tcPr>
                <w:p w14:paraId="657AE13B">
                  <w:pPr>
                    <w:keepNext w:val="0"/>
                    <w:keepLines w:val="0"/>
                    <w:suppressLineNumbers w:val="0"/>
                    <w:tabs>
                      <w:tab w:val="left" w:pos="5250"/>
                    </w:tabs>
                    <w:adjustRightInd w:val="0"/>
                    <w:snapToGrid w:val="0"/>
                    <w:spacing w:before="0" w:beforeAutospacing="0" w:after="0" w:afterAutospacing="0"/>
                    <w:ind w:left="0" w:right="0"/>
                    <w:jc w:val="center"/>
                    <w:rPr>
                      <w:rFonts w:hint="default" w:ascii="Times New Roman" w:hAnsi="Times New Roman" w:cs="Times New Roman"/>
                      <w:bCs/>
                      <w:color w:val="000000" w:themeColor="text1"/>
                      <w:sz w:val="21"/>
                      <w:szCs w:val="21"/>
                      <w:highlight w:val="none"/>
                      <w:u w:val="none"/>
                      <w14:textFill>
                        <w14:solidFill>
                          <w14:schemeClr w14:val="tx1"/>
                        </w14:solidFill>
                      </w14:textFill>
                    </w:rPr>
                  </w:pPr>
                  <w:r>
                    <w:rPr>
                      <w:rFonts w:hint="default" w:ascii="Times New Roman" w:hAnsi="Times New Roman" w:cs="Times New Roman"/>
                      <w:bCs/>
                      <w:color w:val="000000" w:themeColor="text1"/>
                      <w:sz w:val="21"/>
                      <w:szCs w:val="21"/>
                      <w:highlight w:val="none"/>
                      <w:u w:val="none"/>
                      <w14:textFill>
                        <w14:solidFill>
                          <w14:schemeClr w14:val="tx1"/>
                        </w14:solidFill>
                      </w14:textFill>
                    </w:rPr>
                    <w:t>废气治理措施</w:t>
                  </w:r>
                </w:p>
              </w:tc>
              <w:tc>
                <w:tcPr>
                  <w:tcW w:w="824" w:type="pct"/>
                  <w:gridSpan w:val="2"/>
                  <w:shd w:val="clear" w:color="auto" w:fill="auto"/>
                  <w:vAlign w:val="center"/>
                </w:tcPr>
                <w:p w14:paraId="256384E2">
                  <w:pPr>
                    <w:keepNext w:val="0"/>
                    <w:keepLines w:val="0"/>
                    <w:pageBreakBefore w:val="0"/>
                    <w:widowControl w:val="0"/>
                    <w:suppressLineNumbers w:val="0"/>
                    <w:kinsoku/>
                    <w:wordWrap/>
                    <w:overflowPunct/>
                    <w:topLinePunct w:val="0"/>
                    <w:bidi w:val="0"/>
                    <w:spacing w:before="0" w:beforeAutospacing="0" w:after="0" w:afterAutospacing="0" w:line="240" w:lineRule="auto"/>
                    <w:ind w:left="0" w:leftChars="0" w:right="0" w:rightChars="0"/>
                    <w:jc w:val="center"/>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en-US" w:eastAsia="zh-CN"/>
                      <w14:textFill>
                        <w14:solidFill>
                          <w14:schemeClr w14:val="tx1"/>
                        </w14:solidFill>
                      </w14:textFill>
                    </w:rPr>
                    <w:t>机制炭生产线破碎、筛分、冷却、锯切、包装工序</w:t>
                  </w:r>
                  <w:r>
                    <w:rPr>
                      <w:rFonts w:hint="eastAsia" w:ascii="Times New Roman" w:hAnsi="Times New Roman" w:cs="Times New Roman"/>
                      <w:color w:val="000000" w:themeColor="text1"/>
                      <w:sz w:val="21"/>
                      <w:szCs w:val="21"/>
                      <w:highlight w:val="none"/>
                      <w:u w:val="none" w:color="auto"/>
                      <w:lang w:val="en-US" w:eastAsia="zh-CN"/>
                      <w14:textFill>
                        <w14:solidFill>
                          <w14:schemeClr w14:val="tx1"/>
                        </w14:solidFill>
                      </w14:textFill>
                    </w:rPr>
                    <w:t>废气</w:t>
                  </w:r>
                </w:p>
              </w:tc>
              <w:tc>
                <w:tcPr>
                  <w:tcW w:w="870" w:type="pct"/>
                  <w:shd w:val="clear" w:color="auto" w:fill="auto"/>
                  <w:vAlign w:val="center"/>
                </w:tcPr>
                <w:p w14:paraId="2DFBA0C9">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颗粒物</w:t>
                  </w:r>
                </w:p>
              </w:tc>
              <w:tc>
                <w:tcPr>
                  <w:tcW w:w="2014" w:type="pct"/>
                  <w:vAlign w:val="center"/>
                </w:tcPr>
                <w:p w14:paraId="711142D7">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cs="Times New Roman"/>
                      <w:color w:val="000000" w:themeColor="text1"/>
                      <w:sz w:val="21"/>
                      <w:szCs w:val="21"/>
                      <w:highlight w:val="none"/>
                      <w:u w:val="none" w:color="auto"/>
                      <w:lang w:val="en-US" w:eastAsia="zh-CN"/>
                      <w14:textFill>
                        <w14:solidFill>
                          <w14:schemeClr w14:val="tx1"/>
                        </w14:solidFill>
                      </w14:textFill>
                    </w:rPr>
                  </w:pPr>
                  <w:r>
                    <w:rPr>
                      <w:rFonts w:hint="eastAsia"/>
                      <w:color w:val="000000" w:themeColor="text1"/>
                      <w:sz w:val="21"/>
                      <w:szCs w:val="21"/>
                      <w:highlight w:val="none"/>
                      <w:u w:val="none" w:color="auto"/>
                      <w:lang w:val="en-US" w:eastAsia="zh-CN"/>
                      <w14:textFill>
                        <w14:solidFill>
                          <w14:schemeClr w14:val="tx1"/>
                        </w14:solidFill>
                      </w14:textFill>
                    </w:rPr>
                    <w:t>经集气罩收集后管道引至1套袋式除尘器</w:t>
                  </w: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（TA00</w:t>
                  </w:r>
                  <w:r>
                    <w:rPr>
                      <w:rFonts w:hint="eastAsia"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1</w:t>
                  </w: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w:t>
                  </w:r>
                  <w:r>
                    <w:rPr>
                      <w:rFonts w:hint="eastAsia"/>
                      <w:color w:val="000000" w:themeColor="text1"/>
                      <w:sz w:val="21"/>
                      <w:szCs w:val="21"/>
                      <w:highlight w:val="none"/>
                      <w:u w:val="none" w:color="auto"/>
                      <w:lang w:val="en-US" w:eastAsia="zh-CN"/>
                      <w14:textFill>
                        <w14:solidFill>
                          <w14:schemeClr w14:val="tx1"/>
                        </w14:solidFill>
                      </w14:textFill>
                    </w:rPr>
                    <w:t>收集后，经1根15m高排气筒排放（DA001）</w:t>
                  </w:r>
                </w:p>
              </w:tc>
            </w:tr>
            <w:tr w14:paraId="484704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0" w:type="pct"/>
                  <w:vMerge w:val="continue"/>
                  <w:vAlign w:val="center"/>
                </w:tcPr>
                <w:p w14:paraId="670EAFA7">
                  <w:pPr>
                    <w:keepNext w:val="0"/>
                    <w:keepLines w:val="0"/>
                    <w:suppressLineNumbers w:val="0"/>
                    <w:tabs>
                      <w:tab w:val="left" w:pos="5250"/>
                    </w:tabs>
                    <w:adjustRightInd w:val="0"/>
                    <w:snapToGrid w:val="0"/>
                    <w:spacing w:before="0" w:beforeAutospacing="0" w:after="0" w:afterAutospacing="0"/>
                    <w:ind w:left="0" w:right="0"/>
                    <w:jc w:val="center"/>
                    <w:rPr>
                      <w:rFonts w:hint="default" w:ascii="Times New Roman" w:hAnsi="Times New Roman" w:cs="Times New Roman"/>
                      <w:bCs/>
                      <w:color w:val="000000" w:themeColor="text1"/>
                      <w:sz w:val="21"/>
                      <w:szCs w:val="21"/>
                      <w:highlight w:val="none"/>
                      <w:u w:val="none"/>
                      <w14:textFill>
                        <w14:solidFill>
                          <w14:schemeClr w14:val="tx1"/>
                        </w14:solidFill>
                      </w14:textFill>
                    </w:rPr>
                  </w:pPr>
                </w:p>
              </w:tc>
              <w:tc>
                <w:tcPr>
                  <w:tcW w:w="920" w:type="pct"/>
                  <w:vMerge w:val="continue"/>
                  <w:vAlign w:val="center"/>
                </w:tcPr>
                <w:p w14:paraId="3B523B08">
                  <w:pPr>
                    <w:keepNext w:val="0"/>
                    <w:keepLines w:val="0"/>
                    <w:suppressLineNumbers w:val="0"/>
                    <w:tabs>
                      <w:tab w:val="left" w:pos="5250"/>
                    </w:tabs>
                    <w:adjustRightInd w:val="0"/>
                    <w:snapToGrid w:val="0"/>
                    <w:spacing w:before="0" w:beforeAutospacing="0" w:after="0" w:afterAutospacing="0"/>
                    <w:ind w:left="0" w:right="0"/>
                    <w:jc w:val="center"/>
                    <w:rPr>
                      <w:rFonts w:hint="default" w:ascii="Times New Roman" w:hAnsi="Times New Roman" w:cs="Times New Roman"/>
                      <w:bCs/>
                      <w:color w:val="000000" w:themeColor="text1"/>
                      <w:sz w:val="21"/>
                      <w:szCs w:val="21"/>
                      <w:highlight w:val="none"/>
                      <w:u w:val="none"/>
                      <w14:textFill>
                        <w14:solidFill>
                          <w14:schemeClr w14:val="tx1"/>
                        </w14:solidFill>
                      </w14:textFill>
                    </w:rPr>
                  </w:pPr>
                </w:p>
              </w:tc>
              <w:tc>
                <w:tcPr>
                  <w:tcW w:w="824" w:type="pct"/>
                  <w:gridSpan w:val="2"/>
                  <w:shd w:val="clear" w:color="auto" w:fill="auto"/>
                  <w:vAlign w:val="center"/>
                </w:tcPr>
                <w:p w14:paraId="6CF00526">
                  <w:pPr>
                    <w:keepNext w:val="0"/>
                    <w:keepLines w:val="0"/>
                    <w:pageBreakBefore w:val="0"/>
                    <w:widowControl w:val="0"/>
                    <w:suppressLineNumbers w:val="0"/>
                    <w:kinsoku/>
                    <w:wordWrap/>
                    <w:overflowPunct/>
                    <w:topLinePunct w:val="0"/>
                    <w:bidi w:val="0"/>
                    <w:spacing w:before="0" w:beforeAutospacing="0" w:after="0" w:afterAutospacing="0" w:line="240" w:lineRule="auto"/>
                    <w:ind w:left="0" w:leftChars="0" w:right="0" w:rightChars="0"/>
                    <w:jc w:val="center"/>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en-US" w:eastAsia="zh-CN"/>
                      <w14:textFill>
                        <w14:solidFill>
                          <w14:schemeClr w14:val="tx1"/>
                        </w14:solidFill>
                      </w14:textFill>
                    </w:rPr>
                    <w:t>机制炭生产线烘干、制棒、炭化等工序废气</w:t>
                  </w:r>
                </w:p>
              </w:tc>
              <w:tc>
                <w:tcPr>
                  <w:tcW w:w="870" w:type="pct"/>
                  <w:shd w:val="clear" w:color="auto" w:fill="auto"/>
                  <w:vAlign w:val="center"/>
                </w:tcPr>
                <w:p w14:paraId="046DEB23">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颗粒物</w:t>
                  </w:r>
                  <w:r>
                    <w:rPr>
                      <w:rFonts w:hint="eastAsia"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w:t>
                  </w:r>
                  <w:r>
                    <w:rPr>
                      <w:rFonts w:hint="eastAsia" w:hAnsi="宋体"/>
                      <w:color w:val="000000" w:themeColor="text1"/>
                      <w:sz w:val="21"/>
                      <w:szCs w:val="21"/>
                      <w:highlight w:val="none"/>
                      <w:u w:val="none" w:color="auto"/>
                      <w14:textFill>
                        <w14:solidFill>
                          <w14:schemeClr w14:val="tx1"/>
                        </w14:solidFill>
                      </w14:textFill>
                    </w:rPr>
                    <w:t>SO</w:t>
                  </w:r>
                  <w:r>
                    <w:rPr>
                      <w:rFonts w:hint="eastAsia" w:hAnsi="宋体"/>
                      <w:color w:val="000000" w:themeColor="text1"/>
                      <w:sz w:val="21"/>
                      <w:szCs w:val="21"/>
                      <w:highlight w:val="none"/>
                      <w:u w:val="none" w:color="auto"/>
                      <w:vertAlign w:val="subscript"/>
                      <w14:textFill>
                        <w14:solidFill>
                          <w14:schemeClr w14:val="tx1"/>
                        </w14:solidFill>
                      </w14:textFill>
                    </w:rPr>
                    <w:t>2</w:t>
                  </w:r>
                  <w:r>
                    <w:rPr>
                      <w:rFonts w:hint="eastAsia"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w:t>
                  </w:r>
                  <w:r>
                    <w:rPr>
                      <w:rFonts w:hint="eastAsia" w:hAnsi="宋体"/>
                      <w:color w:val="000000" w:themeColor="text1"/>
                      <w:sz w:val="21"/>
                      <w:szCs w:val="21"/>
                      <w:highlight w:val="none"/>
                      <w:u w:val="none" w:color="auto"/>
                      <w14:textFill>
                        <w14:solidFill>
                          <w14:schemeClr w14:val="tx1"/>
                        </w14:solidFill>
                      </w14:textFill>
                    </w:rPr>
                    <w:t>NOx</w:t>
                  </w:r>
                </w:p>
              </w:tc>
              <w:tc>
                <w:tcPr>
                  <w:tcW w:w="2014" w:type="pct"/>
                  <w:vAlign w:val="center"/>
                </w:tcPr>
                <w:p w14:paraId="02D1E9DB">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en-US" w:eastAsia="zh-CN"/>
                      <w14:textFill>
                        <w14:solidFill>
                          <w14:schemeClr w14:val="tx1"/>
                        </w14:solidFill>
                      </w14:textFill>
                    </w:rPr>
                    <w:t>烘干时：机制炭生产线制棒废气引入烘干机作为热源，最终与炭化炉点火和炭化初始阶段燃料燃烧废气、烘干废气一起经“碱喷淋+静电除尘装置”处理后经15m高排气筒（DA002）排放</w:t>
                  </w:r>
                  <w:r>
                    <w:rPr>
                      <w:rFonts w:hint="eastAsia" w:ascii="Times New Roman" w:hAnsi="Times New Roman" w:cs="Times New Roman"/>
                      <w:color w:val="000000" w:themeColor="text1"/>
                      <w:sz w:val="21"/>
                      <w:szCs w:val="21"/>
                      <w:highlight w:val="none"/>
                      <w:u w:val="none" w:color="auto"/>
                      <w:lang w:val="en-US" w:eastAsia="zh-CN"/>
                      <w14:textFill>
                        <w14:solidFill>
                          <w14:schemeClr w14:val="tx1"/>
                        </w14:solidFill>
                      </w14:textFill>
                    </w:rPr>
                    <w:t>；</w:t>
                  </w:r>
                  <w:r>
                    <w:rPr>
                      <w:rFonts w:hint="default" w:ascii="Times New Roman" w:hAnsi="Times New Roman" w:cs="Times New Roman"/>
                      <w:color w:val="000000" w:themeColor="text1"/>
                      <w:sz w:val="21"/>
                      <w:szCs w:val="21"/>
                      <w:highlight w:val="none"/>
                      <w:u w:val="none" w:color="auto"/>
                      <w:lang w:val="en-US" w:eastAsia="zh-CN"/>
                      <w14:textFill>
                        <w14:solidFill>
                          <w14:schemeClr w14:val="tx1"/>
                        </w14:solidFill>
                      </w14:textFill>
                    </w:rPr>
                    <w:t>非烘干时，制棒废气、炭化炉点火和炭化初始阶段燃料燃烧废气一起经“碱喷淋+静电除尘装置”处理后经15m高排气筒（DA00</w:t>
                  </w:r>
                  <w:r>
                    <w:rPr>
                      <w:rFonts w:hint="eastAsia" w:ascii="Times New Roman" w:hAnsi="Times New Roman" w:cs="Times New Roman"/>
                      <w:color w:val="000000" w:themeColor="text1"/>
                      <w:sz w:val="21"/>
                      <w:szCs w:val="21"/>
                      <w:highlight w:val="none"/>
                      <w:u w:val="none" w:color="auto"/>
                      <w:lang w:val="en-US" w:eastAsia="zh-CN"/>
                      <w14:textFill>
                        <w14:solidFill>
                          <w14:schemeClr w14:val="tx1"/>
                        </w14:solidFill>
                      </w14:textFill>
                    </w:rPr>
                    <w:t>2</w:t>
                  </w:r>
                  <w:r>
                    <w:rPr>
                      <w:rFonts w:hint="default" w:ascii="Times New Roman" w:hAnsi="Times New Roman" w:cs="Times New Roman"/>
                      <w:color w:val="000000" w:themeColor="text1"/>
                      <w:sz w:val="21"/>
                      <w:szCs w:val="21"/>
                      <w:highlight w:val="none"/>
                      <w:u w:val="none" w:color="auto"/>
                      <w:lang w:val="en-US" w:eastAsia="zh-CN"/>
                      <w14:textFill>
                        <w14:solidFill>
                          <w14:schemeClr w14:val="tx1"/>
                        </w14:solidFill>
                      </w14:textFill>
                    </w:rPr>
                    <w:t>）排放</w:t>
                  </w:r>
                  <w:r>
                    <w:rPr>
                      <w:rFonts w:hint="eastAsia" w:ascii="Times New Roman" w:hAnsi="Times New Roman" w:cs="Times New Roman"/>
                      <w:color w:val="000000" w:themeColor="text1"/>
                      <w:sz w:val="21"/>
                      <w:szCs w:val="21"/>
                      <w:highlight w:val="none"/>
                      <w:u w:val="none" w:color="auto"/>
                      <w:lang w:val="en-US" w:eastAsia="zh-CN"/>
                      <w14:textFill>
                        <w14:solidFill>
                          <w14:schemeClr w14:val="tx1"/>
                        </w14:solidFill>
                      </w14:textFill>
                    </w:rPr>
                    <w:t>。</w:t>
                  </w:r>
                </w:p>
              </w:tc>
            </w:tr>
            <w:tr w14:paraId="29DD38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0" w:type="pct"/>
                  <w:vMerge w:val="continue"/>
                  <w:vAlign w:val="center"/>
                </w:tcPr>
                <w:p w14:paraId="75FA41C4">
                  <w:pPr>
                    <w:keepNext w:val="0"/>
                    <w:keepLines w:val="0"/>
                    <w:suppressLineNumbers w:val="0"/>
                    <w:tabs>
                      <w:tab w:val="left" w:pos="5250"/>
                    </w:tabs>
                    <w:adjustRightInd w:val="0"/>
                    <w:snapToGrid w:val="0"/>
                    <w:spacing w:before="0" w:beforeAutospacing="0" w:after="0" w:afterAutospacing="0"/>
                    <w:ind w:left="0" w:right="0"/>
                    <w:jc w:val="center"/>
                    <w:rPr>
                      <w:rFonts w:hint="default" w:ascii="Times New Roman" w:hAnsi="Times New Roman" w:cs="Times New Roman"/>
                      <w:bCs/>
                      <w:color w:val="000000" w:themeColor="text1"/>
                      <w:sz w:val="21"/>
                      <w:szCs w:val="21"/>
                      <w:highlight w:val="none"/>
                      <w:u w:val="none"/>
                      <w14:textFill>
                        <w14:solidFill>
                          <w14:schemeClr w14:val="tx1"/>
                        </w14:solidFill>
                      </w14:textFill>
                    </w:rPr>
                  </w:pPr>
                </w:p>
              </w:tc>
              <w:tc>
                <w:tcPr>
                  <w:tcW w:w="920" w:type="pct"/>
                  <w:vMerge w:val="continue"/>
                  <w:vAlign w:val="center"/>
                </w:tcPr>
                <w:p w14:paraId="1081D8C1">
                  <w:pPr>
                    <w:keepNext w:val="0"/>
                    <w:keepLines w:val="0"/>
                    <w:suppressLineNumbers w:val="0"/>
                    <w:tabs>
                      <w:tab w:val="left" w:pos="5250"/>
                    </w:tabs>
                    <w:adjustRightInd w:val="0"/>
                    <w:snapToGrid w:val="0"/>
                    <w:spacing w:before="0" w:beforeAutospacing="0" w:after="0" w:afterAutospacing="0"/>
                    <w:ind w:left="0" w:right="0"/>
                    <w:jc w:val="center"/>
                    <w:rPr>
                      <w:rFonts w:hint="default" w:ascii="Times New Roman" w:hAnsi="Times New Roman" w:cs="Times New Roman"/>
                      <w:bCs/>
                      <w:color w:val="000000" w:themeColor="text1"/>
                      <w:sz w:val="21"/>
                      <w:szCs w:val="21"/>
                      <w:highlight w:val="none"/>
                      <w:u w:val="none"/>
                      <w14:textFill>
                        <w14:solidFill>
                          <w14:schemeClr w14:val="tx1"/>
                        </w14:solidFill>
                      </w14:textFill>
                    </w:rPr>
                  </w:pPr>
                </w:p>
              </w:tc>
              <w:tc>
                <w:tcPr>
                  <w:tcW w:w="824" w:type="pct"/>
                  <w:gridSpan w:val="2"/>
                  <w:shd w:val="clear" w:color="auto" w:fill="auto"/>
                  <w:vAlign w:val="center"/>
                </w:tcPr>
                <w:p w14:paraId="47F17B71">
                  <w:pPr>
                    <w:pStyle w:val="49"/>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u w:val="none" w:color="auto"/>
                      <w:vertAlign w:val="baseline"/>
                      <w:lang w:val="en-US" w:eastAsia="zh-CN"/>
                      <w14:textFill>
                        <w14:solidFill>
                          <w14:schemeClr w14:val="tx1"/>
                        </w14:solidFill>
                      </w14:textFill>
                    </w:rPr>
                    <w:t>生物质颗粒生产线</w:t>
                  </w:r>
                  <w:r>
                    <w:rPr>
                      <w:rFonts w:hint="default" w:ascii="Times New Roman" w:hAnsi="Times New Roman" w:cs="Times New Roman"/>
                      <w:color w:val="000000" w:themeColor="text1"/>
                      <w:sz w:val="21"/>
                      <w:szCs w:val="21"/>
                      <w:highlight w:val="none"/>
                      <w:u w:val="none" w:color="auto"/>
                      <w14:textFill>
                        <w14:solidFill>
                          <w14:schemeClr w14:val="tx1"/>
                        </w14:solidFill>
                      </w14:textFill>
                    </w:rPr>
                    <w:t>破碎、</w:t>
                  </w:r>
                  <w:r>
                    <w:rPr>
                      <w:rFonts w:hint="default" w:ascii="Times New Roman" w:hAnsi="Times New Roman" w:cs="Times New Roman"/>
                      <w:color w:val="000000" w:themeColor="text1"/>
                      <w:sz w:val="21"/>
                      <w:szCs w:val="21"/>
                      <w:highlight w:val="none"/>
                      <w:u w:val="none" w:color="auto"/>
                      <w:lang w:val="en-US" w:eastAsia="zh-CN"/>
                      <w14:textFill>
                        <w14:solidFill>
                          <w14:schemeClr w14:val="tx1"/>
                        </w14:solidFill>
                      </w14:textFill>
                    </w:rPr>
                    <w:t>筛分、</w:t>
                  </w:r>
                  <w:r>
                    <w:rPr>
                      <w:rFonts w:hint="default" w:ascii="Times New Roman" w:hAnsi="Times New Roman" w:cs="Times New Roman"/>
                      <w:color w:val="000000" w:themeColor="text1"/>
                      <w:sz w:val="21"/>
                      <w:szCs w:val="21"/>
                      <w:highlight w:val="none"/>
                      <w:u w:val="none" w:color="auto"/>
                      <w14:textFill>
                        <w14:solidFill>
                          <w14:schemeClr w14:val="tx1"/>
                        </w14:solidFill>
                      </w14:textFill>
                    </w:rPr>
                    <w:t>造粒</w:t>
                  </w:r>
                  <w:r>
                    <w:rPr>
                      <w:rFonts w:hint="default" w:ascii="Times New Roman" w:hAnsi="Times New Roman" w:cs="Times New Roman"/>
                      <w:color w:val="000000" w:themeColor="text1"/>
                      <w:sz w:val="21"/>
                      <w:szCs w:val="21"/>
                      <w:highlight w:val="none"/>
                      <w:u w:val="none" w:color="auto"/>
                      <w:lang w:eastAsia="zh-CN"/>
                      <w14:textFill>
                        <w14:solidFill>
                          <w14:schemeClr w14:val="tx1"/>
                        </w14:solidFill>
                      </w14:textFill>
                    </w:rPr>
                    <w:t>、</w:t>
                  </w:r>
                  <w:r>
                    <w:rPr>
                      <w:rFonts w:hint="default" w:ascii="Times New Roman" w:hAnsi="Times New Roman" w:cs="Times New Roman"/>
                      <w:color w:val="000000" w:themeColor="text1"/>
                      <w:sz w:val="21"/>
                      <w:szCs w:val="21"/>
                      <w:highlight w:val="none"/>
                      <w:u w:val="none" w:color="auto"/>
                      <w:lang w:val="en-US" w:eastAsia="zh-CN"/>
                      <w14:textFill>
                        <w14:solidFill>
                          <w14:schemeClr w14:val="tx1"/>
                        </w14:solidFill>
                      </w14:textFill>
                    </w:rPr>
                    <w:t>包装等工序有组织废气</w:t>
                  </w:r>
                </w:p>
              </w:tc>
              <w:tc>
                <w:tcPr>
                  <w:tcW w:w="870" w:type="pct"/>
                  <w:shd w:val="clear" w:color="auto" w:fill="auto"/>
                  <w:vAlign w:val="center"/>
                </w:tcPr>
                <w:p w14:paraId="01795A76">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颗粒物</w:t>
                  </w:r>
                </w:p>
              </w:tc>
              <w:tc>
                <w:tcPr>
                  <w:tcW w:w="2014" w:type="pct"/>
                  <w:vAlign w:val="center"/>
                </w:tcPr>
                <w:p w14:paraId="1FEA21A4">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cs="Times New Roman"/>
                      <w:color w:val="000000" w:themeColor="text1"/>
                      <w:sz w:val="21"/>
                      <w:szCs w:val="21"/>
                      <w:highlight w:val="none"/>
                      <w:u w:val="none" w:color="auto"/>
                      <w:lang w:val="en-US" w:eastAsia="zh-CN"/>
                      <w14:textFill>
                        <w14:solidFill>
                          <w14:schemeClr w14:val="tx1"/>
                        </w14:solidFill>
                      </w14:textFill>
                    </w:rPr>
                  </w:pPr>
                  <w:r>
                    <w:rPr>
                      <w:rFonts w:hint="eastAsia"/>
                      <w:color w:val="000000" w:themeColor="text1"/>
                      <w:sz w:val="21"/>
                      <w:szCs w:val="21"/>
                      <w:highlight w:val="none"/>
                      <w:u w:val="none" w:color="auto"/>
                      <w:lang w:val="en-US" w:eastAsia="zh-CN"/>
                      <w14:textFill>
                        <w14:solidFill>
                          <w14:schemeClr w14:val="tx1"/>
                        </w14:solidFill>
                      </w14:textFill>
                    </w:rPr>
                    <w:t>经收集后引入1套袋式</w:t>
                  </w:r>
                  <w:r>
                    <w:rPr>
                      <w:rFonts w:hint="eastAsia"/>
                      <w:color w:val="000000" w:themeColor="text1"/>
                      <w:sz w:val="21"/>
                      <w:szCs w:val="21"/>
                      <w:highlight w:val="none"/>
                      <w:u w:val="none" w:color="auto"/>
                      <w14:textFill>
                        <w14:solidFill>
                          <w14:schemeClr w14:val="tx1"/>
                        </w14:solidFill>
                      </w14:textFill>
                    </w:rPr>
                    <w:t>除尘器</w:t>
                  </w: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（TA00</w:t>
                  </w:r>
                  <w:r>
                    <w:rPr>
                      <w:rFonts w:hint="eastAsia"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3</w:t>
                  </w: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）处理后经1根15m高排气筒（DA00</w:t>
                  </w:r>
                  <w:r>
                    <w:rPr>
                      <w:rFonts w:hint="eastAsia"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3</w:t>
                  </w: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）引至高空排放</w:t>
                  </w:r>
                </w:p>
              </w:tc>
            </w:tr>
            <w:tr w14:paraId="11F597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0" w:type="pct"/>
                  <w:vMerge w:val="continue"/>
                  <w:vAlign w:val="center"/>
                </w:tcPr>
                <w:p w14:paraId="0A70F19F">
                  <w:pPr>
                    <w:keepNext w:val="0"/>
                    <w:keepLines w:val="0"/>
                    <w:suppressLineNumbers w:val="0"/>
                    <w:tabs>
                      <w:tab w:val="left" w:pos="5250"/>
                    </w:tabs>
                    <w:adjustRightInd w:val="0"/>
                    <w:snapToGrid w:val="0"/>
                    <w:spacing w:before="0" w:beforeAutospacing="0" w:after="0" w:afterAutospacing="0"/>
                    <w:ind w:left="0" w:right="0"/>
                    <w:jc w:val="center"/>
                    <w:rPr>
                      <w:rFonts w:hint="default" w:ascii="Times New Roman" w:hAnsi="Times New Roman" w:cs="Times New Roman"/>
                      <w:bCs/>
                      <w:color w:val="000000" w:themeColor="text1"/>
                      <w:sz w:val="21"/>
                      <w:szCs w:val="21"/>
                      <w:highlight w:val="none"/>
                      <w:u w:val="none"/>
                      <w14:textFill>
                        <w14:solidFill>
                          <w14:schemeClr w14:val="tx1"/>
                        </w14:solidFill>
                      </w14:textFill>
                    </w:rPr>
                  </w:pPr>
                </w:p>
              </w:tc>
              <w:tc>
                <w:tcPr>
                  <w:tcW w:w="920" w:type="pct"/>
                  <w:vMerge w:val="continue"/>
                  <w:vAlign w:val="center"/>
                </w:tcPr>
                <w:p w14:paraId="21449918">
                  <w:pPr>
                    <w:keepNext w:val="0"/>
                    <w:keepLines w:val="0"/>
                    <w:suppressLineNumbers w:val="0"/>
                    <w:tabs>
                      <w:tab w:val="left" w:pos="5250"/>
                    </w:tabs>
                    <w:adjustRightInd w:val="0"/>
                    <w:snapToGrid w:val="0"/>
                    <w:spacing w:before="0" w:beforeAutospacing="0" w:after="0" w:afterAutospacing="0"/>
                    <w:ind w:left="0" w:right="0"/>
                    <w:jc w:val="center"/>
                    <w:rPr>
                      <w:rFonts w:hint="default" w:ascii="Times New Roman" w:hAnsi="Times New Roman" w:cs="Times New Roman"/>
                      <w:bCs/>
                      <w:color w:val="000000" w:themeColor="text1"/>
                      <w:sz w:val="21"/>
                      <w:szCs w:val="21"/>
                      <w:highlight w:val="none"/>
                      <w:u w:val="none"/>
                      <w14:textFill>
                        <w14:solidFill>
                          <w14:schemeClr w14:val="tx1"/>
                        </w14:solidFill>
                      </w14:textFill>
                    </w:rPr>
                  </w:pPr>
                </w:p>
              </w:tc>
              <w:tc>
                <w:tcPr>
                  <w:tcW w:w="824" w:type="pct"/>
                  <w:gridSpan w:val="2"/>
                  <w:shd w:val="clear" w:color="auto" w:fill="auto"/>
                  <w:vAlign w:val="center"/>
                </w:tcPr>
                <w:p w14:paraId="0A43766C">
                  <w:pPr>
                    <w:pStyle w:val="49"/>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u w:val="none" w:color="auto"/>
                      <w:vertAlign w:val="baseline"/>
                      <w:lang w:val="en-US" w:eastAsia="zh-CN"/>
                      <w14:textFill>
                        <w14:solidFill>
                          <w14:schemeClr w14:val="tx1"/>
                        </w14:solidFill>
                      </w14:textFill>
                    </w:rPr>
                    <w:t>生物质颗粒生产线</w:t>
                  </w:r>
                  <w:r>
                    <w:rPr>
                      <w:rFonts w:hint="default" w:ascii="Times New Roman" w:hAnsi="Times New Roman" w:cs="Times New Roman"/>
                      <w:color w:val="000000" w:themeColor="text1"/>
                      <w:sz w:val="21"/>
                      <w:szCs w:val="21"/>
                      <w:highlight w:val="none"/>
                      <w:u w:val="none" w:color="auto"/>
                      <w14:textFill>
                        <w14:solidFill>
                          <w14:schemeClr w14:val="tx1"/>
                        </w14:solidFill>
                      </w14:textFill>
                    </w:rPr>
                    <w:t>破碎、</w:t>
                  </w:r>
                  <w:r>
                    <w:rPr>
                      <w:rFonts w:hint="default" w:ascii="Times New Roman" w:hAnsi="Times New Roman" w:cs="Times New Roman"/>
                      <w:color w:val="000000" w:themeColor="text1"/>
                      <w:sz w:val="21"/>
                      <w:szCs w:val="21"/>
                      <w:highlight w:val="none"/>
                      <w:u w:val="none" w:color="auto"/>
                      <w:lang w:val="en-US" w:eastAsia="zh-CN"/>
                      <w14:textFill>
                        <w14:solidFill>
                          <w14:schemeClr w14:val="tx1"/>
                        </w14:solidFill>
                      </w14:textFill>
                    </w:rPr>
                    <w:t>筛分、</w:t>
                  </w:r>
                  <w:r>
                    <w:rPr>
                      <w:rFonts w:hint="default" w:ascii="Times New Roman" w:hAnsi="Times New Roman" w:cs="Times New Roman"/>
                      <w:color w:val="000000" w:themeColor="text1"/>
                      <w:sz w:val="21"/>
                      <w:szCs w:val="21"/>
                      <w:highlight w:val="none"/>
                      <w:u w:val="none" w:color="auto"/>
                      <w14:textFill>
                        <w14:solidFill>
                          <w14:schemeClr w14:val="tx1"/>
                        </w14:solidFill>
                      </w14:textFill>
                    </w:rPr>
                    <w:t>造粒</w:t>
                  </w:r>
                  <w:r>
                    <w:rPr>
                      <w:rFonts w:hint="default" w:ascii="Times New Roman" w:hAnsi="Times New Roman" w:cs="Times New Roman"/>
                      <w:color w:val="000000" w:themeColor="text1"/>
                      <w:sz w:val="21"/>
                      <w:szCs w:val="21"/>
                      <w:highlight w:val="none"/>
                      <w:u w:val="none" w:color="auto"/>
                      <w:lang w:eastAsia="zh-CN"/>
                      <w14:textFill>
                        <w14:solidFill>
                          <w14:schemeClr w14:val="tx1"/>
                        </w14:solidFill>
                      </w14:textFill>
                    </w:rPr>
                    <w:t>、</w:t>
                  </w:r>
                  <w:r>
                    <w:rPr>
                      <w:rFonts w:hint="default" w:ascii="Times New Roman" w:hAnsi="Times New Roman" w:cs="Times New Roman"/>
                      <w:color w:val="000000" w:themeColor="text1"/>
                      <w:sz w:val="21"/>
                      <w:szCs w:val="21"/>
                      <w:highlight w:val="none"/>
                      <w:u w:val="none" w:color="auto"/>
                      <w:lang w:val="en-US" w:eastAsia="zh-CN"/>
                      <w14:textFill>
                        <w14:solidFill>
                          <w14:schemeClr w14:val="tx1"/>
                        </w14:solidFill>
                      </w14:textFill>
                    </w:rPr>
                    <w:t>包装等工序无组织废气</w:t>
                  </w:r>
                </w:p>
              </w:tc>
              <w:tc>
                <w:tcPr>
                  <w:tcW w:w="870" w:type="pct"/>
                  <w:shd w:val="clear" w:color="auto" w:fill="auto"/>
                  <w:vAlign w:val="center"/>
                </w:tcPr>
                <w:p w14:paraId="064604AD">
                  <w:pPr>
                    <w:keepNext w:val="0"/>
                    <w:keepLines w:val="0"/>
                    <w:suppressLineNumbers w:val="0"/>
                    <w:spacing w:before="0" w:beforeAutospacing="0" w:after="0" w:afterAutospacing="0" w:line="320" w:lineRule="atLeast"/>
                    <w:ind w:left="0" w:leftChars="0" w:right="0" w:rightChars="0"/>
                    <w:jc w:val="center"/>
                    <w:rPr>
                      <w:rFonts w:hint="default" w:ascii="Times New Roman" w:hAnsi="Times New Roman" w:cs="Times New Roman"/>
                      <w:color w:val="000000" w:themeColor="text1"/>
                      <w:sz w:val="21"/>
                      <w:szCs w:val="21"/>
                      <w:highlight w:val="none"/>
                      <w:u w:val="none" w:color="auto"/>
                      <w14:textFill>
                        <w14:solidFill>
                          <w14:schemeClr w14:val="tx1"/>
                        </w14:solidFill>
                      </w14:textFill>
                    </w:rPr>
                  </w:pPr>
                  <w:r>
                    <w:rPr>
                      <w:rFonts w:hint="default" w:ascii="Times New Roman" w:hAnsi="Times New Roman" w:cs="Times New Roman"/>
                      <w:color w:val="000000" w:themeColor="text1"/>
                      <w:sz w:val="21"/>
                      <w:szCs w:val="21"/>
                      <w:highlight w:val="none"/>
                      <w:u w:val="none" w:color="auto"/>
                      <w14:textFill>
                        <w14:solidFill>
                          <w14:schemeClr w14:val="tx1"/>
                        </w14:solidFill>
                      </w14:textFill>
                    </w:rPr>
                    <w:t>颗粒物</w:t>
                  </w:r>
                </w:p>
              </w:tc>
              <w:tc>
                <w:tcPr>
                  <w:tcW w:w="2014" w:type="pct"/>
                  <w:vMerge w:val="restart"/>
                  <w:vAlign w:val="center"/>
                </w:tcPr>
                <w:p w14:paraId="4E4171CB">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000000" w:themeColor="text1"/>
                      <w:kern w:val="0"/>
                      <w:sz w:val="21"/>
                      <w:szCs w:val="21"/>
                      <w:highlight w:val="none"/>
                      <w:u w:val="none" w:color="auto"/>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u w:val="none" w:color="auto"/>
                      <w:lang w:val="en-US" w:eastAsia="zh-CN" w:bidi="ar"/>
                      <w14:textFill>
                        <w14:solidFill>
                          <w14:schemeClr w14:val="tx1"/>
                        </w14:solidFill>
                      </w14:textFill>
                    </w:rPr>
                    <w:t>封闭厂房等</w:t>
                  </w:r>
                </w:p>
              </w:tc>
            </w:tr>
            <w:tr w14:paraId="10DD67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0" w:type="pct"/>
                  <w:vMerge w:val="continue"/>
                  <w:vAlign w:val="center"/>
                </w:tcPr>
                <w:p w14:paraId="55ADE3B0">
                  <w:pPr>
                    <w:keepNext w:val="0"/>
                    <w:keepLines w:val="0"/>
                    <w:suppressLineNumbers w:val="0"/>
                    <w:tabs>
                      <w:tab w:val="left" w:pos="5250"/>
                    </w:tabs>
                    <w:adjustRightInd w:val="0"/>
                    <w:snapToGrid w:val="0"/>
                    <w:spacing w:before="0" w:beforeAutospacing="0" w:after="0" w:afterAutospacing="0"/>
                    <w:ind w:left="0" w:right="0"/>
                    <w:jc w:val="center"/>
                    <w:rPr>
                      <w:rFonts w:hint="default" w:ascii="Times New Roman" w:hAnsi="Times New Roman" w:cs="Times New Roman"/>
                      <w:bCs/>
                      <w:color w:val="000000" w:themeColor="text1"/>
                      <w:sz w:val="21"/>
                      <w:szCs w:val="21"/>
                      <w:highlight w:val="none"/>
                      <w:u w:val="none"/>
                      <w14:textFill>
                        <w14:solidFill>
                          <w14:schemeClr w14:val="tx1"/>
                        </w14:solidFill>
                      </w14:textFill>
                    </w:rPr>
                  </w:pPr>
                </w:p>
              </w:tc>
              <w:tc>
                <w:tcPr>
                  <w:tcW w:w="920" w:type="pct"/>
                  <w:vMerge w:val="continue"/>
                  <w:vAlign w:val="center"/>
                </w:tcPr>
                <w:p w14:paraId="2EB1E4BF">
                  <w:pPr>
                    <w:keepNext w:val="0"/>
                    <w:keepLines w:val="0"/>
                    <w:suppressLineNumbers w:val="0"/>
                    <w:tabs>
                      <w:tab w:val="left" w:pos="5250"/>
                    </w:tabs>
                    <w:adjustRightInd w:val="0"/>
                    <w:snapToGrid w:val="0"/>
                    <w:spacing w:before="0" w:beforeAutospacing="0" w:after="0" w:afterAutospacing="0"/>
                    <w:ind w:left="0" w:right="0"/>
                    <w:jc w:val="center"/>
                    <w:rPr>
                      <w:rFonts w:hint="default" w:ascii="Times New Roman" w:hAnsi="Times New Roman" w:cs="Times New Roman"/>
                      <w:bCs/>
                      <w:color w:val="000000" w:themeColor="text1"/>
                      <w:sz w:val="21"/>
                      <w:szCs w:val="21"/>
                      <w:highlight w:val="none"/>
                      <w:u w:val="none"/>
                      <w14:textFill>
                        <w14:solidFill>
                          <w14:schemeClr w14:val="tx1"/>
                        </w14:solidFill>
                      </w14:textFill>
                    </w:rPr>
                  </w:pPr>
                </w:p>
              </w:tc>
              <w:tc>
                <w:tcPr>
                  <w:tcW w:w="824" w:type="pct"/>
                  <w:gridSpan w:val="2"/>
                  <w:shd w:val="clear" w:color="auto" w:fill="auto"/>
                  <w:vAlign w:val="center"/>
                </w:tcPr>
                <w:p w14:paraId="26482D52">
                  <w:pPr>
                    <w:keepNext w:val="0"/>
                    <w:keepLines w:val="0"/>
                    <w:pageBreakBefore w:val="0"/>
                    <w:widowControl w:val="0"/>
                    <w:suppressLineNumbers w:val="0"/>
                    <w:kinsoku/>
                    <w:wordWrap/>
                    <w:overflowPunct/>
                    <w:topLinePunct w:val="0"/>
                    <w:bidi w:val="0"/>
                    <w:spacing w:before="0" w:beforeAutospacing="0" w:after="0" w:afterAutospacing="0" w:line="240" w:lineRule="auto"/>
                    <w:ind w:left="0" w:leftChars="0" w:right="0" w:rightChars="0"/>
                    <w:jc w:val="center"/>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u w:val="none" w:color="auto"/>
                      <w:lang w:val="en-US" w:eastAsia="zh-CN" w:bidi="ar"/>
                      <w14:textFill>
                        <w14:solidFill>
                          <w14:schemeClr w14:val="tx1"/>
                        </w14:solidFill>
                      </w14:textFill>
                    </w:rPr>
                    <w:t>生物质颗粒生产线原料装卸</w:t>
                  </w:r>
                  <w:r>
                    <w:rPr>
                      <w:rFonts w:hint="default" w:ascii="Times New Roman" w:hAnsi="Times New Roman" w:cs="Times New Roman"/>
                      <w:color w:val="000000" w:themeColor="text1"/>
                      <w:kern w:val="0"/>
                      <w:sz w:val="21"/>
                      <w:szCs w:val="21"/>
                      <w:highlight w:val="none"/>
                      <w:u w:val="none" w:color="auto"/>
                      <w:lang w:val="en-US" w:eastAsia="zh-CN" w:bidi="ar"/>
                      <w14:textFill>
                        <w14:solidFill>
                          <w14:schemeClr w14:val="tx1"/>
                        </w14:solidFill>
                      </w14:textFill>
                    </w:rPr>
                    <w:t>转运</w:t>
                  </w:r>
                  <w:r>
                    <w:rPr>
                      <w:rFonts w:hint="default" w:ascii="Times New Roman" w:hAnsi="Times New Roman" w:eastAsia="宋体" w:cs="Times New Roman"/>
                      <w:color w:val="000000" w:themeColor="text1"/>
                      <w:kern w:val="0"/>
                      <w:sz w:val="21"/>
                      <w:szCs w:val="21"/>
                      <w:highlight w:val="none"/>
                      <w:u w:val="none" w:color="auto"/>
                      <w:lang w:val="en-US" w:eastAsia="zh-CN" w:bidi="ar"/>
                      <w14:textFill>
                        <w14:solidFill>
                          <w14:schemeClr w14:val="tx1"/>
                        </w14:solidFill>
                      </w14:textFill>
                    </w:rPr>
                    <w:t>粉尘</w:t>
                  </w:r>
                </w:p>
              </w:tc>
              <w:tc>
                <w:tcPr>
                  <w:tcW w:w="870" w:type="pct"/>
                  <w:shd w:val="clear" w:color="auto" w:fill="auto"/>
                  <w:vAlign w:val="center"/>
                </w:tcPr>
                <w:p w14:paraId="44113EA5">
                  <w:pPr>
                    <w:keepNext w:val="0"/>
                    <w:keepLines w:val="0"/>
                    <w:suppressLineNumbers w:val="0"/>
                    <w:spacing w:before="0" w:beforeAutospacing="0" w:after="0" w:afterAutospacing="0" w:line="320" w:lineRule="atLeast"/>
                    <w:ind w:left="0" w:leftChars="0" w:right="0" w:rightChars="0"/>
                    <w:jc w:val="center"/>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en-US" w:eastAsia="zh-CN"/>
                      <w14:textFill>
                        <w14:solidFill>
                          <w14:schemeClr w14:val="tx1"/>
                        </w14:solidFill>
                      </w14:textFill>
                    </w:rPr>
                    <w:t>颗粒物</w:t>
                  </w:r>
                </w:p>
              </w:tc>
              <w:tc>
                <w:tcPr>
                  <w:tcW w:w="2014" w:type="pct"/>
                  <w:vMerge w:val="continue"/>
                  <w:shd w:val="clear" w:color="auto" w:fill="auto"/>
                  <w:vAlign w:val="center"/>
                </w:tcPr>
                <w:p w14:paraId="0D102908">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000000" w:themeColor="text1"/>
                      <w:kern w:val="0"/>
                      <w:sz w:val="21"/>
                      <w:szCs w:val="21"/>
                      <w:highlight w:val="none"/>
                      <w:u w:val="none" w:color="auto"/>
                      <w:lang w:val="en-US" w:eastAsia="zh-CN" w:bidi="ar"/>
                      <w14:textFill>
                        <w14:solidFill>
                          <w14:schemeClr w14:val="tx1"/>
                        </w14:solidFill>
                      </w14:textFill>
                    </w:rPr>
                  </w:pPr>
                </w:p>
              </w:tc>
            </w:tr>
            <w:tr w14:paraId="26739B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0" w:type="pct"/>
                  <w:vMerge w:val="continue"/>
                  <w:vAlign w:val="center"/>
                </w:tcPr>
                <w:p w14:paraId="5D76CB9F">
                  <w:pPr>
                    <w:keepNext w:val="0"/>
                    <w:keepLines w:val="0"/>
                    <w:suppressLineNumbers w:val="0"/>
                    <w:tabs>
                      <w:tab w:val="left" w:pos="5250"/>
                    </w:tabs>
                    <w:adjustRightInd w:val="0"/>
                    <w:snapToGrid w:val="0"/>
                    <w:spacing w:before="0" w:beforeAutospacing="0" w:after="0" w:afterAutospacing="0"/>
                    <w:ind w:left="0" w:right="0"/>
                    <w:jc w:val="center"/>
                    <w:rPr>
                      <w:rFonts w:hint="default" w:ascii="Times New Roman" w:hAnsi="Times New Roman" w:cs="Times New Roman"/>
                      <w:bCs/>
                      <w:color w:val="000000" w:themeColor="text1"/>
                      <w:sz w:val="21"/>
                      <w:szCs w:val="21"/>
                      <w:highlight w:val="none"/>
                      <w:u w:val="none"/>
                      <w14:textFill>
                        <w14:solidFill>
                          <w14:schemeClr w14:val="tx1"/>
                        </w14:solidFill>
                      </w14:textFill>
                    </w:rPr>
                  </w:pPr>
                </w:p>
              </w:tc>
              <w:tc>
                <w:tcPr>
                  <w:tcW w:w="920" w:type="pct"/>
                  <w:vMerge w:val="continue"/>
                  <w:vAlign w:val="center"/>
                </w:tcPr>
                <w:p w14:paraId="58DC036E">
                  <w:pPr>
                    <w:keepNext w:val="0"/>
                    <w:keepLines w:val="0"/>
                    <w:suppressLineNumbers w:val="0"/>
                    <w:tabs>
                      <w:tab w:val="left" w:pos="5250"/>
                    </w:tabs>
                    <w:adjustRightInd w:val="0"/>
                    <w:snapToGrid w:val="0"/>
                    <w:spacing w:before="0" w:beforeAutospacing="0" w:after="0" w:afterAutospacing="0"/>
                    <w:ind w:left="0" w:right="0"/>
                    <w:jc w:val="center"/>
                    <w:rPr>
                      <w:rFonts w:hint="default" w:ascii="Times New Roman" w:hAnsi="Times New Roman" w:cs="Times New Roman"/>
                      <w:bCs/>
                      <w:color w:val="000000" w:themeColor="text1"/>
                      <w:sz w:val="21"/>
                      <w:szCs w:val="21"/>
                      <w:highlight w:val="none"/>
                      <w:u w:val="none"/>
                      <w14:textFill>
                        <w14:solidFill>
                          <w14:schemeClr w14:val="tx1"/>
                        </w14:solidFill>
                      </w14:textFill>
                    </w:rPr>
                  </w:pPr>
                </w:p>
              </w:tc>
              <w:tc>
                <w:tcPr>
                  <w:tcW w:w="824" w:type="pct"/>
                  <w:gridSpan w:val="2"/>
                  <w:shd w:val="clear" w:color="auto" w:fill="auto"/>
                  <w:vAlign w:val="center"/>
                </w:tcPr>
                <w:p w14:paraId="138997A1">
                  <w:pPr>
                    <w:keepNext w:val="0"/>
                    <w:keepLines w:val="0"/>
                    <w:pageBreakBefore w:val="0"/>
                    <w:widowControl w:val="0"/>
                    <w:suppressLineNumbers w:val="0"/>
                    <w:kinsoku/>
                    <w:wordWrap/>
                    <w:overflowPunct/>
                    <w:topLinePunct w:val="0"/>
                    <w:bidi w:val="0"/>
                    <w:spacing w:before="0" w:beforeAutospacing="0" w:after="0" w:afterAutospacing="0" w:line="240" w:lineRule="auto"/>
                    <w:ind w:left="0" w:leftChars="0" w:right="0" w:rightChars="0"/>
                    <w:jc w:val="center"/>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en-US" w:eastAsia="zh-CN"/>
                      <w14:textFill>
                        <w14:solidFill>
                          <w14:schemeClr w14:val="tx1"/>
                        </w14:solidFill>
                      </w14:textFill>
                    </w:rPr>
                    <w:t>机制炭生产线破碎、筛分、</w:t>
                  </w:r>
                  <w:r>
                    <w:rPr>
                      <w:rFonts w:hint="default" w:ascii="Times New Roman" w:hAnsi="Times New Roman" w:cs="Times New Roman"/>
                      <w:b w:val="0"/>
                      <w:bCs/>
                      <w:color w:val="000000" w:themeColor="text1"/>
                      <w:sz w:val="21"/>
                      <w:szCs w:val="21"/>
                      <w:highlight w:val="none"/>
                      <w:u w:val="none" w:color="auto"/>
                      <w:lang w:val="en-US" w:eastAsia="zh-CN"/>
                      <w14:textFill>
                        <w14:solidFill>
                          <w14:schemeClr w14:val="tx1"/>
                        </w14:solidFill>
                      </w14:textFill>
                    </w:rPr>
                    <w:t>冷却和锯切工序集气罩未收集的无组织废气</w:t>
                  </w:r>
                </w:p>
              </w:tc>
              <w:tc>
                <w:tcPr>
                  <w:tcW w:w="870" w:type="pct"/>
                  <w:shd w:val="clear" w:color="auto" w:fill="auto"/>
                  <w:vAlign w:val="center"/>
                </w:tcPr>
                <w:p w14:paraId="10713764">
                  <w:pPr>
                    <w:keepNext w:val="0"/>
                    <w:keepLines w:val="0"/>
                    <w:suppressLineNumbers w:val="0"/>
                    <w:spacing w:before="0" w:beforeAutospacing="0" w:after="0" w:afterAutospacing="0" w:line="320" w:lineRule="atLeast"/>
                    <w:ind w:left="0" w:leftChars="0" w:right="0" w:rightChars="0"/>
                    <w:jc w:val="center"/>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u w:val="none" w:color="auto"/>
                      <w14:textFill>
                        <w14:solidFill>
                          <w14:schemeClr w14:val="tx1"/>
                        </w14:solidFill>
                      </w14:textFill>
                    </w:rPr>
                    <w:t>颗粒物</w:t>
                  </w:r>
                </w:p>
              </w:tc>
              <w:tc>
                <w:tcPr>
                  <w:tcW w:w="2014" w:type="pct"/>
                  <w:vMerge w:val="restart"/>
                  <w:shd w:val="clear" w:color="auto" w:fill="auto"/>
                  <w:vAlign w:val="center"/>
                </w:tcPr>
                <w:p w14:paraId="379D825B">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000000" w:themeColor="text1"/>
                      <w:kern w:val="0"/>
                      <w:sz w:val="21"/>
                      <w:szCs w:val="21"/>
                      <w:highlight w:val="none"/>
                      <w:u w:val="none" w:color="auto"/>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u w:val="none" w:color="auto"/>
                      <w:lang w:val="en-US" w:eastAsia="zh-CN" w:bidi="ar"/>
                      <w14:textFill>
                        <w14:solidFill>
                          <w14:schemeClr w14:val="tx1"/>
                        </w14:solidFill>
                      </w14:textFill>
                    </w:rPr>
                    <w:t>封闭厂房等</w:t>
                  </w:r>
                </w:p>
              </w:tc>
            </w:tr>
            <w:tr w14:paraId="621151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0" w:type="pct"/>
                  <w:vMerge w:val="continue"/>
                  <w:vAlign w:val="center"/>
                </w:tcPr>
                <w:p w14:paraId="6DD69C83">
                  <w:pPr>
                    <w:keepNext w:val="0"/>
                    <w:keepLines w:val="0"/>
                    <w:suppressLineNumbers w:val="0"/>
                    <w:tabs>
                      <w:tab w:val="left" w:pos="5250"/>
                    </w:tabs>
                    <w:adjustRightInd w:val="0"/>
                    <w:snapToGrid w:val="0"/>
                    <w:spacing w:before="0" w:beforeAutospacing="0" w:after="0" w:afterAutospacing="0"/>
                    <w:ind w:left="0" w:right="0"/>
                    <w:jc w:val="center"/>
                    <w:rPr>
                      <w:rFonts w:hint="default" w:ascii="Times New Roman" w:hAnsi="Times New Roman" w:cs="Times New Roman"/>
                      <w:bCs/>
                      <w:color w:val="000000" w:themeColor="text1"/>
                      <w:sz w:val="21"/>
                      <w:szCs w:val="21"/>
                      <w:highlight w:val="none"/>
                      <w:u w:val="none"/>
                      <w14:textFill>
                        <w14:solidFill>
                          <w14:schemeClr w14:val="tx1"/>
                        </w14:solidFill>
                      </w14:textFill>
                    </w:rPr>
                  </w:pPr>
                </w:p>
              </w:tc>
              <w:tc>
                <w:tcPr>
                  <w:tcW w:w="920" w:type="pct"/>
                  <w:vMerge w:val="continue"/>
                  <w:vAlign w:val="center"/>
                </w:tcPr>
                <w:p w14:paraId="31155753">
                  <w:pPr>
                    <w:keepNext w:val="0"/>
                    <w:keepLines w:val="0"/>
                    <w:suppressLineNumbers w:val="0"/>
                    <w:tabs>
                      <w:tab w:val="left" w:pos="5250"/>
                    </w:tabs>
                    <w:adjustRightInd w:val="0"/>
                    <w:snapToGrid w:val="0"/>
                    <w:spacing w:before="0" w:beforeAutospacing="0" w:after="0" w:afterAutospacing="0"/>
                    <w:ind w:left="0" w:right="0"/>
                    <w:jc w:val="center"/>
                    <w:rPr>
                      <w:rFonts w:hint="default" w:ascii="Times New Roman" w:hAnsi="Times New Roman" w:cs="Times New Roman"/>
                      <w:bCs/>
                      <w:color w:val="000000" w:themeColor="text1"/>
                      <w:sz w:val="21"/>
                      <w:szCs w:val="21"/>
                      <w:highlight w:val="none"/>
                      <w:u w:val="none"/>
                      <w14:textFill>
                        <w14:solidFill>
                          <w14:schemeClr w14:val="tx1"/>
                        </w14:solidFill>
                      </w14:textFill>
                    </w:rPr>
                  </w:pPr>
                </w:p>
              </w:tc>
              <w:tc>
                <w:tcPr>
                  <w:tcW w:w="824" w:type="pct"/>
                  <w:gridSpan w:val="2"/>
                  <w:shd w:val="clear" w:color="auto" w:fill="auto"/>
                  <w:vAlign w:val="center"/>
                </w:tcPr>
                <w:p w14:paraId="0757C811">
                  <w:pPr>
                    <w:keepNext w:val="0"/>
                    <w:keepLines w:val="0"/>
                    <w:pageBreakBefore w:val="0"/>
                    <w:widowControl w:val="0"/>
                    <w:suppressLineNumbers w:val="0"/>
                    <w:kinsoku/>
                    <w:wordWrap/>
                    <w:overflowPunct/>
                    <w:topLinePunct w:val="0"/>
                    <w:bidi w:val="0"/>
                    <w:spacing w:before="0" w:beforeAutospacing="0" w:after="0" w:afterAutospacing="0" w:line="240" w:lineRule="auto"/>
                    <w:ind w:left="0" w:leftChars="0" w:right="0" w:rightChars="0"/>
                    <w:jc w:val="center"/>
                    <w:rPr>
                      <w:rFonts w:hint="default" w:ascii="Times New Roman" w:hAnsi="Times New Roman"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en-US" w:eastAsia="zh-CN"/>
                      <w14:textFill>
                        <w14:solidFill>
                          <w14:schemeClr w14:val="tx1"/>
                        </w14:solidFill>
                      </w14:textFill>
                    </w:rPr>
                    <w:t>制棒工序集气罩未收集的</w:t>
                  </w:r>
                </w:p>
              </w:tc>
              <w:tc>
                <w:tcPr>
                  <w:tcW w:w="870" w:type="pct"/>
                  <w:shd w:val="clear" w:color="auto" w:fill="auto"/>
                  <w:vAlign w:val="center"/>
                </w:tcPr>
                <w:p w14:paraId="0601A920">
                  <w:pPr>
                    <w:keepNext w:val="0"/>
                    <w:keepLines w:val="0"/>
                    <w:suppressLineNumbers w:val="0"/>
                    <w:spacing w:before="0" w:beforeAutospacing="0" w:after="0" w:afterAutospacing="0" w:line="320" w:lineRule="atLeast"/>
                    <w:ind w:left="0" w:leftChars="0" w:right="0" w:rightChars="0"/>
                    <w:jc w:val="center"/>
                    <w:rPr>
                      <w:rFonts w:hint="default" w:ascii="Times New Roman" w:hAnsi="Times New Roman" w:cs="Times New Roman"/>
                      <w:color w:val="000000" w:themeColor="text1"/>
                      <w:sz w:val="21"/>
                      <w:szCs w:val="21"/>
                      <w:highlight w:val="none"/>
                      <w:u w:val="none" w:color="auto"/>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en-US" w:eastAsia="zh-CN"/>
                      <w14:textFill>
                        <w14:solidFill>
                          <w14:schemeClr w14:val="tx1"/>
                        </w14:solidFill>
                      </w14:textFill>
                    </w:rPr>
                    <w:t>颗粒物</w:t>
                  </w:r>
                </w:p>
              </w:tc>
              <w:tc>
                <w:tcPr>
                  <w:tcW w:w="2014" w:type="pct"/>
                  <w:vMerge w:val="continue"/>
                  <w:shd w:val="clear" w:color="auto" w:fill="auto"/>
                  <w:vAlign w:val="center"/>
                </w:tcPr>
                <w:p w14:paraId="21EB3DEE">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000000" w:themeColor="text1"/>
                      <w:kern w:val="0"/>
                      <w:sz w:val="21"/>
                      <w:szCs w:val="21"/>
                      <w:highlight w:val="none"/>
                      <w:u w:val="none" w:color="auto"/>
                      <w:lang w:val="en-US" w:eastAsia="zh-CN" w:bidi="ar"/>
                      <w14:textFill>
                        <w14:solidFill>
                          <w14:schemeClr w14:val="tx1"/>
                        </w14:solidFill>
                      </w14:textFill>
                    </w:rPr>
                  </w:pPr>
                </w:p>
              </w:tc>
            </w:tr>
            <w:tr w14:paraId="581414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0" w:type="pct"/>
                  <w:vMerge w:val="continue"/>
                  <w:vAlign w:val="center"/>
                </w:tcPr>
                <w:p w14:paraId="775A02C8">
                  <w:pPr>
                    <w:keepNext w:val="0"/>
                    <w:keepLines w:val="0"/>
                    <w:suppressLineNumbers w:val="0"/>
                    <w:tabs>
                      <w:tab w:val="left" w:pos="5250"/>
                    </w:tabs>
                    <w:adjustRightInd w:val="0"/>
                    <w:snapToGrid w:val="0"/>
                    <w:spacing w:before="0" w:beforeAutospacing="0" w:after="0" w:afterAutospacing="0"/>
                    <w:ind w:left="0" w:right="0"/>
                    <w:jc w:val="center"/>
                    <w:rPr>
                      <w:rFonts w:hint="default" w:ascii="Times New Roman" w:hAnsi="Times New Roman" w:cs="Times New Roman"/>
                      <w:bCs/>
                      <w:color w:val="000000" w:themeColor="text1"/>
                      <w:sz w:val="21"/>
                      <w:szCs w:val="21"/>
                      <w:highlight w:val="none"/>
                      <w:u w:val="none"/>
                      <w14:textFill>
                        <w14:solidFill>
                          <w14:schemeClr w14:val="tx1"/>
                        </w14:solidFill>
                      </w14:textFill>
                    </w:rPr>
                  </w:pPr>
                </w:p>
              </w:tc>
              <w:tc>
                <w:tcPr>
                  <w:tcW w:w="920" w:type="pct"/>
                  <w:vMerge w:val="continue"/>
                  <w:vAlign w:val="center"/>
                </w:tcPr>
                <w:p w14:paraId="5C2EC7E0">
                  <w:pPr>
                    <w:keepNext w:val="0"/>
                    <w:keepLines w:val="0"/>
                    <w:suppressLineNumbers w:val="0"/>
                    <w:tabs>
                      <w:tab w:val="left" w:pos="5250"/>
                    </w:tabs>
                    <w:adjustRightInd w:val="0"/>
                    <w:snapToGrid w:val="0"/>
                    <w:spacing w:before="0" w:beforeAutospacing="0" w:after="0" w:afterAutospacing="0"/>
                    <w:ind w:left="0" w:right="0"/>
                    <w:jc w:val="center"/>
                    <w:rPr>
                      <w:rFonts w:hint="default" w:ascii="Times New Roman" w:hAnsi="Times New Roman" w:cs="Times New Roman"/>
                      <w:bCs/>
                      <w:color w:val="000000" w:themeColor="text1"/>
                      <w:sz w:val="21"/>
                      <w:szCs w:val="21"/>
                      <w:highlight w:val="none"/>
                      <w:u w:val="none"/>
                      <w14:textFill>
                        <w14:solidFill>
                          <w14:schemeClr w14:val="tx1"/>
                        </w14:solidFill>
                      </w14:textFill>
                    </w:rPr>
                  </w:pPr>
                </w:p>
              </w:tc>
              <w:tc>
                <w:tcPr>
                  <w:tcW w:w="824" w:type="pct"/>
                  <w:gridSpan w:val="2"/>
                  <w:shd w:val="clear" w:color="auto" w:fill="auto"/>
                  <w:vAlign w:val="center"/>
                </w:tcPr>
                <w:p w14:paraId="1CBD07F4">
                  <w:pPr>
                    <w:keepNext w:val="0"/>
                    <w:keepLines w:val="0"/>
                    <w:pageBreakBefore w:val="0"/>
                    <w:widowControl w:val="0"/>
                    <w:suppressLineNumbers w:val="0"/>
                    <w:kinsoku/>
                    <w:wordWrap/>
                    <w:overflowPunct/>
                    <w:topLinePunct w:val="0"/>
                    <w:bidi w:val="0"/>
                    <w:spacing w:before="0" w:beforeAutospacing="0" w:after="0" w:afterAutospacing="0" w:line="240" w:lineRule="auto"/>
                    <w:ind w:left="0" w:leftChars="0" w:right="0" w:rightChars="0"/>
                    <w:jc w:val="center"/>
                    <w:rPr>
                      <w:rFonts w:hint="default" w:ascii="Times New Roman" w:hAnsi="Times New Roman"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u w:val="none" w:color="auto"/>
                      <w:lang w:val="en-US" w:eastAsia="zh-CN" w:bidi="ar"/>
                      <w14:textFill>
                        <w14:solidFill>
                          <w14:schemeClr w14:val="tx1"/>
                        </w14:solidFill>
                      </w14:textFill>
                    </w:rPr>
                    <w:t>机制炭生产线原料装卸</w:t>
                  </w:r>
                  <w:r>
                    <w:rPr>
                      <w:rFonts w:hint="default" w:ascii="Times New Roman" w:hAnsi="Times New Roman" w:cs="Times New Roman"/>
                      <w:color w:val="000000" w:themeColor="text1"/>
                      <w:kern w:val="0"/>
                      <w:sz w:val="21"/>
                      <w:szCs w:val="21"/>
                      <w:highlight w:val="none"/>
                      <w:u w:val="none" w:color="auto"/>
                      <w:lang w:val="en-US" w:eastAsia="zh-CN" w:bidi="ar"/>
                      <w14:textFill>
                        <w14:solidFill>
                          <w14:schemeClr w14:val="tx1"/>
                        </w14:solidFill>
                      </w14:textFill>
                    </w:rPr>
                    <w:t>转运</w:t>
                  </w:r>
                  <w:r>
                    <w:rPr>
                      <w:rFonts w:hint="default" w:ascii="Times New Roman" w:hAnsi="Times New Roman" w:eastAsia="宋体" w:cs="Times New Roman"/>
                      <w:color w:val="000000" w:themeColor="text1"/>
                      <w:kern w:val="0"/>
                      <w:sz w:val="21"/>
                      <w:szCs w:val="21"/>
                      <w:highlight w:val="none"/>
                      <w:u w:val="none" w:color="auto"/>
                      <w:lang w:val="en-US" w:eastAsia="zh-CN" w:bidi="ar"/>
                      <w14:textFill>
                        <w14:solidFill>
                          <w14:schemeClr w14:val="tx1"/>
                        </w14:solidFill>
                      </w14:textFill>
                    </w:rPr>
                    <w:t>粉尘</w:t>
                  </w:r>
                </w:p>
              </w:tc>
              <w:tc>
                <w:tcPr>
                  <w:tcW w:w="870" w:type="pct"/>
                  <w:shd w:val="clear" w:color="auto" w:fill="auto"/>
                  <w:vAlign w:val="center"/>
                </w:tcPr>
                <w:p w14:paraId="26D82B7B">
                  <w:pPr>
                    <w:keepNext w:val="0"/>
                    <w:keepLines w:val="0"/>
                    <w:suppressLineNumbers w:val="0"/>
                    <w:spacing w:before="0" w:beforeAutospacing="0" w:after="0" w:afterAutospacing="0" w:line="320" w:lineRule="atLeast"/>
                    <w:ind w:left="0" w:leftChars="0" w:right="0" w:rightChars="0"/>
                    <w:jc w:val="center"/>
                    <w:rPr>
                      <w:rFonts w:hint="default" w:ascii="Times New Roman" w:hAnsi="Times New Roman"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en-US" w:eastAsia="zh-CN"/>
                      <w14:textFill>
                        <w14:solidFill>
                          <w14:schemeClr w14:val="tx1"/>
                        </w14:solidFill>
                      </w14:textFill>
                    </w:rPr>
                    <w:t>颗粒物</w:t>
                  </w:r>
                </w:p>
              </w:tc>
              <w:tc>
                <w:tcPr>
                  <w:tcW w:w="2014" w:type="pct"/>
                  <w:vMerge w:val="continue"/>
                  <w:shd w:val="clear" w:color="auto" w:fill="auto"/>
                  <w:vAlign w:val="center"/>
                </w:tcPr>
                <w:p w14:paraId="2E2B4AB1">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000000" w:themeColor="text1"/>
                      <w:kern w:val="0"/>
                      <w:sz w:val="21"/>
                      <w:szCs w:val="21"/>
                      <w:highlight w:val="none"/>
                      <w:u w:val="none" w:color="auto"/>
                      <w:lang w:val="en-US" w:eastAsia="zh-CN" w:bidi="ar"/>
                      <w14:textFill>
                        <w14:solidFill>
                          <w14:schemeClr w14:val="tx1"/>
                        </w14:solidFill>
                      </w14:textFill>
                    </w:rPr>
                  </w:pPr>
                </w:p>
              </w:tc>
            </w:tr>
            <w:tr w14:paraId="38227F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0" w:type="pct"/>
                  <w:vMerge w:val="continue"/>
                  <w:vAlign w:val="center"/>
                </w:tcPr>
                <w:p w14:paraId="6FFA8963">
                  <w:pPr>
                    <w:keepNext w:val="0"/>
                    <w:keepLines w:val="0"/>
                    <w:suppressLineNumbers w:val="0"/>
                    <w:tabs>
                      <w:tab w:val="left" w:pos="5250"/>
                    </w:tabs>
                    <w:adjustRightInd w:val="0"/>
                    <w:snapToGrid w:val="0"/>
                    <w:spacing w:before="0" w:beforeAutospacing="0" w:after="0" w:afterAutospacing="0"/>
                    <w:ind w:left="0" w:right="0"/>
                    <w:jc w:val="center"/>
                    <w:rPr>
                      <w:rFonts w:hint="default" w:ascii="Times New Roman" w:hAnsi="Times New Roman" w:cs="Times New Roman"/>
                      <w:bCs/>
                      <w:color w:val="000000" w:themeColor="text1"/>
                      <w:sz w:val="21"/>
                      <w:szCs w:val="21"/>
                      <w:highlight w:val="none"/>
                      <w:u w:val="none"/>
                      <w14:textFill>
                        <w14:solidFill>
                          <w14:schemeClr w14:val="tx1"/>
                        </w14:solidFill>
                      </w14:textFill>
                    </w:rPr>
                  </w:pPr>
                </w:p>
              </w:tc>
              <w:tc>
                <w:tcPr>
                  <w:tcW w:w="920" w:type="pct"/>
                  <w:vAlign w:val="center"/>
                </w:tcPr>
                <w:p w14:paraId="5B40308B">
                  <w:pPr>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sz w:val="21"/>
                      <w:szCs w:val="21"/>
                      <w:highlight w:val="none"/>
                      <w:u w:val="none"/>
                      <w14:textFill>
                        <w14:solidFill>
                          <w14:schemeClr w14:val="tx1"/>
                        </w14:solidFill>
                      </w14:textFill>
                    </w:rPr>
                  </w:pPr>
                  <w:r>
                    <w:rPr>
                      <w:rFonts w:hint="default" w:ascii="Times New Roman" w:hAnsi="Times New Roman" w:cs="Times New Roman"/>
                      <w:bCs/>
                      <w:color w:val="000000" w:themeColor="text1"/>
                      <w:sz w:val="21"/>
                      <w:szCs w:val="21"/>
                      <w:highlight w:val="none"/>
                      <w:u w:val="none"/>
                      <w14:textFill>
                        <w14:solidFill>
                          <w14:schemeClr w14:val="tx1"/>
                        </w14:solidFill>
                      </w14:textFill>
                    </w:rPr>
                    <w:t>废水治理措施</w:t>
                  </w:r>
                </w:p>
              </w:tc>
              <w:tc>
                <w:tcPr>
                  <w:tcW w:w="824" w:type="pct"/>
                  <w:gridSpan w:val="2"/>
                  <w:vAlign w:val="center"/>
                </w:tcPr>
                <w:p w14:paraId="09CFFCB1">
                  <w:pPr>
                    <w:keepNext w:val="0"/>
                    <w:keepLines w:val="0"/>
                    <w:suppressLineNumbers w:val="0"/>
                    <w:spacing w:before="0" w:beforeAutospacing="0" w:after="0" w:afterAutospacing="0"/>
                    <w:ind w:left="0" w:right="0"/>
                    <w:jc w:val="center"/>
                    <w:rPr>
                      <w:rFonts w:hint="default" w:ascii="Times New Roman" w:hAnsi="Times New Roman" w:cs="Times New Roman"/>
                      <w:bCs/>
                      <w:color w:val="000000" w:themeColor="text1"/>
                      <w:sz w:val="21"/>
                      <w:szCs w:val="21"/>
                      <w:highlight w:val="none"/>
                      <w:u w:val="none" w:color="auto"/>
                      <w14:textFill>
                        <w14:solidFill>
                          <w14:schemeClr w14:val="tx1"/>
                        </w14:solidFill>
                      </w14:textFill>
                    </w:rPr>
                  </w:pPr>
                  <w:r>
                    <w:rPr>
                      <w:rFonts w:hint="default" w:ascii="Times New Roman" w:hAnsi="Times New Roman" w:cs="Times New Roman"/>
                      <w:color w:val="000000" w:themeColor="text1"/>
                      <w:sz w:val="21"/>
                      <w:szCs w:val="21"/>
                      <w:highlight w:val="none"/>
                      <w:u w:val="none" w:color="auto"/>
                      <w14:textFill>
                        <w14:solidFill>
                          <w14:schemeClr w14:val="tx1"/>
                        </w14:solidFill>
                      </w14:textFill>
                    </w:rPr>
                    <w:t>职工生活污水</w:t>
                  </w:r>
                </w:p>
              </w:tc>
              <w:tc>
                <w:tcPr>
                  <w:tcW w:w="870" w:type="pct"/>
                  <w:vAlign w:val="center"/>
                </w:tcPr>
                <w:p w14:paraId="283F2AD5">
                  <w:pPr>
                    <w:keepNext w:val="0"/>
                    <w:keepLines w:val="0"/>
                    <w:suppressLineNumbers w:val="0"/>
                    <w:spacing w:before="0" w:beforeAutospacing="0" w:after="0" w:afterAutospacing="0"/>
                    <w:ind w:left="0" w:right="0"/>
                    <w:jc w:val="center"/>
                    <w:rPr>
                      <w:rFonts w:hint="default" w:ascii="Times New Roman" w:hAnsi="Times New Roman" w:cs="Times New Roman"/>
                      <w:bCs/>
                      <w:color w:val="000000" w:themeColor="text1"/>
                      <w:sz w:val="21"/>
                      <w:szCs w:val="21"/>
                      <w:highlight w:val="none"/>
                      <w:u w:val="none" w:color="auto"/>
                      <w14:textFill>
                        <w14:solidFill>
                          <w14:schemeClr w14:val="tx1"/>
                        </w14:solidFill>
                      </w14:textFill>
                    </w:rPr>
                  </w:pPr>
                  <w:r>
                    <w:rPr>
                      <w:rFonts w:hint="default" w:ascii="Times New Roman" w:hAnsi="Times New Roman" w:cs="Times New Roman"/>
                      <w:color w:val="000000" w:themeColor="text1"/>
                      <w:sz w:val="21"/>
                      <w:szCs w:val="21"/>
                      <w:highlight w:val="none"/>
                      <w:u w:val="none" w:color="auto"/>
                      <w14:textFill>
                        <w14:solidFill>
                          <w14:schemeClr w14:val="tx1"/>
                        </w14:solidFill>
                      </w14:textFill>
                    </w:rPr>
                    <w:t>COD、BOD</w:t>
                  </w:r>
                  <w:r>
                    <w:rPr>
                      <w:rFonts w:hint="default" w:ascii="Times New Roman" w:hAnsi="Times New Roman" w:cs="Times New Roman"/>
                      <w:color w:val="000000" w:themeColor="text1"/>
                      <w:sz w:val="21"/>
                      <w:szCs w:val="21"/>
                      <w:highlight w:val="none"/>
                      <w:u w:val="none" w:color="auto"/>
                      <w:vertAlign w:val="subscript"/>
                      <w14:textFill>
                        <w14:solidFill>
                          <w14:schemeClr w14:val="tx1"/>
                        </w14:solidFill>
                      </w14:textFill>
                    </w:rPr>
                    <w:t>5</w:t>
                  </w:r>
                  <w:r>
                    <w:rPr>
                      <w:rFonts w:hint="default" w:ascii="Times New Roman" w:hAnsi="Times New Roman" w:cs="Times New Roman"/>
                      <w:color w:val="000000" w:themeColor="text1"/>
                      <w:sz w:val="21"/>
                      <w:szCs w:val="21"/>
                      <w:highlight w:val="none"/>
                      <w:u w:val="none" w:color="auto"/>
                      <w14:textFill>
                        <w14:solidFill>
                          <w14:schemeClr w14:val="tx1"/>
                        </w14:solidFill>
                      </w14:textFill>
                    </w:rPr>
                    <w:t>、NH</w:t>
                  </w:r>
                  <w:r>
                    <w:rPr>
                      <w:rFonts w:hint="default" w:ascii="Times New Roman" w:hAnsi="Times New Roman" w:cs="Times New Roman"/>
                      <w:color w:val="000000" w:themeColor="text1"/>
                      <w:sz w:val="21"/>
                      <w:szCs w:val="21"/>
                      <w:highlight w:val="none"/>
                      <w:u w:val="none" w:color="auto"/>
                      <w:vertAlign w:val="subscript"/>
                      <w14:textFill>
                        <w14:solidFill>
                          <w14:schemeClr w14:val="tx1"/>
                        </w14:solidFill>
                      </w14:textFill>
                    </w:rPr>
                    <w:t>3</w:t>
                  </w:r>
                  <w:r>
                    <w:rPr>
                      <w:rFonts w:hint="default" w:ascii="Times New Roman" w:hAnsi="Times New Roman" w:cs="Times New Roman"/>
                      <w:color w:val="000000" w:themeColor="text1"/>
                      <w:sz w:val="21"/>
                      <w:szCs w:val="21"/>
                      <w:highlight w:val="none"/>
                      <w:u w:val="none" w:color="auto"/>
                      <w14:textFill>
                        <w14:solidFill>
                          <w14:schemeClr w14:val="tx1"/>
                        </w14:solidFill>
                      </w14:textFill>
                    </w:rPr>
                    <w:t>-N、SS</w:t>
                  </w:r>
                </w:p>
              </w:tc>
              <w:tc>
                <w:tcPr>
                  <w:tcW w:w="2014" w:type="pct"/>
                  <w:vAlign w:val="center"/>
                </w:tcPr>
                <w:p w14:paraId="32A7534A">
                  <w:pPr>
                    <w:keepNext w:val="0"/>
                    <w:keepLines w:val="0"/>
                    <w:suppressLineNumbers w:val="0"/>
                    <w:spacing w:before="0" w:beforeAutospacing="0" w:after="0" w:afterAutospacing="0"/>
                    <w:ind w:left="0" w:right="0"/>
                    <w:jc w:val="center"/>
                    <w:rPr>
                      <w:rFonts w:hint="default" w:ascii="Times New Roman" w:hAnsi="Times New Roman" w:cs="Times New Roman"/>
                      <w:bCs/>
                      <w:color w:val="000000" w:themeColor="text1"/>
                      <w:sz w:val="21"/>
                      <w:szCs w:val="21"/>
                      <w:highlight w:val="none"/>
                      <w:u w:val="none" w:color="auto"/>
                      <w14:textFill>
                        <w14:solidFill>
                          <w14:schemeClr w14:val="tx1"/>
                        </w14:solidFill>
                      </w14:textFill>
                    </w:rPr>
                  </w:pPr>
                  <w:r>
                    <w:rPr>
                      <w:rFonts w:hint="default" w:ascii="Times New Roman" w:hAnsi="Times New Roman" w:cs="Times New Roman"/>
                      <w:bCs/>
                      <w:color w:val="000000" w:themeColor="text1"/>
                      <w:sz w:val="21"/>
                      <w:szCs w:val="21"/>
                      <w:highlight w:val="none"/>
                      <w:u w:val="none" w:color="auto"/>
                      <w14:textFill>
                        <w14:solidFill>
                          <w14:schemeClr w14:val="tx1"/>
                        </w14:solidFill>
                      </w14:textFill>
                    </w:rPr>
                    <w:t>经化粪池（1座，容积</w:t>
                  </w:r>
                  <w:r>
                    <w:rPr>
                      <w:rFonts w:hint="eastAsia" w:cs="Times New Roman"/>
                      <w:bCs/>
                      <w:color w:val="000000" w:themeColor="text1"/>
                      <w:sz w:val="21"/>
                      <w:szCs w:val="21"/>
                      <w:highlight w:val="none"/>
                      <w:u w:val="none" w:color="auto"/>
                      <w:lang w:val="en-US" w:eastAsia="zh-CN"/>
                      <w14:textFill>
                        <w14:solidFill>
                          <w14:schemeClr w14:val="tx1"/>
                        </w14:solidFill>
                      </w14:textFill>
                    </w:rPr>
                    <w:t>10</w:t>
                  </w:r>
                  <w:r>
                    <w:rPr>
                      <w:rFonts w:hint="default" w:ascii="Times New Roman" w:hAnsi="Times New Roman" w:cs="Times New Roman"/>
                      <w:bCs/>
                      <w:color w:val="000000" w:themeColor="text1"/>
                      <w:sz w:val="21"/>
                      <w:szCs w:val="21"/>
                      <w:highlight w:val="none"/>
                      <w:u w:val="none" w:color="auto"/>
                      <w14:textFill>
                        <w14:solidFill>
                          <w14:schemeClr w14:val="tx1"/>
                        </w14:solidFill>
                      </w14:textFill>
                    </w:rPr>
                    <w:t>m</w:t>
                  </w:r>
                  <w:r>
                    <w:rPr>
                      <w:rFonts w:hint="default" w:ascii="Times New Roman" w:hAnsi="Times New Roman" w:cs="Times New Roman"/>
                      <w:bCs/>
                      <w:color w:val="000000" w:themeColor="text1"/>
                      <w:sz w:val="21"/>
                      <w:szCs w:val="21"/>
                      <w:highlight w:val="none"/>
                      <w:u w:val="none" w:color="auto"/>
                      <w:vertAlign w:val="superscript"/>
                      <w14:textFill>
                        <w14:solidFill>
                          <w14:schemeClr w14:val="tx1"/>
                        </w14:solidFill>
                      </w14:textFill>
                    </w:rPr>
                    <w:t>3</w:t>
                  </w:r>
                  <w:r>
                    <w:rPr>
                      <w:rFonts w:hint="default" w:ascii="Times New Roman" w:hAnsi="Times New Roman" w:cs="Times New Roman"/>
                      <w:bCs/>
                      <w:color w:val="000000" w:themeColor="text1"/>
                      <w:sz w:val="21"/>
                      <w:szCs w:val="21"/>
                      <w:highlight w:val="none"/>
                      <w:u w:val="none" w:color="auto"/>
                      <w14:textFill>
                        <w14:solidFill>
                          <w14:schemeClr w14:val="tx1"/>
                        </w14:solidFill>
                      </w14:textFill>
                    </w:rPr>
                    <w:t>）处理后</w:t>
                  </w:r>
                  <w:r>
                    <w:rPr>
                      <w:rFonts w:hint="default" w:ascii="Times New Roman" w:hAnsi="Times New Roman" w:cs="Times New Roman"/>
                      <w:color w:val="000000" w:themeColor="text1"/>
                      <w:sz w:val="21"/>
                      <w:szCs w:val="21"/>
                      <w:highlight w:val="none"/>
                      <w:u w:val="none" w:color="auto"/>
                      <w:lang w:val="en-US" w:eastAsia="zh-CN"/>
                      <w14:textFill>
                        <w14:solidFill>
                          <w14:schemeClr w14:val="tx1"/>
                        </w14:solidFill>
                      </w14:textFill>
                    </w:rPr>
                    <w:t>作为农肥施用于周边农田</w:t>
                  </w: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w:t>
                  </w:r>
                </w:p>
              </w:tc>
            </w:tr>
            <w:tr w14:paraId="46335B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0" w:type="pct"/>
                  <w:vMerge w:val="continue"/>
                  <w:vAlign w:val="center"/>
                </w:tcPr>
                <w:p w14:paraId="6A364987">
                  <w:pPr>
                    <w:keepNext w:val="0"/>
                    <w:keepLines w:val="0"/>
                    <w:suppressLineNumbers w:val="0"/>
                    <w:tabs>
                      <w:tab w:val="left" w:pos="5250"/>
                    </w:tabs>
                    <w:adjustRightInd w:val="0"/>
                    <w:snapToGrid w:val="0"/>
                    <w:spacing w:before="0" w:beforeAutospacing="0" w:after="0" w:afterAutospacing="0"/>
                    <w:ind w:left="0" w:right="0"/>
                    <w:jc w:val="center"/>
                    <w:rPr>
                      <w:rFonts w:hint="default" w:ascii="Times New Roman" w:hAnsi="Times New Roman" w:cs="Times New Roman"/>
                      <w:bCs/>
                      <w:color w:val="000000" w:themeColor="text1"/>
                      <w:sz w:val="21"/>
                      <w:szCs w:val="21"/>
                      <w:highlight w:val="none"/>
                      <w:u w:val="none"/>
                      <w14:textFill>
                        <w14:solidFill>
                          <w14:schemeClr w14:val="tx1"/>
                        </w14:solidFill>
                      </w14:textFill>
                    </w:rPr>
                  </w:pPr>
                </w:p>
              </w:tc>
              <w:tc>
                <w:tcPr>
                  <w:tcW w:w="920" w:type="pct"/>
                  <w:vAlign w:val="center"/>
                </w:tcPr>
                <w:p w14:paraId="1CD1996C">
                  <w:pPr>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sz w:val="21"/>
                      <w:szCs w:val="21"/>
                      <w:highlight w:val="none"/>
                      <w:u w:val="none"/>
                      <w14:textFill>
                        <w14:solidFill>
                          <w14:schemeClr w14:val="tx1"/>
                        </w14:solidFill>
                      </w14:textFill>
                    </w:rPr>
                  </w:pPr>
                  <w:r>
                    <w:rPr>
                      <w:rFonts w:hint="default" w:ascii="Times New Roman" w:hAnsi="Times New Roman" w:cs="Times New Roman"/>
                      <w:color w:val="000000" w:themeColor="text1"/>
                      <w:sz w:val="21"/>
                      <w:szCs w:val="21"/>
                      <w:highlight w:val="none"/>
                      <w:u w:val="none"/>
                      <w14:textFill>
                        <w14:solidFill>
                          <w14:schemeClr w14:val="tx1"/>
                        </w14:solidFill>
                      </w14:textFill>
                    </w:rPr>
                    <w:t>噪声治理措施</w:t>
                  </w:r>
                </w:p>
              </w:tc>
              <w:tc>
                <w:tcPr>
                  <w:tcW w:w="824" w:type="pct"/>
                  <w:gridSpan w:val="2"/>
                  <w:vAlign w:val="center"/>
                </w:tcPr>
                <w:p w14:paraId="1F594C35">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cs="Times New Roman"/>
                      <w:bCs/>
                      <w:color w:val="000000" w:themeColor="text1"/>
                      <w:sz w:val="21"/>
                      <w:szCs w:val="21"/>
                      <w:highlight w:val="none"/>
                      <w:u w:val="none" w:color="auto"/>
                      <w14:textFill>
                        <w14:solidFill>
                          <w14:schemeClr w14:val="tx1"/>
                        </w14:solidFill>
                      </w14:textFill>
                    </w:rPr>
                    <w:t>设备</w:t>
                  </w:r>
                  <w:r>
                    <w:rPr>
                      <w:rFonts w:hint="default" w:ascii="Times New Roman" w:hAnsi="Times New Roman" w:cs="Times New Roman"/>
                      <w:bCs/>
                      <w:color w:val="000000" w:themeColor="text1"/>
                      <w:sz w:val="21"/>
                      <w:szCs w:val="21"/>
                      <w:highlight w:val="none"/>
                      <w:u w:val="none" w:color="auto"/>
                      <w:lang w:val="en-US" w:eastAsia="zh-CN"/>
                      <w14:textFill>
                        <w14:solidFill>
                          <w14:schemeClr w14:val="tx1"/>
                        </w14:solidFill>
                      </w14:textFill>
                    </w:rPr>
                    <w:t>噪声</w:t>
                  </w:r>
                </w:p>
              </w:tc>
              <w:tc>
                <w:tcPr>
                  <w:tcW w:w="870" w:type="pct"/>
                  <w:vAlign w:val="center"/>
                </w:tcPr>
                <w:p w14:paraId="384BBA08">
                  <w:pPr>
                    <w:keepNext w:val="0"/>
                    <w:keepLines w:val="0"/>
                    <w:suppressLineNumbers w:val="0"/>
                    <w:spacing w:before="0" w:beforeAutospacing="0" w:after="0" w:afterAutospacing="0"/>
                    <w:ind w:left="0" w:right="0"/>
                    <w:jc w:val="center"/>
                    <w:rPr>
                      <w:rFonts w:hint="default" w:ascii="Times New Roman" w:hAnsi="Times New Roman" w:cs="Times New Roman"/>
                      <w:bCs/>
                      <w:color w:val="000000" w:themeColor="text1"/>
                      <w:sz w:val="21"/>
                      <w:szCs w:val="21"/>
                      <w:highlight w:val="none"/>
                      <w:u w:val="none" w:color="auto"/>
                      <w14:textFill>
                        <w14:solidFill>
                          <w14:schemeClr w14:val="tx1"/>
                        </w14:solidFill>
                      </w14:textFill>
                    </w:rPr>
                  </w:pPr>
                  <w:r>
                    <w:rPr>
                      <w:rFonts w:hint="default" w:ascii="Times New Roman" w:hAnsi="Times New Roman" w:cs="Times New Roman"/>
                      <w:color w:val="000000" w:themeColor="text1"/>
                      <w:sz w:val="21"/>
                      <w:szCs w:val="21"/>
                      <w:highlight w:val="none"/>
                      <w:u w:val="none" w:color="auto"/>
                      <w14:textFill>
                        <w14:solidFill>
                          <w14:schemeClr w14:val="tx1"/>
                        </w14:solidFill>
                      </w14:textFill>
                    </w:rPr>
                    <w:t>机械噪声</w:t>
                  </w:r>
                </w:p>
              </w:tc>
              <w:tc>
                <w:tcPr>
                  <w:tcW w:w="2014" w:type="pct"/>
                  <w:vAlign w:val="center"/>
                </w:tcPr>
                <w:p w14:paraId="143877CA">
                  <w:pPr>
                    <w:keepNext w:val="0"/>
                    <w:keepLines w:val="0"/>
                    <w:suppressLineNumbers w:val="0"/>
                    <w:spacing w:before="0" w:beforeAutospacing="0" w:after="0" w:afterAutospacing="0"/>
                    <w:ind w:left="0" w:right="0"/>
                    <w:jc w:val="center"/>
                    <w:rPr>
                      <w:rFonts w:hint="default" w:ascii="Times New Roman" w:hAnsi="Times New Roman" w:cs="Times New Roman"/>
                      <w:bCs/>
                      <w:color w:val="000000" w:themeColor="text1"/>
                      <w:sz w:val="21"/>
                      <w:szCs w:val="21"/>
                      <w:highlight w:val="none"/>
                      <w:u w:val="none" w:color="auto"/>
                      <w14:textFill>
                        <w14:solidFill>
                          <w14:schemeClr w14:val="tx1"/>
                        </w14:solidFill>
                      </w14:textFill>
                    </w:rPr>
                  </w:pPr>
                  <w:r>
                    <w:rPr>
                      <w:rFonts w:hint="default" w:ascii="Times New Roman" w:hAnsi="Times New Roman" w:cs="Times New Roman"/>
                      <w:color w:val="000000" w:themeColor="text1"/>
                      <w:sz w:val="21"/>
                      <w:szCs w:val="21"/>
                      <w:highlight w:val="none"/>
                      <w:u w:val="none" w:color="auto"/>
                      <w14:textFill>
                        <w14:solidFill>
                          <w14:schemeClr w14:val="tx1"/>
                        </w14:solidFill>
                      </w14:textFill>
                    </w:rPr>
                    <w:t>合理布局；高噪设备采取基础减振、厂房隔声等降噪措施；设备定期维护</w:t>
                  </w:r>
                </w:p>
              </w:tc>
            </w:tr>
            <w:tr w14:paraId="68CCC4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0" w:type="pct"/>
                  <w:vMerge w:val="continue"/>
                  <w:vAlign w:val="center"/>
                </w:tcPr>
                <w:p w14:paraId="569867F5">
                  <w:pPr>
                    <w:keepNext w:val="0"/>
                    <w:keepLines w:val="0"/>
                    <w:suppressLineNumbers w:val="0"/>
                    <w:tabs>
                      <w:tab w:val="left" w:pos="5250"/>
                    </w:tabs>
                    <w:adjustRightInd w:val="0"/>
                    <w:snapToGrid w:val="0"/>
                    <w:spacing w:before="0" w:beforeAutospacing="0" w:after="0" w:afterAutospacing="0"/>
                    <w:ind w:left="0" w:right="0"/>
                    <w:jc w:val="center"/>
                    <w:rPr>
                      <w:rFonts w:hint="default" w:ascii="Times New Roman" w:hAnsi="Times New Roman" w:cs="Times New Roman"/>
                      <w:bCs/>
                      <w:color w:val="000000" w:themeColor="text1"/>
                      <w:sz w:val="21"/>
                      <w:szCs w:val="21"/>
                      <w:highlight w:val="none"/>
                      <w:u w:val="none"/>
                      <w14:textFill>
                        <w14:solidFill>
                          <w14:schemeClr w14:val="tx1"/>
                        </w14:solidFill>
                      </w14:textFill>
                    </w:rPr>
                  </w:pPr>
                </w:p>
              </w:tc>
              <w:tc>
                <w:tcPr>
                  <w:tcW w:w="920" w:type="pct"/>
                  <w:vMerge w:val="restart"/>
                  <w:vAlign w:val="center"/>
                </w:tcPr>
                <w:p w14:paraId="79514935">
                  <w:pPr>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sz w:val="21"/>
                      <w:szCs w:val="21"/>
                      <w:highlight w:val="none"/>
                      <w:u w:val="none"/>
                      <w14:textFill>
                        <w14:solidFill>
                          <w14:schemeClr w14:val="tx1"/>
                        </w14:solidFill>
                      </w14:textFill>
                    </w:rPr>
                  </w:pPr>
                  <w:r>
                    <w:rPr>
                      <w:rFonts w:hint="default" w:ascii="Times New Roman" w:hAnsi="Times New Roman" w:cs="Times New Roman"/>
                      <w:color w:val="000000" w:themeColor="text1"/>
                      <w:sz w:val="21"/>
                      <w:szCs w:val="21"/>
                      <w:highlight w:val="none"/>
                      <w:u w:val="none"/>
                      <w14:textFill>
                        <w14:solidFill>
                          <w14:schemeClr w14:val="tx1"/>
                        </w14:solidFill>
                      </w14:textFill>
                    </w:rPr>
                    <w:t>固废治理措施</w:t>
                  </w:r>
                </w:p>
              </w:tc>
              <w:tc>
                <w:tcPr>
                  <w:tcW w:w="1529" w:type="dxa"/>
                  <w:gridSpan w:val="2"/>
                  <w:vAlign w:val="center"/>
                </w:tcPr>
                <w:p w14:paraId="1FC4FC8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bCs/>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bCs/>
                      <w:color w:val="000000" w:themeColor="text1"/>
                      <w:kern w:val="0"/>
                      <w:sz w:val="21"/>
                      <w:szCs w:val="21"/>
                      <w:highlight w:val="none"/>
                      <w:u w:val="none" w:color="auto"/>
                      <w:lang w:val="en-US" w:eastAsia="zh-CN"/>
                      <w14:textFill>
                        <w14:solidFill>
                          <w14:schemeClr w14:val="tx1"/>
                        </w14:solidFill>
                      </w14:textFill>
                    </w:rPr>
                    <w:t>职工生活</w:t>
                  </w:r>
                </w:p>
              </w:tc>
              <w:tc>
                <w:tcPr>
                  <w:tcW w:w="1614" w:type="dxa"/>
                  <w:vAlign w:val="center"/>
                </w:tcPr>
                <w:p w14:paraId="6A0FCD2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职工生活垃圾</w:t>
                  </w:r>
                </w:p>
              </w:tc>
              <w:tc>
                <w:tcPr>
                  <w:tcW w:w="3736" w:type="dxa"/>
                  <w:vAlign w:val="center"/>
                </w:tcPr>
                <w:p w14:paraId="4F0F7BC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bCs/>
                      <w:color w:val="000000" w:themeColor="text1"/>
                      <w:kern w:val="0"/>
                      <w:sz w:val="21"/>
                      <w:szCs w:val="21"/>
                      <w:highlight w:val="none"/>
                      <w:u w:val="none" w:color="auto"/>
                      <w14:textFill>
                        <w14:solidFill>
                          <w14:schemeClr w14:val="tx1"/>
                        </w14:solidFill>
                      </w14:textFill>
                    </w:rPr>
                    <w:t>分类收集后交由环卫部门运至附近垃圾中转站处理</w:t>
                  </w:r>
                </w:p>
              </w:tc>
            </w:tr>
            <w:tr w14:paraId="34F698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0" w:type="pct"/>
                  <w:vMerge w:val="continue"/>
                  <w:vAlign w:val="center"/>
                </w:tcPr>
                <w:p w14:paraId="337D1F61">
                  <w:pPr>
                    <w:keepNext w:val="0"/>
                    <w:keepLines w:val="0"/>
                    <w:suppressLineNumbers w:val="0"/>
                    <w:tabs>
                      <w:tab w:val="left" w:pos="5250"/>
                    </w:tabs>
                    <w:adjustRightInd w:val="0"/>
                    <w:snapToGrid w:val="0"/>
                    <w:spacing w:before="0" w:beforeAutospacing="0" w:after="0" w:afterAutospacing="0"/>
                    <w:ind w:left="0" w:right="0"/>
                    <w:jc w:val="center"/>
                    <w:rPr>
                      <w:rFonts w:hint="default" w:ascii="Times New Roman" w:hAnsi="Times New Roman" w:cs="Times New Roman"/>
                      <w:bCs/>
                      <w:color w:val="000000" w:themeColor="text1"/>
                      <w:sz w:val="21"/>
                      <w:szCs w:val="21"/>
                      <w:highlight w:val="none"/>
                      <w:u w:val="none"/>
                      <w14:textFill>
                        <w14:solidFill>
                          <w14:schemeClr w14:val="tx1"/>
                        </w14:solidFill>
                      </w14:textFill>
                    </w:rPr>
                  </w:pPr>
                </w:p>
              </w:tc>
              <w:tc>
                <w:tcPr>
                  <w:tcW w:w="920" w:type="pct"/>
                  <w:vMerge w:val="continue"/>
                  <w:vAlign w:val="center"/>
                </w:tcPr>
                <w:p w14:paraId="5C26FD1B">
                  <w:pPr>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sz w:val="21"/>
                      <w:szCs w:val="21"/>
                      <w:highlight w:val="none"/>
                      <w:u w:val="none"/>
                      <w14:textFill>
                        <w14:solidFill>
                          <w14:schemeClr w14:val="tx1"/>
                        </w14:solidFill>
                      </w14:textFill>
                    </w:rPr>
                  </w:pPr>
                </w:p>
              </w:tc>
              <w:tc>
                <w:tcPr>
                  <w:tcW w:w="1529" w:type="dxa"/>
                  <w:gridSpan w:val="2"/>
                  <w:vAlign w:val="center"/>
                </w:tcPr>
                <w:p w14:paraId="3A17B59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bCs/>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bCs/>
                      <w:color w:val="000000" w:themeColor="text1"/>
                      <w:kern w:val="0"/>
                      <w:sz w:val="21"/>
                      <w:szCs w:val="21"/>
                      <w:highlight w:val="none"/>
                      <w:u w:val="none" w:color="auto"/>
                      <w:lang w:val="en-US" w:eastAsia="zh-CN"/>
                      <w14:textFill>
                        <w14:solidFill>
                          <w14:schemeClr w14:val="tx1"/>
                        </w14:solidFill>
                      </w14:textFill>
                    </w:rPr>
                    <w:t>化粪池</w:t>
                  </w:r>
                </w:p>
              </w:tc>
              <w:tc>
                <w:tcPr>
                  <w:tcW w:w="1614" w:type="dxa"/>
                  <w:vAlign w:val="center"/>
                </w:tcPr>
                <w:p w14:paraId="088B484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bCs/>
                      <w:color w:val="000000" w:themeColor="text1"/>
                      <w:kern w:val="0"/>
                      <w:sz w:val="21"/>
                      <w:szCs w:val="21"/>
                      <w:highlight w:val="none"/>
                      <w:u w:val="none" w:color="auto"/>
                      <w:lang w:val="en-US" w:eastAsia="zh-CN"/>
                      <w14:textFill>
                        <w14:solidFill>
                          <w14:schemeClr w14:val="tx1"/>
                        </w14:solidFill>
                      </w14:textFill>
                    </w:rPr>
                    <w:t>污泥</w:t>
                  </w:r>
                </w:p>
              </w:tc>
              <w:tc>
                <w:tcPr>
                  <w:tcW w:w="3736" w:type="dxa"/>
                  <w:vAlign w:val="center"/>
                </w:tcPr>
                <w:p w14:paraId="71BD5ED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bCs/>
                      <w:color w:val="000000" w:themeColor="text1"/>
                      <w:kern w:val="0"/>
                      <w:sz w:val="21"/>
                      <w:szCs w:val="21"/>
                      <w:highlight w:val="none"/>
                      <w:u w:val="none" w:color="auto"/>
                      <w:lang w:val="en-US" w:eastAsia="zh-CN"/>
                      <w14:textFill>
                        <w14:solidFill>
                          <w14:schemeClr w14:val="tx1"/>
                        </w14:solidFill>
                      </w14:textFill>
                    </w:rPr>
                    <w:t>定期清掏交由环卫部门处理</w:t>
                  </w:r>
                </w:p>
              </w:tc>
            </w:tr>
            <w:tr w14:paraId="3C34EB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0" w:type="pct"/>
                  <w:vMerge w:val="continue"/>
                  <w:vAlign w:val="center"/>
                </w:tcPr>
                <w:p w14:paraId="12530CF6">
                  <w:pPr>
                    <w:keepNext w:val="0"/>
                    <w:keepLines w:val="0"/>
                    <w:suppressLineNumbers w:val="0"/>
                    <w:tabs>
                      <w:tab w:val="left" w:pos="5250"/>
                    </w:tabs>
                    <w:adjustRightInd w:val="0"/>
                    <w:snapToGrid w:val="0"/>
                    <w:spacing w:before="0" w:beforeAutospacing="0" w:after="0" w:afterAutospacing="0"/>
                    <w:ind w:left="0" w:right="0"/>
                    <w:jc w:val="center"/>
                    <w:rPr>
                      <w:rFonts w:hint="default" w:ascii="Times New Roman" w:hAnsi="Times New Roman" w:cs="Times New Roman"/>
                      <w:bCs/>
                      <w:color w:val="000000" w:themeColor="text1"/>
                      <w:sz w:val="21"/>
                      <w:szCs w:val="21"/>
                      <w:highlight w:val="none"/>
                      <w:u w:val="none"/>
                      <w14:textFill>
                        <w14:solidFill>
                          <w14:schemeClr w14:val="tx1"/>
                        </w14:solidFill>
                      </w14:textFill>
                    </w:rPr>
                  </w:pPr>
                </w:p>
              </w:tc>
              <w:tc>
                <w:tcPr>
                  <w:tcW w:w="920" w:type="pct"/>
                  <w:vMerge w:val="continue"/>
                  <w:vAlign w:val="center"/>
                </w:tcPr>
                <w:p w14:paraId="318C52A4">
                  <w:pPr>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sz w:val="21"/>
                      <w:szCs w:val="21"/>
                      <w:highlight w:val="none"/>
                      <w:u w:val="none"/>
                      <w14:textFill>
                        <w14:solidFill>
                          <w14:schemeClr w14:val="tx1"/>
                        </w14:solidFill>
                      </w14:textFill>
                    </w:rPr>
                  </w:pPr>
                </w:p>
              </w:tc>
              <w:tc>
                <w:tcPr>
                  <w:tcW w:w="1529" w:type="dxa"/>
                  <w:gridSpan w:val="2"/>
                  <w:shd w:val="clear" w:color="auto" w:fill="auto"/>
                  <w:vAlign w:val="center"/>
                </w:tcPr>
                <w:p w14:paraId="6F5EF28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default" w:ascii="Times New Roman" w:hAnsi="Times New Roman" w:eastAsia="宋体" w:cs="Times New Roman"/>
                      <w:bCs/>
                      <w:color w:val="000000" w:themeColor="text1"/>
                      <w:kern w:val="0"/>
                      <w:sz w:val="21"/>
                      <w:szCs w:val="21"/>
                      <w:highlight w:val="none"/>
                      <w:u w:val="none" w:color="auto"/>
                      <w:lang w:val="en-US" w:eastAsia="zh-CN"/>
                      <w14:textFill>
                        <w14:solidFill>
                          <w14:schemeClr w14:val="tx1"/>
                        </w14:solidFill>
                      </w14:textFill>
                    </w:rPr>
                    <w:t>袋式除尘器</w:t>
                  </w:r>
                </w:p>
              </w:tc>
              <w:tc>
                <w:tcPr>
                  <w:tcW w:w="1614" w:type="dxa"/>
                  <w:shd w:val="clear" w:color="auto" w:fill="auto"/>
                  <w:vAlign w:val="center"/>
                </w:tcPr>
                <w:p w14:paraId="69764BC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eastAsia" w:cs="Times New Roman"/>
                      <w:color w:val="000000" w:themeColor="text1"/>
                      <w:sz w:val="21"/>
                      <w:szCs w:val="21"/>
                      <w:highlight w:val="none"/>
                      <w:u w:val="none" w:color="auto"/>
                      <w:lang w:val="en-US" w:eastAsia="zh-CN"/>
                      <w14:textFill>
                        <w14:solidFill>
                          <w14:schemeClr w14:val="tx1"/>
                        </w14:solidFill>
                      </w14:textFill>
                    </w:rPr>
                    <w:t>颗粒物</w:t>
                  </w:r>
                </w:p>
              </w:tc>
              <w:tc>
                <w:tcPr>
                  <w:tcW w:w="3736" w:type="dxa"/>
                  <w:shd w:val="clear" w:color="auto" w:fill="auto"/>
                  <w:vAlign w:val="center"/>
                </w:tcPr>
                <w:p w14:paraId="54BC2E1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定期收集后</w:t>
                  </w: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外售</w:t>
                  </w:r>
                  <w:r>
                    <w:rPr>
                      <w:rFonts w:hint="eastAsia" w:cs="Times New Roman"/>
                      <w:color w:val="000000" w:themeColor="text1"/>
                      <w:sz w:val="21"/>
                      <w:szCs w:val="21"/>
                      <w:highlight w:val="none"/>
                      <w:u w:val="none" w:color="auto"/>
                      <w:lang w:val="en-US" w:eastAsia="zh-CN"/>
                      <w14:textFill>
                        <w14:solidFill>
                          <w14:schemeClr w14:val="tx1"/>
                        </w14:solidFill>
                      </w14:textFill>
                    </w:rPr>
                    <w:t>做农肥</w:t>
                  </w:r>
                </w:p>
              </w:tc>
            </w:tr>
            <w:tr w14:paraId="3D1349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0" w:type="pct"/>
                  <w:vMerge w:val="continue"/>
                  <w:vAlign w:val="center"/>
                </w:tcPr>
                <w:p w14:paraId="2B2E1716">
                  <w:pPr>
                    <w:keepNext w:val="0"/>
                    <w:keepLines w:val="0"/>
                    <w:suppressLineNumbers w:val="0"/>
                    <w:spacing w:before="0" w:beforeAutospacing="0" w:after="0" w:afterAutospacing="0"/>
                    <w:ind w:left="0" w:right="0"/>
                    <w:jc w:val="center"/>
                    <w:rPr>
                      <w:rFonts w:hint="default" w:ascii="Times New Roman" w:hAnsi="Times New Roman" w:cs="Times New Roman"/>
                      <w:bCs/>
                      <w:color w:val="000000" w:themeColor="text1"/>
                      <w:kern w:val="0"/>
                      <w:sz w:val="21"/>
                      <w:szCs w:val="21"/>
                      <w:highlight w:val="none"/>
                      <w:u w:val="none"/>
                      <w14:textFill>
                        <w14:solidFill>
                          <w14:schemeClr w14:val="tx1"/>
                        </w14:solidFill>
                      </w14:textFill>
                    </w:rPr>
                  </w:pPr>
                </w:p>
              </w:tc>
              <w:tc>
                <w:tcPr>
                  <w:tcW w:w="920" w:type="pct"/>
                  <w:vMerge w:val="continue"/>
                  <w:vAlign w:val="center"/>
                </w:tcPr>
                <w:p w14:paraId="25FF970E">
                  <w:pPr>
                    <w:keepNext w:val="0"/>
                    <w:keepLines w:val="0"/>
                    <w:suppressLineNumbers w:val="0"/>
                    <w:spacing w:before="0" w:beforeAutospacing="0" w:after="0" w:afterAutospacing="0"/>
                    <w:ind w:left="0" w:right="0"/>
                    <w:jc w:val="center"/>
                    <w:rPr>
                      <w:rFonts w:hint="default" w:ascii="Times New Roman" w:hAnsi="Times New Roman" w:cs="Times New Roman"/>
                      <w:bCs/>
                      <w:color w:val="000000" w:themeColor="text1"/>
                      <w:kern w:val="0"/>
                      <w:sz w:val="21"/>
                      <w:szCs w:val="21"/>
                      <w:highlight w:val="none"/>
                      <w:u w:val="none"/>
                      <w14:textFill>
                        <w14:solidFill>
                          <w14:schemeClr w14:val="tx1"/>
                        </w14:solidFill>
                      </w14:textFill>
                    </w:rPr>
                  </w:pPr>
                </w:p>
              </w:tc>
              <w:tc>
                <w:tcPr>
                  <w:tcW w:w="1529" w:type="dxa"/>
                  <w:gridSpan w:val="2"/>
                  <w:shd w:val="clear" w:color="auto" w:fill="auto"/>
                  <w:vAlign w:val="center"/>
                </w:tcPr>
                <w:p w14:paraId="6418DF2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default" w:ascii="Times New Roman" w:hAnsi="Times New Roman" w:cs="Times New Roman"/>
                      <w:bCs/>
                      <w:color w:val="000000" w:themeColor="text1"/>
                      <w:kern w:val="0"/>
                      <w:sz w:val="21"/>
                      <w:szCs w:val="21"/>
                      <w:highlight w:val="none"/>
                      <w:u w:val="none" w:color="auto"/>
                      <w:lang w:val="en-US" w:eastAsia="zh-CN"/>
                      <w14:textFill>
                        <w14:solidFill>
                          <w14:schemeClr w14:val="tx1"/>
                        </w14:solidFill>
                      </w14:textFill>
                    </w:rPr>
                    <w:t>生物质燃料</w:t>
                  </w:r>
                  <w:r>
                    <w:rPr>
                      <w:rFonts w:hint="default" w:ascii="Times New Roman" w:hAnsi="Times New Roman" w:eastAsia="宋体" w:cs="Times New Roman"/>
                      <w:b w:val="0"/>
                      <w:bCs w:val="0"/>
                      <w:color w:val="000000" w:themeColor="text1"/>
                      <w:kern w:val="0"/>
                      <w:sz w:val="21"/>
                      <w:szCs w:val="21"/>
                      <w:highlight w:val="none"/>
                      <w:u w:val="none" w:color="auto"/>
                      <w:lang w:val="en-US" w:eastAsia="zh-CN" w:bidi="ar"/>
                      <w14:textFill>
                        <w14:solidFill>
                          <w14:schemeClr w14:val="tx1"/>
                        </w14:solidFill>
                      </w14:textFill>
                    </w:rPr>
                    <w:t>点炉</w:t>
                  </w:r>
                  <w:r>
                    <w:rPr>
                      <w:rFonts w:hint="default" w:ascii="Times New Roman" w:hAnsi="Times New Roman" w:cs="Times New Roman"/>
                      <w:b w:val="0"/>
                      <w:bCs w:val="0"/>
                      <w:color w:val="000000" w:themeColor="text1"/>
                      <w:kern w:val="0"/>
                      <w:sz w:val="21"/>
                      <w:szCs w:val="21"/>
                      <w:highlight w:val="none"/>
                      <w:u w:val="none" w:color="auto"/>
                      <w:lang w:val="en-US" w:eastAsia="zh-CN" w:bidi="ar"/>
                      <w14:textFill>
                        <w14:solidFill>
                          <w14:schemeClr w14:val="tx1"/>
                        </w14:solidFill>
                      </w14:textFill>
                    </w:rPr>
                    <w:t>等</w:t>
                  </w:r>
                  <w:r>
                    <w:rPr>
                      <w:rFonts w:hint="eastAsia" w:ascii="Times New Roman" w:hAnsi="Times New Roman" w:cs="Times New Roman"/>
                      <w:b w:val="0"/>
                      <w:bCs w:val="0"/>
                      <w:color w:val="000000" w:themeColor="text1"/>
                      <w:kern w:val="0"/>
                      <w:sz w:val="21"/>
                      <w:szCs w:val="21"/>
                      <w:highlight w:val="none"/>
                      <w:u w:val="none" w:color="auto"/>
                      <w:lang w:val="en-US" w:eastAsia="zh-CN" w:bidi="ar"/>
                      <w14:textFill>
                        <w14:solidFill>
                          <w14:schemeClr w14:val="tx1"/>
                        </w14:solidFill>
                      </w14:textFill>
                    </w:rPr>
                    <w:t>过程</w:t>
                  </w:r>
                </w:p>
              </w:tc>
              <w:tc>
                <w:tcPr>
                  <w:tcW w:w="1614" w:type="dxa"/>
                  <w:shd w:val="clear" w:color="auto" w:fill="auto"/>
                  <w:vAlign w:val="center"/>
                </w:tcPr>
                <w:p w14:paraId="4B84DBB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eastAsia" w:cs="Times New Roman"/>
                      <w:color w:val="000000" w:themeColor="text1"/>
                      <w:sz w:val="21"/>
                      <w:szCs w:val="21"/>
                      <w:highlight w:val="none"/>
                      <w:u w:val="none" w:color="auto"/>
                      <w:lang w:val="en-US" w:eastAsia="zh-CN"/>
                      <w14:textFill>
                        <w14:solidFill>
                          <w14:schemeClr w14:val="tx1"/>
                        </w14:solidFill>
                      </w14:textFill>
                    </w:rPr>
                    <w:t>灰渣</w:t>
                  </w:r>
                </w:p>
              </w:tc>
              <w:tc>
                <w:tcPr>
                  <w:tcW w:w="3736" w:type="dxa"/>
                  <w:shd w:val="clear" w:color="auto" w:fill="auto"/>
                  <w:vAlign w:val="center"/>
                </w:tcPr>
                <w:p w14:paraId="6E85AAE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定期收集后</w:t>
                  </w: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外售</w:t>
                  </w:r>
                  <w:r>
                    <w:rPr>
                      <w:rFonts w:hint="eastAsia"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做农肥</w:t>
                  </w:r>
                </w:p>
              </w:tc>
            </w:tr>
            <w:tr w14:paraId="126A98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0" w:type="pct"/>
                  <w:vMerge w:val="continue"/>
                  <w:vAlign w:val="center"/>
                </w:tcPr>
                <w:p w14:paraId="5CAC6042">
                  <w:pPr>
                    <w:keepNext w:val="0"/>
                    <w:keepLines w:val="0"/>
                    <w:suppressLineNumbers w:val="0"/>
                    <w:spacing w:before="0" w:beforeAutospacing="0" w:after="0" w:afterAutospacing="0"/>
                    <w:ind w:left="0" w:right="0"/>
                    <w:jc w:val="center"/>
                    <w:rPr>
                      <w:rFonts w:hint="default" w:ascii="Times New Roman" w:hAnsi="Times New Roman" w:cs="Times New Roman"/>
                      <w:bCs/>
                      <w:color w:val="000000" w:themeColor="text1"/>
                      <w:kern w:val="0"/>
                      <w:sz w:val="21"/>
                      <w:szCs w:val="21"/>
                      <w:highlight w:val="none"/>
                      <w:u w:val="none"/>
                      <w14:textFill>
                        <w14:solidFill>
                          <w14:schemeClr w14:val="tx1"/>
                        </w14:solidFill>
                      </w14:textFill>
                    </w:rPr>
                  </w:pPr>
                </w:p>
              </w:tc>
              <w:tc>
                <w:tcPr>
                  <w:tcW w:w="920" w:type="pct"/>
                  <w:vMerge w:val="continue"/>
                  <w:vAlign w:val="center"/>
                </w:tcPr>
                <w:p w14:paraId="6F998ED1">
                  <w:pPr>
                    <w:keepNext w:val="0"/>
                    <w:keepLines w:val="0"/>
                    <w:suppressLineNumbers w:val="0"/>
                    <w:spacing w:before="0" w:beforeAutospacing="0" w:after="0" w:afterAutospacing="0"/>
                    <w:ind w:left="0" w:right="0"/>
                    <w:jc w:val="center"/>
                    <w:rPr>
                      <w:rFonts w:hint="default" w:ascii="Times New Roman" w:hAnsi="Times New Roman" w:cs="Times New Roman"/>
                      <w:bCs/>
                      <w:color w:val="000000" w:themeColor="text1"/>
                      <w:kern w:val="0"/>
                      <w:sz w:val="21"/>
                      <w:szCs w:val="21"/>
                      <w:highlight w:val="none"/>
                      <w:u w:val="none"/>
                      <w14:textFill>
                        <w14:solidFill>
                          <w14:schemeClr w14:val="tx1"/>
                        </w14:solidFill>
                      </w14:textFill>
                    </w:rPr>
                  </w:pPr>
                </w:p>
              </w:tc>
              <w:tc>
                <w:tcPr>
                  <w:tcW w:w="1529" w:type="dxa"/>
                  <w:gridSpan w:val="2"/>
                  <w:shd w:val="clear" w:color="auto" w:fill="auto"/>
                  <w:vAlign w:val="center"/>
                </w:tcPr>
                <w:p w14:paraId="0E8D862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bCs/>
                      <w:color w:val="000000" w:themeColor="text1"/>
                      <w:kern w:val="0"/>
                      <w:sz w:val="21"/>
                      <w:szCs w:val="21"/>
                      <w:highlight w:val="none"/>
                      <w:u w:val="none" w:color="auto"/>
                      <w:lang w:val="en-US" w:eastAsia="zh-CN"/>
                      <w14:textFill>
                        <w14:solidFill>
                          <w14:schemeClr w14:val="tx1"/>
                        </w14:solidFill>
                      </w14:textFill>
                    </w:rPr>
                  </w:pPr>
                  <w:r>
                    <w:rPr>
                      <w:rFonts w:hint="eastAsia" w:cs="Times New Roman"/>
                      <w:color w:val="000000" w:themeColor="text1"/>
                      <w:sz w:val="21"/>
                      <w:szCs w:val="21"/>
                      <w:highlight w:val="none"/>
                      <w:u w:val="none" w:color="auto"/>
                      <w:lang w:val="en-US" w:eastAsia="zh-CN"/>
                      <w14:textFill>
                        <w14:solidFill>
                          <w14:schemeClr w14:val="tx1"/>
                        </w14:solidFill>
                      </w14:textFill>
                    </w:rPr>
                    <w:t>锯切等过程产生</w:t>
                  </w:r>
                </w:p>
              </w:tc>
              <w:tc>
                <w:tcPr>
                  <w:tcW w:w="1614" w:type="dxa"/>
                  <w:shd w:val="clear" w:color="auto" w:fill="auto"/>
                  <w:vAlign w:val="center"/>
                </w:tcPr>
                <w:p w14:paraId="215E453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000000" w:themeColor="text1"/>
                      <w:sz w:val="21"/>
                      <w:szCs w:val="21"/>
                      <w:highlight w:val="none"/>
                      <w:u w:val="none" w:color="auto"/>
                      <w:lang w:val="en-US" w:eastAsia="zh-CN"/>
                      <w14:textFill>
                        <w14:solidFill>
                          <w14:schemeClr w14:val="tx1"/>
                        </w14:solidFill>
                      </w14:textFill>
                    </w:rPr>
                  </w:pPr>
                  <w:r>
                    <w:rPr>
                      <w:rFonts w:hint="eastAsia" w:cs="Times New Roman"/>
                      <w:color w:val="000000" w:themeColor="text1"/>
                      <w:sz w:val="21"/>
                      <w:szCs w:val="21"/>
                      <w:highlight w:val="none"/>
                      <w:u w:val="none" w:color="auto"/>
                      <w:lang w:val="en-US" w:eastAsia="zh-CN"/>
                      <w14:textFill>
                        <w14:solidFill>
                          <w14:schemeClr w14:val="tx1"/>
                        </w14:solidFill>
                      </w14:textFill>
                    </w:rPr>
                    <w:t>废炭渣</w:t>
                  </w:r>
                </w:p>
              </w:tc>
              <w:tc>
                <w:tcPr>
                  <w:tcW w:w="3736" w:type="dxa"/>
                  <w:shd w:val="clear" w:color="auto" w:fill="auto"/>
                  <w:vAlign w:val="center"/>
                </w:tcPr>
                <w:p w14:paraId="637C189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000000" w:themeColor="text1"/>
                      <w:sz w:val="21"/>
                      <w:szCs w:val="21"/>
                      <w:highlight w:val="none"/>
                      <w:u w:val="none" w:color="auto"/>
                      <w:lang w:val="en-US" w:eastAsia="zh-CN"/>
                      <w14:textFill>
                        <w14:solidFill>
                          <w14:schemeClr w14:val="tx1"/>
                        </w14:solidFill>
                      </w14:textFill>
                    </w:rPr>
                  </w:pPr>
                  <w:r>
                    <w:rPr>
                      <w:rFonts w:hint="eastAsia" w:cs="Times New Roman"/>
                      <w:color w:val="000000" w:themeColor="text1"/>
                      <w:sz w:val="21"/>
                      <w:szCs w:val="21"/>
                      <w:highlight w:val="none"/>
                      <w:u w:val="none" w:color="auto"/>
                      <w:lang w:val="en-US" w:eastAsia="zh-CN"/>
                      <w14:textFill>
                        <w14:solidFill>
                          <w14:schemeClr w14:val="tx1"/>
                        </w14:solidFill>
                      </w14:textFill>
                    </w:rPr>
                    <w:t>定期收集后外售</w:t>
                  </w:r>
                </w:p>
              </w:tc>
            </w:tr>
            <w:tr w14:paraId="35707C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0" w:type="pct"/>
                  <w:vMerge w:val="continue"/>
                  <w:vAlign w:val="center"/>
                </w:tcPr>
                <w:p w14:paraId="662B54B5">
                  <w:pPr>
                    <w:keepNext w:val="0"/>
                    <w:keepLines w:val="0"/>
                    <w:suppressLineNumbers w:val="0"/>
                    <w:spacing w:before="0" w:beforeAutospacing="0" w:after="0" w:afterAutospacing="0"/>
                    <w:ind w:left="0" w:right="0"/>
                    <w:jc w:val="center"/>
                    <w:rPr>
                      <w:rFonts w:hint="default" w:ascii="Times New Roman" w:hAnsi="Times New Roman" w:cs="Times New Roman"/>
                      <w:bCs/>
                      <w:color w:val="000000" w:themeColor="text1"/>
                      <w:kern w:val="0"/>
                      <w:sz w:val="21"/>
                      <w:szCs w:val="21"/>
                      <w:highlight w:val="none"/>
                      <w:u w:val="none"/>
                      <w14:textFill>
                        <w14:solidFill>
                          <w14:schemeClr w14:val="tx1"/>
                        </w14:solidFill>
                      </w14:textFill>
                    </w:rPr>
                  </w:pPr>
                </w:p>
              </w:tc>
              <w:tc>
                <w:tcPr>
                  <w:tcW w:w="920" w:type="pct"/>
                  <w:vMerge w:val="continue"/>
                  <w:vAlign w:val="center"/>
                </w:tcPr>
                <w:p w14:paraId="0C103546">
                  <w:pPr>
                    <w:keepNext w:val="0"/>
                    <w:keepLines w:val="0"/>
                    <w:suppressLineNumbers w:val="0"/>
                    <w:spacing w:before="0" w:beforeAutospacing="0" w:after="0" w:afterAutospacing="0"/>
                    <w:ind w:left="0" w:right="0"/>
                    <w:jc w:val="center"/>
                    <w:rPr>
                      <w:rFonts w:hint="default" w:ascii="Times New Roman" w:hAnsi="Times New Roman" w:cs="Times New Roman"/>
                      <w:bCs/>
                      <w:color w:val="000000" w:themeColor="text1"/>
                      <w:kern w:val="0"/>
                      <w:sz w:val="21"/>
                      <w:szCs w:val="21"/>
                      <w:highlight w:val="none"/>
                      <w:u w:val="none"/>
                      <w14:textFill>
                        <w14:solidFill>
                          <w14:schemeClr w14:val="tx1"/>
                        </w14:solidFill>
                      </w14:textFill>
                    </w:rPr>
                  </w:pPr>
                </w:p>
              </w:tc>
              <w:tc>
                <w:tcPr>
                  <w:tcW w:w="1529" w:type="dxa"/>
                  <w:gridSpan w:val="2"/>
                  <w:shd w:val="clear" w:color="auto" w:fill="auto"/>
                  <w:vAlign w:val="center"/>
                </w:tcPr>
                <w:p w14:paraId="085556F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eastAsia" w:cs="Times New Roman"/>
                      <w:color w:val="000000" w:themeColor="text1"/>
                      <w:sz w:val="21"/>
                      <w:szCs w:val="21"/>
                      <w:highlight w:val="none"/>
                      <w:u w:val="none" w:color="auto"/>
                      <w:lang w:val="en-US" w:eastAsia="zh-CN"/>
                      <w14:textFill>
                        <w14:solidFill>
                          <w14:schemeClr w14:val="tx1"/>
                        </w14:solidFill>
                      </w14:textFill>
                    </w:rPr>
                    <w:t>包装过程</w:t>
                  </w:r>
                </w:p>
              </w:tc>
              <w:tc>
                <w:tcPr>
                  <w:tcW w:w="1614" w:type="dxa"/>
                  <w:shd w:val="clear" w:color="auto" w:fill="auto"/>
                  <w:vAlign w:val="center"/>
                </w:tcPr>
                <w:p w14:paraId="026C37F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eastAsia" w:cs="Times New Roman"/>
                      <w:color w:val="000000" w:themeColor="text1"/>
                      <w:sz w:val="21"/>
                      <w:szCs w:val="21"/>
                      <w:highlight w:val="none"/>
                      <w:u w:val="none" w:color="auto"/>
                      <w:lang w:val="en-US" w:eastAsia="zh-CN"/>
                      <w14:textFill>
                        <w14:solidFill>
                          <w14:schemeClr w14:val="tx1"/>
                        </w14:solidFill>
                      </w14:textFill>
                    </w:rPr>
                    <w:t>废包装材料</w:t>
                  </w:r>
                </w:p>
              </w:tc>
              <w:tc>
                <w:tcPr>
                  <w:tcW w:w="3736" w:type="dxa"/>
                  <w:shd w:val="clear" w:color="auto" w:fill="auto"/>
                  <w:vAlign w:val="center"/>
                </w:tcPr>
                <w:p w14:paraId="517E771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000000" w:themeColor="text1"/>
                      <w:sz w:val="21"/>
                      <w:szCs w:val="21"/>
                      <w:highlight w:val="none"/>
                      <w:u w:val="none" w:color="auto"/>
                      <w:lang w:val="en-US" w:eastAsia="zh-CN"/>
                      <w14:textFill>
                        <w14:solidFill>
                          <w14:schemeClr w14:val="tx1"/>
                        </w14:solidFill>
                      </w14:textFill>
                    </w:rPr>
                  </w:pPr>
                  <w:r>
                    <w:rPr>
                      <w:rFonts w:hint="eastAsia" w:ascii="Times New Roman" w:hAnsi="Times New Roman"/>
                      <w:color w:val="000000" w:themeColor="text1"/>
                      <w:sz w:val="21"/>
                      <w:szCs w:val="21"/>
                      <w:u w:val="none" w:color="auto"/>
                      <w:lang w:val="en-US" w:eastAsia="zh-CN"/>
                      <w14:textFill>
                        <w14:solidFill>
                          <w14:schemeClr w14:val="tx1"/>
                        </w14:solidFill>
                      </w14:textFill>
                    </w:rPr>
                    <w:t>收集后外售</w:t>
                  </w:r>
                </w:p>
              </w:tc>
            </w:tr>
            <w:tr w14:paraId="3DC93E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0" w:type="pct"/>
                  <w:vMerge w:val="continue"/>
                  <w:vAlign w:val="center"/>
                </w:tcPr>
                <w:p w14:paraId="683F6D09">
                  <w:pPr>
                    <w:keepNext w:val="0"/>
                    <w:keepLines w:val="0"/>
                    <w:suppressLineNumbers w:val="0"/>
                    <w:spacing w:before="0" w:beforeAutospacing="0" w:after="0" w:afterAutospacing="0"/>
                    <w:ind w:left="0" w:right="0"/>
                    <w:jc w:val="center"/>
                    <w:rPr>
                      <w:rFonts w:hint="default" w:ascii="Times New Roman" w:hAnsi="Times New Roman" w:cs="Times New Roman"/>
                      <w:bCs/>
                      <w:color w:val="000000" w:themeColor="text1"/>
                      <w:kern w:val="0"/>
                      <w:sz w:val="21"/>
                      <w:szCs w:val="21"/>
                      <w:highlight w:val="none"/>
                      <w:u w:val="none"/>
                      <w14:textFill>
                        <w14:solidFill>
                          <w14:schemeClr w14:val="tx1"/>
                        </w14:solidFill>
                      </w14:textFill>
                    </w:rPr>
                  </w:pPr>
                </w:p>
              </w:tc>
              <w:tc>
                <w:tcPr>
                  <w:tcW w:w="920" w:type="pct"/>
                  <w:vMerge w:val="continue"/>
                  <w:vAlign w:val="center"/>
                </w:tcPr>
                <w:p w14:paraId="0A8B0B6A">
                  <w:pPr>
                    <w:keepNext w:val="0"/>
                    <w:keepLines w:val="0"/>
                    <w:suppressLineNumbers w:val="0"/>
                    <w:spacing w:before="0" w:beforeAutospacing="0" w:after="0" w:afterAutospacing="0"/>
                    <w:ind w:left="0" w:right="0"/>
                    <w:jc w:val="center"/>
                    <w:rPr>
                      <w:rFonts w:hint="default" w:ascii="Times New Roman" w:hAnsi="Times New Roman" w:cs="Times New Roman"/>
                      <w:bCs/>
                      <w:color w:val="000000" w:themeColor="text1"/>
                      <w:kern w:val="0"/>
                      <w:sz w:val="21"/>
                      <w:szCs w:val="21"/>
                      <w:highlight w:val="none"/>
                      <w:u w:val="none"/>
                      <w14:textFill>
                        <w14:solidFill>
                          <w14:schemeClr w14:val="tx1"/>
                        </w14:solidFill>
                      </w14:textFill>
                    </w:rPr>
                  </w:pPr>
                </w:p>
              </w:tc>
              <w:tc>
                <w:tcPr>
                  <w:tcW w:w="1529" w:type="dxa"/>
                  <w:gridSpan w:val="2"/>
                  <w:shd w:val="clear" w:color="auto" w:fill="auto"/>
                  <w:vAlign w:val="center"/>
                </w:tcPr>
                <w:p w14:paraId="772DE90B">
                  <w:pPr>
                    <w:pStyle w:val="51"/>
                    <w:keepNext w:val="0"/>
                    <w:keepLines w:val="0"/>
                    <w:pageBreakBefore w:val="0"/>
                    <w:suppressLineNumbers w:val="0"/>
                    <w:kinsoku/>
                    <w:wordWrap/>
                    <w:overflowPunct/>
                    <w:topLinePunct w:val="0"/>
                    <w:bidi w:val="0"/>
                    <w:snapToGrid w:val="0"/>
                    <w:spacing w:before="0" w:beforeAutospacing="0" w:after="0" w:afterAutospacing="0" w:line="240" w:lineRule="auto"/>
                    <w:ind w:left="0" w:leftChars="0" w:right="0" w:rightChars="0"/>
                    <w:rPr>
                      <w:rFonts w:hint="default" w:ascii="Times New Roman" w:hAnsi="Times New Roman" w:eastAsia="宋体" w:cs="Times New Roman"/>
                      <w:color w:val="000000" w:themeColor="text1"/>
                      <w:kern w:val="24"/>
                      <w:sz w:val="21"/>
                      <w:szCs w:val="21"/>
                      <w:highlight w:val="none"/>
                      <w:u w:val="none" w:color="auto"/>
                      <w:lang w:val="en-US" w:eastAsia="zh-CN" w:bidi="ar-SA"/>
                      <w14:textFill>
                        <w14:solidFill>
                          <w14:schemeClr w14:val="tx1"/>
                        </w14:solidFill>
                      </w14:textFill>
                    </w:rPr>
                  </w:pPr>
                  <w:r>
                    <w:rPr>
                      <w:rFonts w:hint="eastAsia"/>
                      <w:color w:val="000000" w:themeColor="text1"/>
                      <w:sz w:val="21"/>
                      <w:szCs w:val="21"/>
                      <w:u w:val="none" w:color="auto"/>
                      <w14:textFill>
                        <w14:solidFill>
                          <w14:schemeClr w14:val="tx1"/>
                        </w14:solidFill>
                      </w14:textFill>
                    </w:rPr>
                    <w:t>炭化过程</w:t>
                  </w:r>
                </w:p>
              </w:tc>
              <w:tc>
                <w:tcPr>
                  <w:tcW w:w="1614" w:type="dxa"/>
                  <w:shd w:val="clear" w:color="auto" w:fill="auto"/>
                  <w:vAlign w:val="center"/>
                </w:tcPr>
                <w:p w14:paraId="18275C95">
                  <w:pPr>
                    <w:keepNext w:val="0"/>
                    <w:keepLines w:val="0"/>
                    <w:pageBreakBefore w:val="0"/>
                    <w:suppressLineNumbers w:val="0"/>
                    <w:kinsoku/>
                    <w:wordWrap/>
                    <w:overflowPunct/>
                    <w:topLinePunct w:val="0"/>
                    <w:bidi w:val="0"/>
                    <w:spacing w:before="0" w:beforeAutospacing="0" w:after="0" w:afterAutospacing="0" w:line="240" w:lineRule="auto"/>
                    <w:ind w:left="0" w:leftChars="0" w:right="0" w:rightChars="0"/>
                    <w:jc w:val="center"/>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eastAsia"/>
                      <w:color w:val="000000" w:themeColor="text1"/>
                      <w:sz w:val="21"/>
                      <w:szCs w:val="21"/>
                      <w:u w:val="none" w:color="auto"/>
                      <w:lang w:val="en-US" w:eastAsia="zh-CN"/>
                      <w14:textFill>
                        <w14:solidFill>
                          <w14:schemeClr w14:val="tx1"/>
                        </w14:solidFill>
                      </w14:textFill>
                    </w:rPr>
                    <w:t>粗</w:t>
                  </w:r>
                  <w:r>
                    <w:rPr>
                      <w:rFonts w:hint="eastAsia"/>
                      <w:color w:val="000000" w:themeColor="text1"/>
                      <w:sz w:val="21"/>
                      <w:szCs w:val="21"/>
                      <w:u w:val="none" w:color="auto"/>
                      <w14:textFill>
                        <w14:solidFill>
                          <w14:schemeClr w14:val="tx1"/>
                        </w14:solidFill>
                      </w14:textFill>
                    </w:rPr>
                    <w:t>木焦油、木醋液</w:t>
                  </w:r>
                </w:p>
              </w:tc>
              <w:tc>
                <w:tcPr>
                  <w:tcW w:w="3736" w:type="dxa"/>
                  <w:shd w:val="clear" w:color="auto" w:fill="auto"/>
                  <w:vAlign w:val="center"/>
                </w:tcPr>
                <w:p w14:paraId="5606271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000000" w:themeColor="text1"/>
                      <w:sz w:val="21"/>
                      <w:szCs w:val="21"/>
                      <w:highlight w:val="none"/>
                      <w:u w:val="none" w:color="auto"/>
                      <w:lang w:val="en-US" w:eastAsia="zh-CN"/>
                      <w14:textFill>
                        <w14:solidFill>
                          <w14:schemeClr w14:val="tx1"/>
                        </w14:solidFill>
                      </w14:textFill>
                    </w:rPr>
                  </w:pPr>
                  <w:r>
                    <w:rPr>
                      <w:rFonts w:hint="eastAsia"/>
                      <w:color w:val="000000" w:themeColor="text1"/>
                      <w:sz w:val="21"/>
                      <w:szCs w:val="21"/>
                      <w:u w:val="none" w:color="auto"/>
                      <w14:textFill>
                        <w14:solidFill>
                          <w14:schemeClr w14:val="tx1"/>
                        </w14:solidFill>
                      </w14:textFill>
                    </w:rPr>
                    <w:t>采用防渗防漏的专用容器盛装密封</w:t>
                  </w:r>
                  <w:r>
                    <w:rPr>
                      <w:rFonts w:hint="eastAsia"/>
                      <w:color w:val="000000" w:themeColor="text1"/>
                      <w:sz w:val="21"/>
                      <w:szCs w:val="21"/>
                      <w:u w:val="none" w:color="auto"/>
                      <w:lang w:eastAsia="zh-CN"/>
                      <w14:textFill>
                        <w14:solidFill>
                          <w14:schemeClr w14:val="tx1"/>
                        </w14:solidFill>
                      </w14:textFill>
                    </w:rPr>
                    <w:t>，</w:t>
                  </w:r>
                  <w:r>
                    <w:rPr>
                      <w:rFonts w:hint="eastAsia"/>
                      <w:color w:val="000000" w:themeColor="text1"/>
                      <w:sz w:val="21"/>
                      <w:szCs w:val="21"/>
                      <w:u w:val="none" w:color="auto"/>
                      <w14:textFill>
                        <w14:solidFill>
                          <w14:schemeClr w14:val="tx1"/>
                        </w14:solidFill>
                      </w14:textFill>
                    </w:rPr>
                    <w:t>作为副产品外售</w:t>
                  </w:r>
                  <w:r>
                    <w:rPr>
                      <w:rFonts w:hint="eastAsia"/>
                      <w:color w:val="000000" w:themeColor="text1"/>
                      <w:sz w:val="21"/>
                      <w:szCs w:val="21"/>
                      <w:u w:val="none" w:color="auto"/>
                      <w:lang w:eastAsia="zh-CN"/>
                      <w14:textFill>
                        <w14:solidFill>
                          <w14:schemeClr w14:val="tx1"/>
                        </w14:solidFill>
                      </w14:textFill>
                    </w:rPr>
                    <w:t>。</w:t>
                  </w:r>
                  <w:r>
                    <w:rPr>
                      <w:rFonts w:hint="eastAsia"/>
                      <w:color w:val="000000" w:themeColor="text1"/>
                      <w:sz w:val="21"/>
                      <w:szCs w:val="21"/>
                      <w:u w:val="none" w:color="auto"/>
                      <w:lang w:val="en-US" w:eastAsia="zh-CN"/>
                      <w14:textFill>
                        <w14:solidFill>
                          <w14:schemeClr w14:val="tx1"/>
                        </w14:solidFill>
                      </w14:textFill>
                    </w:rPr>
                    <w:t>其中木焦油由社旗县瑞发建材有限公司回收后用于乳化沥青加工，木醋液由河南润灵药业有限公司回收后用于杀虫剂加工。</w:t>
                  </w:r>
                </w:p>
              </w:tc>
            </w:tr>
            <w:tr w14:paraId="6E71DD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0" w:type="pct"/>
                  <w:vMerge w:val="continue"/>
                  <w:vAlign w:val="center"/>
                </w:tcPr>
                <w:p w14:paraId="5B2034A9">
                  <w:pPr>
                    <w:keepNext w:val="0"/>
                    <w:keepLines w:val="0"/>
                    <w:suppressLineNumbers w:val="0"/>
                    <w:tabs>
                      <w:tab w:val="left" w:pos="5250"/>
                    </w:tabs>
                    <w:adjustRightInd w:val="0"/>
                    <w:snapToGrid w:val="0"/>
                    <w:spacing w:before="0" w:beforeAutospacing="0" w:after="0" w:afterAutospacing="0"/>
                    <w:ind w:left="0" w:right="0"/>
                    <w:jc w:val="center"/>
                    <w:rPr>
                      <w:rFonts w:hint="default" w:ascii="Times New Roman" w:hAnsi="Times New Roman" w:cs="Times New Roman"/>
                      <w:bCs/>
                      <w:color w:val="000000" w:themeColor="text1"/>
                      <w:sz w:val="21"/>
                      <w:szCs w:val="21"/>
                      <w:highlight w:val="none"/>
                      <w:u w:val="none"/>
                      <w14:textFill>
                        <w14:solidFill>
                          <w14:schemeClr w14:val="tx1"/>
                        </w14:solidFill>
                      </w14:textFill>
                    </w:rPr>
                  </w:pPr>
                </w:p>
              </w:tc>
              <w:tc>
                <w:tcPr>
                  <w:tcW w:w="920" w:type="pct"/>
                  <w:vMerge w:val="continue"/>
                  <w:vAlign w:val="center"/>
                </w:tcPr>
                <w:p w14:paraId="0100DECA">
                  <w:pPr>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sz w:val="21"/>
                      <w:szCs w:val="21"/>
                      <w:highlight w:val="none"/>
                      <w:u w:val="none"/>
                      <w14:textFill>
                        <w14:solidFill>
                          <w14:schemeClr w14:val="tx1"/>
                        </w14:solidFill>
                      </w14:textFill>
                    </w:rPr>
                  </w:pPr>
                </w:p>
              </w:tc>
              <w:tc>
                <w:tcPr>
                  <w:tcW w:w="824" w:type="pct"/>
                  <w:gridSpan w:val="2"/>
                  <w:shd w:val="clear" w:color="auto" w:fill="auto"/>
                  <w:vAlign w:val="center"/>
                </w:tcPr>
                <w:p w14:paraId="23500FC2">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Cs/>
                      <w:color w:val="000000" w:themeColor="text1"/>
                      <w:kern w:val="0"/>
                      <w:sz w:val="21"/>
                      <w:szCs w:val="21"/>
                      <w:highlight w:val="none"/>
                      <w:u w:val="none" w:color="auto"/>
                      <w:lang w:val="en-US" w:eastAsia="zh-CN" w:bidi="ar-SA"/>
                      <w14:textFill>
                        <w14:solidFill>
                          <w14:schemeClr w14:val="tx1"/>
                        </w14:solidFill>
                      </w14:textFill>
                    </w:rPr>
                  </w:pPr>
                  <w:r>
                    <w:rPr>
                      <w:rFonts w:hint="default" w:ascii="Times New Roman" w:hAnsi="Times New Roman" w:cs="Times New Roman"/>
                      <w:bCs/>
                      <w:color w:val="000000" w:themeColor="text1"/>
                      <w:kern w:val="0"/>
                      <w:sz w:val="21"/>
                      <w:szCs w:val="21"/>
                      <w:highlight w:val="none"/>
                      <w:u w:val="none" w:color="auto"/>
                      <w:lang w:val="en-US" w:eastAsia="zh-CN"/>
                      <w14:textFill>
                        <w14:solidFill>
                          <w14:schemeClr w14:val="tx1"/>
                        </w14:solidFill>
                      </w14:textFill>
                    </w:rPr>
                    <w:t>设备维护</w:t>
                  </w:r>
                </w:p>
              </w:tc>
              <w:tc>
                <w:tcPr>
                  <w:tcW w:w="870" w:type="pct"/>
                  <w:shd w:val="clear" w:color="auto" w:fill="auto"/>
                  <w:vAlign w:val="center"/>
                </w:tcPr>
                <w:p w14:paraId="534B5A27">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Cs/>
                      <w:color w:val="000000" w:themeColor="text1"/>
                      <w:kern w:val="0"/>
                      <w:sz w:val="21"/>
                      <w:szCs w:val="21"/>
                      <w:highlight w:val="none"/>
                      <w:u w:val="none" w:color="auto"/>
                      <w:lang w:val="en-US" w:eastAsia="zh-CN" w:bidi="ar-SA"/>
                      <w14:textFill>
                        <w14:solidFill>
                          <w14:schemeClr w14:val="tx1"/>
                        </w14:solidFill>
                      </w14:textFill>
                    </w:rPr>
                  </w:pPr>
                  <w:r>
                    <w:rPr>
                      <w:rFonts w:hint="default" w:ascii="Times New Roman" w:hAnsi="Times New Roman" w:cs="Times New Roman"/>
                      <w:bCs/>
                      <w:color w:val="000000" w:themeColor="text1"/>
                      <w:kern w:val="0"/>
                      <w:sz w:val="21"/>
                      <w:szCs w:val="21"/>
                      <w:highlight w:val="none"/>
                      <w:u w:val="none" w:color="auto"/>
                      <w:lang w:val="en-US" w:eastAsia="zh-CN"/>
                      <w14:textFill>
                        <w14:solidFill>
                          <w14:schemeClr w14:val="tx1"/>
                        </w14:solidFill>
                      </w14:textFill>
                    </w:rPr>
                    <w:t>废润滑油、废润滑油桶</w:t>
                  </w:r>
                </w:p>
              </w:tc>
              <w:tc>
                <w:tcPr>
                  <w:tcW w:w="2014" w:type="pct"/>
                  <w:vAlign w:val="center"/>
                </w:tcPr>
                <w:p w14:paraId="21EFC0BD">
                  <w:pPr>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分类集中收集于危废暂存间（面积</w:t>
                  </w:r>
                  <w:r>
                    <w:rPr>
                      <w:rFonts w:hint="eastAsia" w:cs="Times New Roman"/>
                      <w:color w:val="000000" w:themeColor="text1"/>
                      <w:sz w:val="21"/>
                      <w:szCs w:val="21"/>
                      <w:highlight w:val="none"/>
                      <w:u w:val="none" w:color="auto"/>
                      <w:lang w:val="en-US" w:eastAsia="zh-CN"/>
                      <w14:textFill>
                        <w14:solidFill>
                          <w14:schemeClr w14:val="tx1"/>
                        </w14:solidFill>
                      </w14:textFill>
                    </w:rPr>
                    <w:t>10</w:t>
                  </w: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m</w:t>
                  </w:r>
                  <w:r>
                    <w:rPr>
                      <w:rFonts w:hint="default" w:ascii="Times New Roman" w:hAnsi="Times New Roman" w:eastAsia="宋体" w:cs="Times New Roman"/>
                      <w:color w:val="000000" w:themeColor="text1"/>
                      <w:sz w:val="21"/>
                      <w:szCs w:val="21"/>
                      <w:highlight w:val="none"/>
                      <w:u w:val="none" w:color="auto"/>
                      <w:vertAlign w:val="superscript"/>
                      <w14:textFill>
                        <w14:solidFill>
                          <w14:schemeClr w14:val="tx1"/>
                        </w14:solidFill>
                      </w14:textFill>
                    </w:rPr>
                    <w:t>2</w:t>
                  </w: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，采取“六防”措施），定期交由有危废处理资质单位进行处置。</w:t>
                  </w:r>
                </w:p>
              </w:tc>
            </w:tr>
          </w:tbl>
          <w:p w14:paraId="76DE179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2" w:firstLineChars="200"/>
              <w:jc w:val="left"/>
              <w:textAlignment w:val="auto"/>
              <w:rPr>
                <w:rFonts w:hint="default" w:ascii="Times New Roman" w:hAnsi="Times New Roman" w:eastAsia="宋体" w:cs="Times New Roman"/>
                <w:b/>
                <w:color w:val="000000" w:themeColor="text1"/>
                <w:sz w:val="24"/>
                <w:szCs w:val="24"/>
                <w:highlight w:val="none"/>
                <w:u w:val="none" w:color="auto"/>
                <w:lang w:val="en-US" w:eastAsia="zh-CN"/>
                <w14:textFill>
                  <w14:solidFill>
                    <w14:schemeClr w14:val="tx1"/>
                  </w14:solidFill>
                </w14:textFill>
              </w:rPr>
            </w:pPr>
            <w:r>
              <w:rPr>
                <w:rFonts w:hint="eastAsia" w:ascii="Times New Roman" w:hAnsi="Times New Roman" w:cs="Times New Roman"/>
                <w:b/>
                <w:color w:val="000000" w:themeColor="text1"/>
                <w:sz w:val="24"/>
                <w:szCs w:val="24"/>
                <w:highlight w:val="none"/>
                <w:u w:val="none" w:color="auto"/>
                <w:lang w:val="en-US" w:eastAsia="zh-CN"/>
                <w14:textFill>
                  <w14:solidFill>
                    <w14:schemeClr w14:val="tx1"/>
                  </w14:solidFill>
                </w14:textFill>
              </w:rPr>
              <w:t>4</w:t>
            </w:r>
            <w:r>
              <w:rPr>
                <w:rFonts w:hint="default" w:ascii="Times New Roman" w:hAnsi="Times New Roman" w:eastAsia="宋体" w:cs="Times New Roman"/>
                <w:b/>
                <w:color w:val="000000" w:themeColor="text1"/>
                <w:sz w:val="24"/>
                <w:szCs w:val="24"/>
                <w:highlight w:val="none"/>
                <w:u w:val="none" w:color="auto"/>
                <w14:textFill>
                  <w14:solidFill>
                    <w14:schemeClr w14:val="tx1"/>
                  </w14:solidFill>
                </w14:textFill>
              </w:rPr>
              <w:t>、</w:t>
            </w:r>
            <w:r>
              <w:rPr>
                <w:rFonts w:hint="eastAsia" w:cs="Times New Roman"/>
                <w:b/>
                <w:color w:val="000000" w:themeColor="text1"/>
                <w:sz w:val="24"/>
                <w:szCs w:val="24"/>
                <w:highlight w:val="none"/>
                <w:u w:val="none" w:color="auto"/>
                <w:lang w:val="en-US" w:eastAsia="zh-CN"/>
                <w14:textFill>
                  <w14:solidFill>
                    <w14:schemeClr w14:val="tx1"/>
                  </w14:solidFill>
                </w14:textFill>
              </w:rPr>
              <w:t>产品方案</w:t>
            </w:r>
          </w:p>
          <w:p w14:paraId="6D6F770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left"/>
              <w:textAlignment w:val="auto"/>
              <w:rPr>
                <w:rFonts w:hint="default" w:ascii="Times New Roman" w:hAnsi="Times New Roman" w:eastAsia="宋体" w:cs="Times New Roman"/>
                <w:b w:val="0"/>
                <w:bCs/>
                <w:color w:val="000000" w:themeColor="text1"/>
                <w:sz w:val="24"/>
                <w:szCs w:val="24"/>
                <w:highlight w:val="none"/>
                <w:u w:val="none" w:color="auto"/>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u w:val="none" w:color="auto"/>
                <w14:textFill>
                  <w14:solidFill>
                    <w14:schemeClr w14:val="tx1"/>
                  </w14:solidFill>
                </w14:textFill>
              </w:rPr>
              <w:t>本项目</w:t>
            </w:r>
            <w:r>
              <w:rPr>
                <w:rFonts w:hint="eastAsia" w:cs="Times New Roman"/>
                <w:b w:val="0"/>
                <w:bCs/>
                <w:color w:val="000000" w:themeColor="text1"/>
                <w:sz w:val="24"/>
                <w:szCs w:val="24"/>
                <w:highlight w:val="none"/>
                <w:u w:val="none" w:color="auto"/>
                <w:lang w:val="en-US" w:eastAsia="zh-CN"/>
                <w14:textFill>
                  <w14:solidFill>
                    <w14:schemeClr w14:val="tx1"/>
                  </w14:solidFill>
                </w14:textFill>
              </w:rPr>
              <w:t>产品方案</w:t>
            </w:r>
            <w:r>
              <w:rPr>
                <w:rFonts w:hint="default" w:ascii="Times New Roman" w:hAnsi="Times New Roman" w:eastAsia="宋体" w:cs="Times New Roman"/>
                <w:b w:val="0"/>
                <w:bCs/>
                <w:color w:val="000000" w:themeColor="text1"/>
                <w:sz w:val="24"/>
                <w:szCs w:val="24"/>
                <w:highlight w:val="none"/>
                <w:u w:val="none" w:color="auto"/>
                <w14:textFill>
                  <w14:solidFill>
                    <w14:schemeClr w14:val="tx1"/>
                  </w14:solidFill>
                </w14:textFill>
              </w:rPr>
              <w:t>见</w:t>
            </w:r>
            <w:r>
              <w:rPr>
                <w:rFonts w:hint="default" w:ascii="Times New Roman" w:hAnsi="Times New Roman" w:eastAsia="宋体" w:cs="Times New Roman"/>
                <w:b w:val="0"/>
                <w:bCs/>
                <w:color w:val="000000" w:themeColor="text1"/>
                <w:sz w:val="24"/>
                <w:szCs w:val="24"/>
                <w:highlight w:val="none"/>
                <w:u w:val="none" w:color="auto"/>
                <w:lang w:eastAsia="zh-CN"/>
                <w14:textFill>
                  <w14:solidFill>
                    <w14:schemeClr w14:val="tx1"/>
                  </w14:solidFill>
                </w14:textFill>
              </w:rPr>
              <w:t>下表</w:t>
            </w:r>
            <w:r>
              <w:rPr>
                <w:rFonts w:hint="default" w:ascii="Times New Roman" w:hAnsi="Times New Roman" w:eastAsia="宋体" w:cs="Times New Roman"/>
                <w:b w:val="0"/>
                <w:bCs/>
                <w:color w:val="000000" w:themeColor="text1"/>
                <w:sz w:val="24"/>
                <w:szCs w:val="24"/>
                <w:highlight w:val="none"/>
                <w:u w:val="none" w:color="auto"/>
                <w14:textFill>
                  <w14:solidFill>
                    <w14:schemeClr w14:val="tx1"/>
                  </w14:solidFill>
                </w14:textFill>
              </w:rPr>
              <w:t>。</w:t>
            </w:r>
          </w:p>
          <w:p w14:paraId="64A5750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default" w:ascii="Times New Roman" w:hAnsi="Times New Roman" w:eastAsia="宋体" w:cs="Times New Roman"/>
                <w:b/>
                <w:color w:val="000000" w:themeColor="text1"/>
                <w:kern w:val="2"/>
                <w:sz w:val="24"/>
                <w:szCs w:val="24"/>
                <w:highlight w:val="none"/>
                <w:u w:val="none" w:color="auto"/>
                <w:lang w:val="en-US" w:eastAsia="zh-CN" w:bidi="ar-SA"/>
                <w14:textFill>
                  <w14:solidFill>
                    <w14:schemeClr w14:val="tx1"/>
                  </w14:solidFill>
                </w14:textFill>
              </w:rPr>
            </w:pPr>
            <w:r>
              <w:rPr>
                <w:rFonts w:hint="default" w:ascii="Times New Roman" w:hAnsi="Times New Roman" w:eastAsia="宋体" w:cs="Times New Roman"/>
                <w:b/>
                <w:color w:val="000000" w:themeColor="text1"/>
                <w:kern w:val="2"/>
                <w:sz w:val="24"/>
                <w:szCs w:val="24"/>
                <w:highlight w:val="none"/>
                <w:u w:val="none" w:color="auto"/>
                <w:lang w:val="en-US" w:eastAsia="zh-CN" w:bidi="ar-SA"/>
                <w14:textFill>
                  <w14:solidFill>
                    <w14:schemeClr w14:val="tx1"/>
                  </w14:solidFill>
                </w14:textFill>
              </w:rPr>
              <w:t>表2-</w:t>
            </w:r>
            <w:r>
              <w:rPr>
                <w:rFonts w:hint="eastAsia" w:cs="Times New Roman"/>
                <w:b/>
                <w:color w:val="000000" w:themeColor="text1"/>
                <w:kern w:val="2"/>
                <w:sz w:val="24"/>
                <w:szCs w:val="24"/>
                <w:highlight w:val="none"/>
                <w:u w:val="none" w:color="auto"/>
                <w:lang w:val="en-US" w:eastAsia="zh-CN" w:bidi="ar-SA"/>
                <w14:textFill>
                  <w14:solidFill>
                    <w14:schemeClr w14:val="tx1"/>
                  </w14:solidFill>
                </w14:textFill>
              </w:rPr>
              <w:t xml:space="preserve">3  </w:t>
            </w:r>
            <w:r>
              <w:rPr>
                <w:rFonts w:hint="default" w:ascii="Times New Roman" w:hAnsi="Times New Roman" w:eastAsia="宋体" w:cs="Times New Roman"/>
                <w:b/>
                <w:color w:val="000000" w:themeColor="text1"/>
                <w:kern w:val="2"/>
                <w:sz w:val="24"/>
                <w:szCs w:val="24"/>
                <w:highlight w:val="none"/>
                <w:u w:val="none" w:color="auto"/>
                <w:lang w:val="en-US" w:eastAsia="zh-CN" w:bidi="ar-SA"/>
                <w14:textFill>
                  <w14:solidFill>
                    <w14:schemeClr w14:val="tx1"/>
                  </w14:solidFill>
                </w14:textFill>
              </w:rPr>
              <w:t>项目产品方案一览表</w:t>
            </w:r>
          </w:p>
          <w:tbl>
            <w:tblPr>
              <w:tblStyle w:val="29"/>
              <w:tblW w:w="499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50"/>
              <w:gridCol w:w="1685"/>
              <w:gridCol w:w="3096"/>
              <w:gridCol w:w="1531"/>
              <w:gridCol w:w="1003"/>
            </w:tblGrid>
            <w:tr w14:paraId="259F7F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52" w:type="pct"/>
                  <w:noWrap w:val="0"/>
                  <w:vAlign w:val="center"/>
                </w:tcPr>
                <w:p w14:paraId="711D1AE9">
                  <w:pPr>
                    <w:pStyle w:val="36"/>
                    <w:bidi w:val="0"/>
                    <w:rPr>
                      <w:rFonts w:hint="default" w:ascii="Times New Roman" w:hAnsi="Times New Roman" w:eastAsia="宋体" w:cs="Times New Roman"/>
                      <w:b w:val="0"/>
                      <w:bCs/>
                      <w:i w:val="0"/>
                      <w:iCs w:val="0"/>
                      <w:sz w:val="21"/>
                      <w:szCs w:val="21"/>
                      <w:lang w:val="en-US" w:eastAsia="zh-CN"/>
                    </w:rPr>
                  </w:pPr>
                  <w:r>
                    <w:rPr>
                      <w:rFonts w:hint="default" w:ascii="Times New Roman" w:hAnsi="Times New Roman" w:eastAsia="宋体" w:cs="Times New Roman"/>
                      <w:b w:val="0"/>
                      <w:bCs/>
                      <w:i w:val="0"/>
                      <w:iCs w:val="0"/>
                      <w:sz w:val="21"/>
                      <w:szCs w:val="21"/>
                      <w:lang w:val="en-US" w:eastAsia="zh-CN"/>
                    </w:rPr>
                    <w:t>产品名称</w:t>
                  </w:r>
                </w:p>
              </w:tc>
              <w:tc>
                <w:tcPr>
                  <w:tcW w:w="909" w:type="pct"/>
                  <w:noWrap w:val="0"/>
                  <w:vAlign w:val="center"/>
                </w:tcPr>
                <w:p w14:paraId="71B8FA03">
                  <w:pPr>
                    <w:pStyle w:val="36"/>
                    <w:bidi w:val="0"/>
                    <w:rPr>
                      <w:rFonts w:hint="default" w:ascii="Times New Roman" w:hAnsi="Times New Roman" w:eastAsia="宋体" w:cs="Times New Roman"/>
                      <w:b w:val="0"/>
                      <w:bCs/>
                      <w:i w:val="0"/>
                      <w:iCs w:val="0"/>
                      <w:sz w:val="21"/>
                      <w:szCs w:val="21"/>
                      <w:lang w:val="en-US" w:eastAsia="zh-CN"/>
                    </w:rPr>
                  </w:pPr>
                  <w:r>
                    <w:rPr>
                      <w:rFonts w:hint="default" w:ascii="Times New Roman" w:hAnsi="Times New Roman" w:eastAsia="宋体" w:cs="Times New Roman"/>
                      <w:b w:val="0"/>
                      <w:bCs/>
                      <w:i w:val="0"/>
                      <w:iCs w:val="0"/>
                      <w:sz w:val="21"/>
                      <w:szCs w:val="21"/>
                      <w:lang w:val="en-US" w:eastAsia="zh-CN"/>
                    </w:rPr>
                    <w:t>产能（吨/年）</w:t>
                  </w:r>
                </w:p>
              </w:tc>
              <w:tc>
                <w:tcPr>
                  <w:tcW w:w="1670" w:type="pct"/>
                  <w:noWrap w:val="0"/>
                  <w:vAlign w:val="center"/>
                </w:tcPr>
                <w:p w14:paraId="451268A5">
                  <w:pPr>
                    <w:pStyle w:val="36"/>
                    <w:bidi w:val="0"/>
                    <w:rPr>
                      <w:rFonts w:hint="default" w:ascii="Times New Roman" w:hAnsi="Times New Roman" w:eastAsia="宋体" w:cs="Times New Roman"/>
                      <w:b w:val="0"/>
                      <w:bCs/>
                      <w:i w:val="0"/>
                      <w:iCs w:val="0"/>
                      <w:sz w:val="21"/>
                      <w:szCs w:val="21"/>
                      <w:lang w:val="en-US" w:eastAsia="zh-CN"/>
                    </w:rPr>
                  </w:pPr>
                  <w:r>
                    <w:rPr>
                      <w:rFonts w:hint="default" w:ascii="Times New Roman" w:hAnsi="Times New Roman" w:eastAsia="宋体" w:cs="Times New Roman"/>
                      <w:b w:val="0"/>
                      <w:bCs/>
                      <w:i w:val="0"/>
                      <w:iCs w:val="0"/>
                      <w:sz w:val="21"/>
                      <w:szCs w:val="21"/>
                      <w:lang w:val="en-US" w:eastAsia="zh-CN"/>
                    </w:rPr>
                    <w:t>产品质量标准</w:t>
                  </w:r>
                </w:p>
              </w:tc>
              <w:tc>
                <w:tcPr>
                  <w:tcW w:w="826" w:type="pct"/>
                  <w:noWrap w:val="0"/>
                  <w:vAlign w:val="center"/>
                </w:tcPr>
                <w:p w14:paraId="68F6849B">
                  <w:pPr>
                    <w:pStyle w:val="36"/>
                    <w:bidi w:val="0"/>
                    <w:rPr>
                      <w:rFonts w:hint="default" w:ascii="Times New Roman" w:hAnsi="Times New Roman" w:eastAsia="宋体" w:cs="Times New Roman"/>
                      <w:b w:val="0"/>
                      <w:bCs/>
                      <w:i w:val="0"/>
                      <w:iCs w:val="0"/>
                      <w:sz w:val="21"/>
                      <w:szCs w:val="21"/>
                      <w:lang w:val="en-US" w:eastAsia="zh-CN"/>
                    </w:rPr>
                  </w:pPr>
                  <w:r>
                    <w:rPr>
                      <w:rFonts w:hint="default" w:ascii="Times New Roman" w:hAnsi="Times New Roman" w:eastAsia="宋体" w:cs="Times New Roman"/>
                      <w:b w:val="0"/>
                      <w:bCs/>
                      <w:i w:val="0"/>
                      <w:iCs w:val="0"/>
                      <w:sz w:val="21"/>
                      <w:szCs w:val="21"/>
                      <w:lang w:val="en-US" w:eastAsia="zh-CN"/>
                    </w:rPr>
                    <w:t>包装方式</w:t>
                  </w:r>
                </w:p>
              </w:tc>
              <w:tc>
                <w:tcPr>
                  <w:tcW w:w="541" w:type="pct"/>
                  <w:noWrap w:val="0"/>
                  <w:vAlign w:val="center"/>
                </w:tcPr>
                <w:p w14:paraId="01716831">
                  <w:pPr>
                    <w:pStyle w:val="36"/>
                    <w:bidi w:val="0"/>
                    <w:rPr>
                      <w:rFonts w:hint="default" w:ascii="Times New Roman" w:hAnsi="Times New Roman" w:eastAsia="宋体" w:cs="Times New Roman"/>
                      <w:b w:val="0"/>
                      <w:bCs/>
                      <w:i w:val="0"/>
                      <w:iCs w:val="0"/>
                      <w:sz w:val="21"/>
                      <w:szCs w:val="21"/>
                      <w:lang w:val="en-US" w:eastAsia="zh-CN"/>
                    </w:rPr>
                  </w:pPr>
                  <w:r>
                    <w:rPr>
                      <w:rFonts w:hint="default" w:ascii="Times New Roman" w:hAnsi="Times New Roman" w:eastAsia="宋体" w:cs="Times New Roman"/>
                      <w:b w:val="0"/>
                      <w:bCs/>
                      <w:i w:val="0"/>
                      <w:iCs w:val="0"/>
                      <w:sz w:val="21"/>
                      <w:szCs w:val="21"/>
                      <w:lang w:val="en-US" w:eastAsia="zh-CN"/>
                    </w:rPr>
                    <w:t>备注</w:t>
                  </w:r>
                </w:p>
              </w:tc>
            </w:tr>
            <w:tr w14:paraId="35E80B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52" w:type="pct"/>
                  <w:noWrap w:val="0"/>
                  <w:vAlign w:val="center"/>
                </w:tcPr>
                <w:p w14:paraId="7B872DF3">
                  <w:pPr>
                    <w:pStyle w:val="36"/>
                    <w:bidi w:val="0"/>
                    <w:rPr>
                      <w:rFonts w:hint="default" w:ascii="Times New Roman" w:hAnsi="Times New Roman" w:eastAsia="宋体" w:cs="Times New Roman"/>
                      <w:b w:val="0"/>
                      <w:bCs/>
                      <w:i w:val="0"/>
                      <w:iCs w:val="0"/>
                      <w:sz w:val="21"/>
                      <w:szCs w:val="21"/>
                      <w:lang w:val="en-US" w:eastAsia="zh-CN"/>
                    </w:rPr>
                  </w:pPr>
                  <w:r>
                    <w:rPr>
                      <w:rFonts w:hint="default" w:ascii="Times New Roman" w:hAnsi="Times New Roman" w:eastAsia="宋体" w:cs="Times New Roman"/>
                      <w:b w:val="0"/>
                      <w:bCs/>
                      <w:i w:val="0"/>
                      <w:iCs w:val="0"/>
                      <w:sz w:val="21"/>
                      <w:szCs w:val="21"/>
                      <w:lang w:val="en-US" w:eastAsia="zh-CN"/>
                    </w:rPr>
                    <w:t>生物质颗粒</w:t>
                  </w:r>
                </w:p>
              </w:tc>
              <w:tc>
                <w:tcPr>
                  <w:tcW w:w="909" w:type="pct"/>
                  <w:noWrap w:val="0"/>
                  <w:vAlign w:val="center"/>
                </w:tcPr>
                <w:p w14:paraId="72FE8419">
                  <w:pPr>
                    <w:pStyle w:val="36"/>
                    <w:bidi w:val="0"/>
                    <w:rPr>
                      <w:rFonts w:hint="default" w:ascii="Times New Roman" w:hAnsi="Times New Roman" w:eastAsia="宋体" w:cs="Times New Roman"/>
                      <w:b w:val="0"/>
                      <w:bCs/>
                      <w:i w:val="0"/>
                      <w:iCs w:val="0"/>
                      <w:sz w:val="21"/>
                      <w:szCs w:val="21"/>
                      <w:lang w:val="en-US" w:eastAsia="zh-CN"/>
                    </w:rPr>
                  </w:pPr>
                  <w:r>
                    <w:rPr>
                      <w:rFonts w:hint="default" w:ascii="Times New Roman" w:hAnsi="Times New Roman" w:eastAsia="宋体" w:cs="Times New Roman"/>
                      <w:b w:val="0"/>
                      <w:bCs/>
                      <w:i w:val="0"/>
                      <w:iCs w:val="0"/>
                      <w:sz w:val="21"/>
                      <w:szCs w:val="21"/>
                      <w:lang w:val="en-US" w:eastAsia="zh-CN"/>
                    </w:rPr>
                    <w:t>500</w:t>
                  </w:r>
                </w:p>
              </w:tc>
              <w:tc>
                <w:tcPr>
                  <w:tcW w:w="1670" w:type="pct"/>
                  <w:noWrap w:val="0"/>
                  <w:vAlign w:val="center"/>
                </w:tcPr>
                <w:p w14:paraId="0949A463">
                  <w:pPr>
                    <w:pStyle w:val="36"/>
                    <w:bidi w:val="0"/>
                    <w:rPr>
                      <w:rFonts w:hint="default" w:ascii="Times New Roman" w:hAnsi="Times New Roman" w:eastAsia="宋体" w:cs="Times New Roman"/>
                      <w:b w:val="0"/>
                      <w:bCs/>
                      <w:i w:val="0"/>
                      <w:iCs w:val="0"/>
                      <w:sz w:val="21"/>
                      <w:szCs w:val="21"/>
                      <w:lang w:val="en-US" w:eastAsia="zh-CN"/>
                    </w:rPr>
                  </w:pPr>
                  <w:r>
                    <w:rPr>
                      <w:rFonts w:hint="default" w:ascii="Times New Roman" w:hAnsi="Times New Roman" w:eastAsia="宋体" w:cs="Times New Roman"/>
                      <w:b w:val="0"/>
                      <w:bCs/>
                      <w:i w:val="0"/>
                      <w:iCs w:val="0"/>
                      <w:sz w:val="21"/>
                      <w:szCs w:val="21"/>
                      <w:lang w:val="en-US" w:eastAsia="zh-CN"/>
                    </w:rPr>
                    <w:t>《生物质固体成型燃料技术条件》（NY/T1878-2010）</w:t>
                  </w:r>
                </w:p>
              </w:tc>
              <w:tc>
                <w:tcPr>
                  <w:tcW w:w="826" w:type="pct"/>
                  <w:noWrap w:val="0"/>
                  <w:vAlign w:val="center"/>
                </w:tcPr>
                <w:p w14:paraId="5FD67A0C">
                  <w:pPr>
                    <w:pStyle w:val="36"/>
                    <w:bidi w:val="0"/>
                    <w:rPr>
                      <w:rFonts w:hint="default" w:ascii="Times New Roman" w:hAnsi="Times New Roman" w:eastAsia="宋体" w:cs="Times New Roman"/>
                      <w:b w:val="0"/>
                      <w:bCs/>
                      <w:i w:val="0"/>
                      <w:iCs w:val="0"/>
                      <w:sz w:val="21"/>
                      <w:szCs w:val="21"/>
                      <w:lang w:val="en-US" w:eastAsia="zh-CN"/>
                    </w:rPr>
                  </w:pPr>
                  <w:r>
                    <w:rPr>
                      <w:rFonts w:hint="default" w:ascii="Times New Roman" w:hAnsi="Times New Roman" w:eastAsia="宋体" w:cs="Times New Roman"/>
                      <w:b w:val="0"/>
                      <w:bCs/>
                      <w:i w:val="0"/>
                      <w:iCs w:val="0"/>
                      <w:sz w:val="21"/>
                      <w:szCs w:val="21"/>
                      <w:lang w:val="en-US" w:eastAsia="zh-CN"/>
                    </w:rPr>
                    <w:t>箱装、袋装</w:t>
                  </w:r>
                </w:p>
              </w:tc>
              <w:tc>
                <w:tcPr>
                  <w:tcW w:w="541" w:type="pct"/>
                  <w:noWrap w:val="0"/>
                  <w:vAlign w:val="center"/>
                </w:tcPr>
                <w:p w14:paraId="6FEB4251">
                  <w:pPr>
                    <w:pStyle w:val="36"/>
                    <w:bidi w:val="0"/>
                    <w:rPr>
                      <w:rFonts w:hint="default" w:ascii="Times New Roman" w:hAnsi="Times New Roman" w:eastAsia="宋体" w:cs="Times New Roman"/>
                      <w:b w:val="0"/>
                      <w:bCs/>
                      <w:i w:val="0"/>
                      <w:iCs w:val="0"/>
                      <w:sz w:val="21"/>
                      <w:szCs w:val="21"/>
                      <w:lang w:val="en-US" w:eastAsia="zh-CN"/>
                    </w:rPr>
                  </w:pPr>
                  <w:r>
                    <w:rPr>
                      <w:rFonts w:hint="default" w:ascii="Times New Roman" w:hAnsi="Times New Roman" w:eastAsia="宋体" w:cs="Times New Roman"/>
                      <w:b w:val="0"/>
                      <w:bCs/>
                      <w:i w:val="0"/>
                      <w:iCs w:val="0"/>
                      <w:sz w:val="21"/>
                      <w:szCs w:val="21"/>
                      <w:lang w:val="en-US" w:eastAsia="zh-CN"/>
                    </w:rPr>
                    <w:t>/</w:t>
                  </w:r>
                </w:p>
              </w:tc>
            </w:tr>
            <w:tr w14:paraId="4A4976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52" w:type="pct"/>
                  <w:noWrap w:val="0"/>
                  <w:vAlign w:val="center"/>
                </w:tcPr>
                <w:p w14:paraId="3636C63A">
                  <w:pPr>
                    <w:pStyle w:val="36"/>
                    <w:bidi w:val="0"/>
                    <w:rPr>
                      <w:rFonts w:hint="default" w:ascii="Times New Roman" w:hAnsi="Times New Roman" w:eastAsia="宋体" w:cs="Times New Roman"/>
                      <w:b w:val="0"/>
                      <w:bCs/>
                      <w:i w:val="0"/>
                      <w:iCs w:val="0"/>
                      <w:sz w:val="21"/>
                      <w:szCs w:val="21"/>
                      <w:lang w:val="en-US" w:eastAsia="zh-CN"/>
                    </w:rPr>
                  </w:pPr>
                  <w:r>
                    <w:rPr>
                      <w:rFonts w:hint="default" w:ascii="Times New Roman" w:hAnsi="Times New Roman" w:eastAsia="宋体" w:cs="Times New Roman"/>
                      <w:b w:val="0"/>
                      <w:bCs/>
                      <w:i w:val="0"/>
                      <w:iCs w:val="0"/>
                      <w:sz w:val="21"/>
                      <w:szCs w:val="21"/>
                      <w:lang w:val="en-US" w:eastAsia="zh-CN"/>
                    </w:rPr>
                    <w:t>机制炭</w:t>
                  </w:r>
                </w:p>
              </w:tc>
              <w:tc>
                <w:tcPr>
                  <w:tcW w:w="909" w:type="pct"/>
                  <w:noWrap w:val="0"/>
                  <w:vAlign w:val="center"/>
                </w:tcPr>
                <w:p w14:paraId="2E21FAE7">
                  <w:pPr>
                    <w:pStyle w:val="36"/>
                    <w:bidi w:val="0"/>
                    <w:rPr>
                      <w:rFonts w:hint="default" w:ascii="Times New Roman" w:hAnsi="Times New Roman" w:eastAsia="宋体" w:cs="Times New Roman"/>
                      <w:b w:val="0"/>
                      <w:bCs/>
                      <w:i w:val="0"/>
                      <w:iCs w:val="0"/>
                      <w:sz w:val="21"/>
                      <w:szCs w:val="21"/>
                      <w:lang w:val="en-US" w:eastAsia="zh-CN"/>
                    </w:rPr>
                  </w:pPr>
                  <w:r>
                    <w:rPr>
                      <w:rFonts w:hint="default" w:ascii="Times New Roman" w:hAnsi="Times New Roman" w:eastAsia="宋体" w:cs="Times New Roman"/>
                      <w:b w:val="0"/>
                      <w:bCs/>
                      <w:i w:val="0"/>
                      <w:iCs w:val="0"/>
                      <w:sz w:val="21"/>
                      <w:szCs w:val="21"/>
                      <w:lang w:val="en-US" w:eastAsia="zh-CN"/>
                    </w:rPr>
                    <w:t>3000</w:t>
                  </w:r>
                </w:p>
              </w:tc>
              <w:tc>
                <w:tcPr>
                  <w:tcW w:w="1670" w:type="pct"/>
                  <w:noWrap w:val="0"/>
                  <w:vAlign w:val="center"/>
                </w:tcPr>
                <w:p w14:paraId="1A18A4A1">
                  <w:pPr>
                    <w:pStyle w:val="36"/>
                    <w:bidi w:val="0"/>
                    <w:rPr>
                      <w:rFonts w:hint="default" w:ascii="Times New Roman" w:hAnsi="Times New Roman" w:eastAsia="宋体" w:cs="Times New Roman"/>
                      <w:b w:val="0"/>
                      <w:bCs/>
                      <w:i w:val="0"/>
                      <w:iCs w:val="0"/>
                      <w:sz w:val="21"/>
                      <w:szCs w:val="21"/>
                      <w:lang w:val="en-US" w:eastAsia="zh-CN"/>
                    </w:rPr>
                  </w:pPr>
                  <w:r>
                    <w:rPr>
                      <w:rFonts w:hint="default" w:ascii="Times New Roman" w:hAnsi="Times New Roman" w:eastAsia="宋体" w:cs="Times New Roman"/>
                      <w:b w:val="0"/>
                      <w:bCs/>
                      <w:i w:val="0"/>
                      <w:iCs w:val="0"/>
                      <w:sz w:val="21"/>
                      <w:szCs w:val="21"/>
                      <w:lang w:val="en-US" w:eastAsia="zh-CN"/>
                    </w:rPr>
                    <w:t>参照《木炭》（GB/T 17664-2024）和《生物质棒状成型炭》（LY/T1973-2023）</w:t>
                  </w:r>
                </w:p>
              </w:tc>
              <w:tc>
                <w:tcPr>
                  <w:tcW w:w="826" w:type="pct"/>
                  <w:noWrap w:val="0"/>
                  <w:vAlign w:val="center"/>
                </w:tcPr>
                <w:p w14:paraId="4BB3CB88">
                  <w:pPr>
                    <w:pStyle w:val="36"/>
                    <w:bidi w:val="0"/>
                    <w:rPr>
                      <w:rFonts w:hint="default" w:ascii="Times New Roman" w:hAnsi="Times New Roman" w:eastAsia="宋体" w:cs="Times New Roman"/>
                      <w:b w:val="0"/>
                      <w:bCs/>
                      <w:i w:val="0"/>
                      <w:iCs w:val="0"/>
                      <w:sz w:val="21"/>
                      <w:szCs w:val="21"/>
                      <w:lang w:val="en-US" w:eastAsia="zh-CN"/>
                    </w:rPr>
                  </w:pPr>
                  <w:r>
                    <w:rPr>
                      <w:rFonts w:hint="default" w:ascii="Times New Roman" w:hAnsi="Times New Roman" w:eastAsia="宋体" w:cs="Times New Roman"/>
                      <w:b w:val="0"/>
                      <w:bCs/>
                      <w:i w:val="0"/>
                      <w:iCs w:val="0"/>
                      <w:sz w:val="21"/>
                      <w:szCs w:val="21"/>
                      <w:lang w:val="en-US" w:eastAsia="zh-CN"/>
                    </w:rPr>
                    <w:t>箱装、袋装</w:t>
                  </w:r>
                </w:p>
              </w:tc>
              <w:tc>
                <w:tcPr>
                  <w:tcW w:w="541" w:type="pct"/>
                  <w:noWrap w:val="0"/>
                  <w:vAlign w:val="center"/>
                </w:tcPr>
                <w:p w14:paraId="05674C4E">
                  <w:pPr>
                    <w:pStyle w:val="36"/>
                    <w:bidi w:val="0"/>
                    <w:rPr>
                      <w:rFonts w:hint="default" w:ascii="Times New Roman" w:hAnsi="Times New Roman" w:eastAsia="宋体" w:cs="Times New Roman"/>
                      <w:b w:val="0"/>
                      <w:bCs/>
                      <w:i w:val="0"/>
                      <w:iCs w:val="0"/>
                      <w:sz w:val="21"/>
                      <w:szCs w:val="21"/>
                      <w:lang w:val="en-US" w:eastAsia="zh-CN"/>
                    </w:rPr>
                  </w:pPr>
                  <w:r>
                    <w:rPr>
                      <w:rFonts w:hint="default" w:ascii="Times New Roman" w:hAnsi="Times New Roman" w:eastAsia="宋体" w:cs="Times New Roman"/>
                      <w:b w:val="0"/>
                      <w:bCs/>
                      <w:i w:val="0"/>
                      <w:iCs w:val="0"/>
                      <w:sz w:val="21"/>
                      <w:szCs w:val="21"/>
                      <w:lang w:val="en-US" w:eastAsia="zh-CN"/>
                    </w:rPr>
                    <w:t>/</w:t>
                  </w:r>
                </w:p>
              </w:tc>
            </w:tr>
            <w:tr w14:paraId="770733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52" w:type="pct"/>
                  <w:noWrap w:val="0"/>
                  <w:vAlign w:val="center"/>
                </w:tcPr>
                <w:p w14:paraId="2281698D">
                  <w:pPr>
                    <w:pStyle w:val="36"/>
                    <w:bidi w:val="0"/>
                    <w:rPr>
                      <w:rFonts w:hint="default" w:ascii="Times New Roman" w:hAnsi="Times New Roman" w:eastAsia="宋体" w:cs="Times New Roman"/>
                      <w:b w:val="0"/>
                      <w:bCs/>
                      <w:i w:val="0"/>
                      <w:iCs w:val="0"/>
                      <w:sz w:val="21"/>
                      <w:szCs w:val="21"/>
                      <w:lang w:val="en-US" w:eastAsia="zh-CN"/>
                    </w:rPr>
                  </w:pPr>
                  <w:r>
                    <w:rPr>
                      <w:rFonts w:hint="default" w:ascii="Times New Roman" w:hAnsi="Times New Roman" w:eastAsia="宋体" w:cs="Times New Roman"/>
                      <w:b w:val="0"/>
                      <w:bCs/>
                      <w:i w:val="0"/>
                      <w:iCs w:val="0"/>
                      <w:sz w:val="21"/>
                      <w:szCs w:val="21"/>
                      <w:lang w:val="en-US" w:eastAsia="zh-CN"/>
                    </w:rPr>
                    <w:t>副产品木醋液、木焦油</w:t>
                  </w:r>
                </w:p>
              </w:tc>
              <w:tc>
                <w:tcPr>
                  <w:tcW w:w="909" w:type="pct"/>
                  <w:noWrap w:val="0"/>
                  <w:vAlign w:val="center"/>
                </w:tcPr>
                <w:p w14:paraId="095F1BB5">
                  <w:pPr>
                    <w:pStyle w:val="36"/>
                    <w:bidi w:val="0"/>
                    <w:rPr>
                      <w:rFonts w:hint="default" w:ascii="Times New Roman" w:hAnsi="Times New Roman" w:eastAsia="宋体" w:cs="Times New Roman"/>
                      <w:b w:val="0"/>
                      <w:bCs/>
                      <w:i w:val="0"/>
                      <w:iCs w:val="0"/>
                      <w:sz w:val="21"/>
                      <w:szCs w:val="21"/>
                      <w:lang w:val="en-US" w:eastAsia="zh-CN"/>
                    </w:rPr>
                  </w:pPr>
                  <w:r>
                    <w:rPr>
                      <w:rFonts w:hint="default" w:ascii="Times New Roman" w:hAnsi="Times New Roman" w:eastAsia="宋体" w:cs="Times New Roman"/>
                      <w:b w:val="0"/>
                      <w:bCs/>
                      <w:i w:val="0"/>
                      <w:iCs w:val="0"/>
                      <w:sz w:val="21"/>
                      <w:szCs w:val="21"/>
                      <w:lang w:val="en-US" w:eastAsia="zh-CN"/>
                    </w:rPr>
                    <w:t>3974.89</w:t>
                  </w:r>
                </w:p>
              </w:tc>
              <w:tc>
                <w:tcPr>
                  <w:tcW w:w="1670" w:type="pct"/>
                  <w:noWrap w:val="0"/>
                  <w:vAlign w:val="center"/>
                </w:tcPr>
                <w:p w14:paraId="1C940789">
                  <w:pPr>
                    <w:pStyle w:val="36"/>
                    <w:bidi w:val="0"/>
                    <w:rPr>
                      <w:rFonts w:hint="default" w:ascii="Times New Roman" w:hAnsi="Times New Roman" w:eastAsia="宋体" w:cs="Times New Roman"/>
                      <w:b w:val="0"/>
                      <w:bCs/>
                      <w:i w:val="0"/>
                      <w:iCs w:val="0"/>
                      <w:sz w:val="21"/>
                      <w:szCs w:val="21"/>
                      <w:lang w:val="en-US" w:eastAsia="zh-CN"/>
                    </w:rPr>
                  </w:pPr>
                  <w:r>
                    <w:rPr>
                      <w:rFonts w:hint="default" w:ascii="Times New Roman" w:hAnsi="Times New Roman" w:eastAsia="宋体" w:cs="Times New Roman"/>
                      <w:b w:val="0"/>
                      <w:bCs/>
                      <w:i w:val="0"/>
                      <w:iCs w:val="0"/>
                      <w:sz w:val="21"/>
                      <w:szCs w:val="21"/>
                      <w:lang w:val="en-US" w:eastAsia="zh-CN"/>
                    </w:rPr>
                    <w:t>/</w:t>
                  </w:r>
                </w:p>
              </w:tc>
              <w:tc>
                <w:tcPr>
                  <w:tcW w:w="826" w:type="pct"/>
                  <w:noWrap w:val="0"/>
                  <w:vAlign w:val="center"/>
                </w:tcPr>
                <w:p w14:paraId="1156C613">
                  <w:pPr>
                    <w:pStyle w:val="36"/>
                    <w:bidi w:val="0"/>
                    <w:rPr>
                      <w:rFonts w:hint="default" w:ascii="Times New Roman" w:hAnsi="Times New Roman" w:eastAsia="宋体" w:cs="Times New Roman"/>
                      <w:b w:val="0"/>
                      <w:bCs/>
                      <w:i w:val="0"/>
                      <w:iCs w:val="0"/>
                      <w:sz w:val="21"/>
                      <w:szCs w:val="21"/>
                      <w:lang w:val="en-US" w:eastAsia="zh-CN"/>
                    </w:rPr>
                  </w:pPr>
                  <w:r>
                    <w:rPr>
                      <w:rFonts w:hint="default" w:ascii="Times New Roman" w:hAnsi="Times New Roman" w:eastAsia="宋体" w:cs="Times New Roman"/>
                      <w:b w:val="0"/>
                      <w:bCs/>
                      <w:i w:val="0"/>
                      <w:iCs w:val="0"/>
                      <w:sz w:val="21"/>
                      <w:szCs w:val="21"/>
                      <w:lang w:val="en-US" w:eastAsia="zh-CN"/>
                    </w:rPr>
                    <w:t>封闭桶装</w:t>
                  </w:r>
                </w:p>
              </w:tc>
              <w:tc>
                <w:tcPr>
                  <w:tcW w:w="541" w:type="pct"/>
                  <w:noWrap w:val="0"/>
                  <w:vAlign w:val="center"/>
                </w:tcPr>
                <w:p w14:paraId="0C49F9EE">
                  <w:pPr>
                    <w:pStyle w:val="36"/>
                    <w:bidi w:val="0"/>
                    <w:rPr>
                      <w:rFonts w:hint="default" w:ascii="Times New Roman" w:hAnsi="Times New Roman" w:eastAsia="宋体" w:cs="Times New Roman"/>
                      <w:b w:val="0"/>
                      <w:bCs/>
                      <w:i w:val="0"/>
                      <w:iCs w:val="0"/>
                      <w:sz w:val="21"/>
                      <w:szCs w:val="21"/>
                      <w:lang w:val="en-US" w:eastAsia="zh-CN"/>
                    </w:rPr>
                  </w:pPr>
                  <w:r>
                    <w:rPr>
                      <w:rFonts w:hint="default" w:ascii="Times New Roman" w:hAnsi="Times New Roman" w:eastAsia="宋体" w:cs="Times New Roman"/>
                      <w:b w:val="0"/>
                      <w:bCs/>
                      <w:i w:val="0"/>
                      <w:iCs w:val="0"/>
                      <w:sz w:val="21"/>
                      <w:szCs w:val="21"/>
                      <w:lang w:val="en-US" w:eastAsia="zh-CN"/>
                    </w:rPr>
                    <w:t>/</w:t>
                  </w:r>
                </w:p>
              </w:tc>
            </w:tr>
          </w:tbl>
          <w:p w14:paraId="40D34F4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rPr>
            </w:pPr>
            <w:r>
              <w:rPr>
                <w:rFonts w:hint="default"/>
              </w:rPr>
              <w:t>项目产品质量执行《生物质固体成型燃料技术条件》（NY/T1878-2010）中</w:t>
            </w:r>
            <w:r>
              <w:rPr>
                <w:rFonts w:hint="eastAsia"/>
                <w:lang w:eastAsia="zh-CN"/>
              </w:rPr>
              <w:t>“</w:t>
            </w:r>
            <w:r>
              <w:rPr>
                <w:rFonts w:hint="default"/>
              </w:rPr>
              <w:t>主要原料为木本类颗粒状燃料</w:t>
            </w:r>
            <w:r>
              <w:rPr>
                <w:rFonts w:hint="eastAsia"/>
                <w:lang w:eastAsia="zh-CN"/>
              </w:rPr>
              <w:t>”</w:t>
            </w:r>
            <w:r>
              <w:rPr>
                <w:rFonts w:hint="default"/>
              </w:rPr>
              <w:t>标准，具体产品产量及执行标准见下表：</w:t>
            </w:r>
          </w:p>
          <w:p w14:paraId="50817308">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b/>
                <w:bCs/>
              </w:rPr>
            </w:pPr>
            <w:r>
              <w:rPr>
                <w:rFonts w:hint="default"/>
                <w:b/>
                <w:bCs/>
              </w:rPr>
              <w:t>表2-</w:t>
            </w:r>
            <w:r>
              <w:rPr>
                <w:rFonts w:hint="eastAsia"/>
                <w:b/>
                <w:bCs/>
                <w:lang w:val="en-US" w:eastAsia="zh-CN"/>
              </w:rPr>
              <w:t xml:space="preserve">4  </w:t>
            </w:r>
            <w:r>
              <w:rPr>
                <w:rFonts w:hint="default"/>
                <w:b/>
                <w:bCs/>
              </w:rPr>
              <w:t>项目</w:t>
            </w:r>
            <w:r>
              <w:rPr>
                <w:rFonts w:hint="eastAsia"/>
                <w:b/>
                <w:bCs/>
                <w:lang w:val="en-US" w:eastAsia="zh-CN"/>
              </w:rPr>
              <w:t>生物质颗粒燃料</w:t>
            </w:r>
            <w:r>
              <w:rPr>
                <w:rFonts w:hint="default"/>
                <w:b/>
                <w:bCs/>
              </w:rPr>
              <w:t>产品执行标准一览表</w:t>
            </w:r>
          </w:p>
          <w:tbl>
            <w:tblPr>
              <w:tblStyle w:val="29"/>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82"/>
              <w:gridCol w:w="717"/>
              <w:gridCol w:w="907"/>
              <w:gridCol w:w="859"/>
              <w:gridCol w:w="1179"/>
              <w:gridCol w:w="788"/>
              <w:gridCol w:w="714"/>
              <w:gridCol w:w="883"/>
              <w:gridCol w:w="859"/>
              <w:gridCol w:w="1492"/>
            </w:tblGrid>
            <w:tr w14:paraId="602D431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79" w:type="pct"/>
                  <w:vMerge w:val="restart"/>
                  <w:tcBorders>
                    <w:top w:val="single" w:color="auto" w:sz="4" w:space="0"/>
                    <w:left w:val="single" w:color="auto" w:sz="0" w:space="0"/>
                  </w:tcBorders>
                  <w:noWrap w:val="0"/>
                  <w:vAlign w:val="center"/>
                </w:tcPr>
                <w:p w14:paraId="05003620">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snapToGrid w:val="0"/>
                      <w:szCs w:val="21"/>
                    </w:rPr>
                  </w:pPr>
                  <w:r>
                    <w:rPr>
                      <w:rFonts w:hint="default" w:ascii="Times New Roman" w:hAnsi="Times New Roman" w:eastAsia="宋体" w:cs="Times New Roman"/>
                      <w:b w:val="0"/>
                      <w:bCs/>
                      <w:snapToGrid w:val="0"/>
                      <w:szCs w:val="21"/>
                    </w:rPr>
                    <w:t>产品名称</w:t>
                  </w:r>
                </w:p>
              </w:tc>
              <w:tc>
                <w:tcPr>
                  <w:tcW w:w="390" w:type="pct"/>
                  <w:vMerge w:val="restart"/>
                  <w:tcBorders>
                    <w:top w:val="single" w:color="auto" w:sz="4" w:space="0"/>
                  </w:tcBorders>
                  <w:noWrap w:val="0"/>
                  <w:vAlign w:val="center"/>
                </w:tcPr>
                <w:p w14:paraId="3919243D">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snapToGrid w:val="0"/>
                      <w:szCs w:val="21"/>
                    </w:rPr>
                  </w:pPr>
                  <w:r>
                    <w:rPr>
                      <w:rFonts w:hint="default" w:ascii="Times New Roman" w:hAnsi="Times New Roman" w:eastAsia="宋体" w:cs="Times New Roman"/>
                      <w:b w:val="0"/>
                      <w:bCs/>
                      <w:snapToGrid w:val="0"/>
                      <w:szCs w:val="21"/>
                    </w:rPr>
                    <w:t>产量</w:t>
                  </w:r>
                </w:p>
              </w:tc>
              <w:tc>
                <w:tcPr>
                  <w:tcW w:w="4129" w:type="pct"/>
                  <w:gridSpan w:val="8"/>
                  <w:tcBorders>
                    <w:top w:val="single" w:color="auto" w:sz="4" w:space="0"/>
                    <w:right w:val="single" w:color="auto" w:sz="4" w:space="0"/>
                  </w:tcBorders>
                  <w:noWrap w:val="0"/>
                  <w:vAlign w:val="center"/>
                </w:tcPr>
                <w:p w14:paraId="1281AA3D">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snapToGrid w:val="0"/>
                      <w:szCs w:val="21"/>
                    </w:rPr>
                  </w:pPr>
                  <w:r>
                    <w:rPr>
                      <w:rFonts w:hint="default" w:ascii="Times New Roman" w:hAnsi="Times New Roman" w:eastAsia="宋体" w:cs="Times New Roman"/>
                      <w:b w:val="0"/>
                      <w:bCs/>
                      <w:snapToGrid w:val="0"/>
                      <w:szCs w:val="21"/>
                    </w:rPr>
                    <w:t>执行标准（NY/T1878-2010）中指标参数及限值</w:t>
                  </w:r>
                </w:p>
              </w:tc>
            </w:tr>
            <w:tr w14:paraId="0120FDA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79" w:type="pct"/>
                  <w:vMerge w:val="continue"/>
                  <w:tcBorders>
                    <w:left w:val="single" w:color="auto" w:sz="4" w:space="0"/>
                  </w:tcBorders>
                  <w:noWrap w:val="0"/>
                  <w:vAlign w:val="center"/>
                </w:tcPr>
                <w:p w14:paraId="7ED09B67">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snapToGrid w:val="0"/>
                      <w:szCs w:val="21"/>
                    </w:rPr>
                  </w:pPr>
                </w:p>
              </w:tc>
              <w:tc>
                <w:tcPr>
                  <w:tcW w:w="390" w:type="pct"/>
                  <w:vMerge w:val="continue"/>
                  <w:noWrap w:val="0"/>
                  <w:vAlign w:val="center"/>
                </w:tcPr>
                <w:p w14:paraId="42096849">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snapToGrid w:val="0"/>
                      <w:szCs w:val="21"/>
                    </w:rPr>
                  </w:pPr>
                </w:p>
              </w:tc>
              <w:tc>
                <w:tcPr>
                  <w:tcW w:w="492" w:type="pct"/>
                  <w:noWrap w:val="0"/>
                  <w:vAlign w:val="center"/>
                </w:tcPr>
                <w:p w14:paraId="1C8BAC66">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snapToGrid w:val="0"/>
                      <w:szCs w:val="21"/>
                    </w:rPr>
                  </w:pPr>
                  <w:r>
                    <w:rPr>
                      <w:rFonts w:hint="default" w:ascii="Times New Roman" w:hAnsi="Times New Roman" w:eastAsia="宋体" w:cs="Times New Roman"/>
                      <w:b w:val="0"/>
                      <w:bCs/>
                      <w:snapToGrid w:val="0"/>
                      <w:szCs w:val="21"/>
                    </w:rPr>
                    <w:t>最大直径，mm</w:t>
                  </w:r>
                </w:p>
              </w:tc>
              <w:tc>
                <w:tcPr>
                  <w:tcW w:w="466" w:type="pct"/>
                  <w:noWrap w:val="0"/>
                  <w:vAlign w:val="center"/>
                </w:tcPr>
                <w:p w14:paraId="689F146D">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snapToGrid w:val="0"/>
                      <w:szCs w:val="21"/>
                    </w:rPr>
                  </w:pPr>
                  <w:r>
                    <w:rPr>
                      <w:rFonts w:hint="default" w:ascii="Times New Roman" w:hAnsi="Times New Roman" w:eastAsia="宋体" w:cs="Times New Roman"/>
                      <w:b w:val="0"/>
                      <w:bCs/>
                      <w:snapToGrid w:val="0"/>
                      <w:szCs w:val="21"/>
                    </w:rPr>
                    <w:t>长度，mm</w:t>
                  </w:r>
                </w:p>
              </w:tc>
              <w:tc>
                <w:tcPr>
                  <w:tcW w:w="638" w:type="pct"/>
                  <w:noWrap w:val="0"/>
                  <w:vAlign w:val="center"/>
                </w:tcPr>
                <w:p w14:paraId="255EABD9">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snapToGrid w:val="0"/>
                      <w:szCs w:val="21"/>
                    </w:rPr>
                  </w:pPr>
                  <w:r>
                    <w:rPr>
                      <w:rFonts w:hint="default" w:ascii="Times New Roman" w:hAnsi="Times New Roman" w:eastAsia="宋体" w:cs="Times New Roman"/>
                      <w:b w:val="0"/>
                      <w:bCs/>
                      <w:snapToGrid w:val="0"/>
                      <w:szCs w:val="21"/>
                    </w:rPr>
                    <w:t>燃料密度，kg/m</w:t>
                  </w:r>
                  <w:r>
                    <w:rPr>
                      <w:rFonts w:hint="default" w:ascii="Times New Roman" w:hAnsi="Times New Roman" w:eastAsia="宋体" w:cs="Times New Roman"/>
                      <w:b w:val="0"/>
                      <w:bCs/>
                      <w:snapToGrid w:val="0"/>
                      <w:szCs w:val="21"/>
                      <w:vertAlign w:val="superscript"/>
                    </w:rPr>
                    <w:t>3</w:t>
                  </w:r>
                </w:p>
              </w:tc>
              <w:tc>
                <w:tcPr>
                  <w:tcW w:w="393" w:type="pct"/>
                  <w:noWrap w:val="0"/>
                  <w:vAlign w:val="center"/>
                </w:tcPr>
                <w:p w14:paraId="7D5B0B18">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snapToGrid w:val="0"/>
                      <w:szCs w:val="21"/>
                    </w:rPr>
                  </w:pPr>
                  <w:r>
                    <w:rPr>
                      <w:rFonts w:hint="default" w:ascii="Times New Roman" w:hAnsi="Times New Roman" w:eastAsia="宋体" w:cs="Times New Roman"/>
                      <w:b w:val="0"/>
                      <w:bCs/>
                      <w:snapToGrid w:val="0"/>
                      <w:szCs w:val="21"/>
                    </w:rPr>
                    <w:t>水分</w:t>
                  </w:r>
                </w:p>
              </w:tc>
              <w:tc>
                <w:tcPr>
                  <w:tcW w:w="388" w:type="pct"/>
                  <w:noWrap w:val="0"/>
                  <w:vAlign w:val="center"/>
                </w:tcPr>
                <w:p w14:paraId="696A7185">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snapToGrid w:val="0"/>
                      <w:szCs w:val="21"/>
                    </w:rPr>
                  </w:pPr>
                  <w:r>
                    <w:rPr>
                      <w:rFonts w:hint="default" w:ascii="Times New Roman" w:hAnsi="Times New Roman" w:eastAsia="宋体" w:cs="Times New Roman"/>
                      <w:b w:val="0"/>
                      <w:bCs/>
                      <w:snapToGrid w:val="0"/>
                      <w:szCs w:val="21"/>
                    </w:rPr>
                    <w:t>灰分</w:t>
                  </w:r>
                </w:p>
              </w:tc>
              <w:tc>
                <w:tcPr>
                  <w:tcW w:w="479" w:type="pct"/>
                  <w:noWrap w:val="0"/>
                  <w:vAlign w:val="center"/>
                </w:tcPr>
                <w:p w14:paraId="4F0E8D9B">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snapToGrid w:val="0"/>
                      <w:szCs w:val="21"/>
                    </w:rPr>
                  </w:pPr>
                  <w:r>
                    <w:rPr>
                      <w:rFonts w:hint="default" w:ascii="Times New Roman" w:hAnsi="Times New Roman" w:eastAsia="宋体" w:cs="Times New Roman"/>
                      <w:b w:val="0"/>
                      <w:bCs/>
                      <w:snapToGrid w:val="0"/>
                      <w:szCs w:val="21"/>
                    </w:rPr>
                    <w:t>含硫率（S）</w:t>
                  </w:r>
                </w:p>
              </w:tc>
              <w:tc>
                <w:tcPr>
                  <w:tcW w:w="466" w:type="pct"/>
                  <w:noWrap w:val="0"/>
                  <w:vAlign w:val="center"/>
                </w:tcPr>
                <w:p w14:paraId="68EC6C79">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snapToGrid w:val="0"/>
                      <w:szCs w:val="21"/>
                    </w:rPr>
                  </w:pPr>
                  <w:r>
                    <w:rPr>
                      <w:rFonts w:hint="default" w:ascii="Times New Roman" w:hAnsi="Times New Roman" w:eastAsia="宋体" w:cs="Times New Roman"/>
                      <w:b w:val="0"/>
                      <w:bCs/>
                      <w:snapToGrid w:val="0"/>
                      <w:szCs w:val="21"/>
                    </w:rPr>
                    <w:t>密度，kg/m</w:t>
                  </w:r>
                  <w:r>
                    <w:rPr>
                      <w:rFonts w:hint="default" w:ascii="Times New Roman" w:hAnsi="Times New Roman" w:eastAsia="宋体" w:cs="Times New Roman"/>
                      <w:b w:val="0"/>
                      <w:bCs/>
                      <w:snapToGrid w:val="0"/>
                      <w:szCs w:val="21"/>
                      <w:vertAlign w:val="superscript"/>
                    </w:rPr>
                    <w:t>3</w:t>
                  </w:r>
                </w:p>
              </w:tc>
              <w:tc>
                <w:tcPr>
                  <w:tcW w:w="805" w:type="pct"/>
                  <w:tcBorders>
                    <w:right w:val="single" w:color="auto" w:sz="4" w:space="0"/>
                  </w:tcBorders>
                  <w:noWrap w:val="0"/>
                  <w:vAlign w:val="center"/>
                </w:tcPr>
                <w:p w14:paraId="74560FA2">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snapToGrid w:val="0"/>
                      <w:szCs w:val="21"/>
                    </w:rPr>
                  </w:pPr>
                  <w:r>
                    <w:rPr>
                      <w:rFonts w:hint="default" w:ascii="Times New Roman" w:hAnsi="Times New Roman" w:eastAsia="宋体" w:cs="Times New Roman"/>
                      <w:b w:val="0"/>
                      <w:bCs/>
                      <w:snapToGrid w:val="0"/>
                      <w:szCs w:val="21"/>
                    </w:rPr>
                    <w:t>低位热发量（MJ/kg）</w:t>
                  </w:r>
                </w:p>
              </w:tc>
            </w:tr>
            <w:tr w14:paraId="6ECB3B2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79" w:type="pct"/>
                  <w:tcBorders>
                    <w:left w:val="single" w:color="auto" w:sz="4" w:space="0"/>
                    <w:bottom w:val="single" w:color="auto" w:sz="4" w:space="0"/>
                  </w:tcBorders>
                  <w:noWrap w:val="0"/>
                  <w:vAlign w:val="center"/>
                </w:tcPr>
                <w:p w14:paraId="07FCD408">
                  <w:pPr>
                    <w:keepNext w:val="0"/>
                    <w:keepLines w:val="0"/>
                    <w:suppressLineNumbers w:val="0"/>
                    <w:spacing w:before="0" w:beforeAutospacing="0" w:after="0" w:afterAutospacing="0"/>
                    <w:ind w:left="0" w:right="0"/>
                    <w:jc w:val="center"/>
                    <w:rPr>
                      <w:rFonts w:hint="default" w:ascii="Times New Roman" w:hAnsi="Times New Roman" w:eastAsia="宋体" w:cs="Times New Roman"/>
                      <w:bCs/>
                      <w:snapToGrid w:val="0"/>
                      <w:szCs w:val="21"/>
                    </w:rPr>
                  </w:pPr>
                  <w:r>
                    <w:rPr>
                      <w:rFonts w:hint="default" w:ascii="Times New Roman" w:hAnsi="Times New Roman" w:eastAsia="宋体" w:cs="Times New Roman"/>
                      <w:bCs/>
                      <w:snapToGrid w:val="0"/>
                      <w:szCs w:val="21"/>
                    </w:rPr>
                    <w:t>生物质</w:t>
                  </w:r>
                  <w:r>
                    <w:rPr>
                      <w:rFonts w:hint="eastAsia" w:cs="Times New Roman"/>
                      <w:bCs/>
                      <w:snapToGrid w:val="0"/>
                      <w:szCs w:val="21"/>
                      <w:lang w:val="en-US" w:eastAsia="zh-CN"/>
                    </w:rPr>
                    <w:t>颗粒</w:t>
                  </w:r>
                  <w:r>
                    <w:rPr>
                      <w:rFonts w:hint="default" w:ascii="Times New Roman" w:hAnsi="Times New Roman" w:eastAsia="宋体" w:cs="Times New Roman"/>
                      <w:bCs/>
                      <w:snapToGrid w:val="0"/>
                      <w:szCs w:val="21"/>
                    </w:rPr>
                    <w:t>燃料</w:t>
                  </w:r>
                </w:p>
              </w:tc>
              <w:tc>
                <w:tcPr>
                  <w:tcW w:w="390" w:type="pct"/>
                  <w:tcBorders>
                    <w:bottom w:val="single" w:color="auto" w:sz="4" w:space="0"/>
                  </w:tcBorders>
                  <w:noWrap w:val="0"/>
                  <w:vAlign w:val="center"/>
                </w:tcPr>
                <w:p w14:paraId="4168B033">
                  <w:pPr>
                    <w:keepNext w:val="0"/>
                    <w:keepLines w:val="0"/>
                    <w:suppressLineNumbers w:val="0"/>
                    <w:spacing w:before="0" w:beforeAutospacing="0" w:after="0" w:afterAutospacing="0"/>
                    <w:ind w:left="0" w:right="0"/>
                    <w:jc w:val="center"/>
                    <w:rPr>
                      <w:rFonts w:hint="default" w:ascii="Times New Roman" w:hAnsi="Times New Roman" w:eastAsia="宋体" w:cs="Times New Roman"/>
                      <w:bCs/>
                      <w:snapToGrid w:val="0"/>
                      <w:szCs w:val="21"/>
                    </w:rPr>
                  </w:pPr>
                  <w:r>
                    <w:rPr>
                      <w:rFonts w:hint="default" w:ascii="Times New Roman" w:hAnsi="Times New Roman" w:eastAsia="宋体" w:cs="Times New Roman"/>
                      <w:bCs/>
                      <w:snapToGrid w:val="0"/>
                      <w:szCs w:val="21"/>
                    </w:rPr>
                    <w:t>1万t/a</w:t>
                  </w:r>
                </w:p>
              </w:tc>
              <w:tc>
                <w:tcPr>
                  <w:tcW w:w="492" w:type="pct"/>
                  <w:tcBorders>
                    <w:bottom w:val="single" w:color="auto" w:sz="4" w:space="0"/>
                  </w:tcBorders>
                  <w:noWrap w:val="0"/>
                  <w:vAlign w:val="center"/>
                </w:tcPr>
                <w:p w14:paraId="253659D7">
                  <w:pPr>
                    <w:keepNext w:val="0"/>
                    <w:keepLines w:val="0"/>
                    <w:suppressLineNumbers w:val="0"/>
                    <w:spacing w:before="0" w:beforeAutospacing="0" w:after="0" w:afterAutospacing="0"/>
                    <w:ind w:left="0" w:right="0"/>
                    <w:jc w:val="center"/>
                    <w:rPr>
                      <w:rFonts w:hint="default" w:ascii="Times New Roman" w:hAnsi="Times New Roman" w:eastAsia="宋体" w:cs="Times New Roman"/>
                      <w:bCs/>
                      <w:snapToGrid w:val="0"/>
                      <w:szCs w:val="21"/>
                    </w:rPr>
                  </w:pPr>
                  <w:r>
                    <w:rPr>
                      <w:rFonts w:hint="default" w:ascii="Times New Roman" w:hAnsi="Times New Roman" w:eastAsia="宋体" w:cs="Times New Roman"/>
                      <w:bCs/>
                      <w:snapToGrid w:val="0"/>
                      <w:szCs w:val="21"/>
                    </w:rPr>
                    <w:t>≤25</w:t>
                  </w:r>
                </w:p>
              </w:tc>
              <w:tc>
                <w:tcPr>
                  <w:tcW w:w="466" w:type="pct"/>
                  <w:tcBorders>
                    <w:bottom w:val="single" w:color="auto" w:sz="4" w:space="0"/>
                  </w:tcBorders>
                  <w:noWrap w:val="0"/>
                  <w:vAlign w:val="center"/>
                </w:tcPr>
                <w:p w14:paraId="69D96C8A">
                  <w:pPr>
                    <w:keepNext w:val="0"/>
                    <w:keepLines w:val="0"/>
                    <w:suppressLineNumbers w:val="0"/>
                    <w:spacing w:before="0" w:beforeAutospacing="0" w:after="0" w:afterAutospacing="0"/>
                    <w:ind w:left="0" w:right="0"/>
                    <w:jc w:val="center"/>
                    <w:rPr>
                      <w:rFonts w:hint="default" w:ascii="Times New Roman" w:hAnsi="Times New Roman" w:eastAsia="宋体" w:cs="Times New Roman"/>
                      <w:bCs/>
                      <w:snapToGrid w:val="0"/>
                      <w:szCs w:val="21"/>
                    </w:rPr>
                  </w:pPr>
                  <w:r>
                    <w:rPr>
                      <w:rFonts w:hint="default" w:ascii="Times New Roman" w:hAnsi="Times New Roman" w:eastAsia="宋体" w:cs="Times New Roman"/>
                      <w:bCs/>
                      <w:snapToGrid w:val="0"/>
                      <w:szCs w:val="21"/>
                    </w:rPr>
                    <w:t>≤34</w:t>
                  </w:r>
                </w:p>
              </w:tc>
              <w:tc>
                <w:tcPr>
                  <w:tcW w:w="638" w:type="pct"/>
                  <w:tcBorders>
                    <w:bottom w:val="single" w:color="auto" w:sz="4" w:space="0"/>
                  </w:tcBorders>
                  <w:noWrap w:val="0"/>
                  <w:vAlign w:val="center"/>
                </w:tcPr>
                <w:p w14:paraId="58E303A5">
                  <w:pPr>
                    <w:keepNext w:val="0"/>
                    <w:keepLines w:val="0"/>
                    <w:suppressLineNumbers w:val="0"/>
                    <w:spacing w:before="0" w:beforeAutospacing="0" w:after="0" w:afterAutospacing="0"/>
                    <w:ind w:left="0" w:right="0"/>
                    <w:jc w:val="center"/>
                    <w:rPr>
                      <w:rFonts w:hint="default" w:ascii="Times New Roman" w:hAnsi="Times New Roman" w:eastAsia="宋体" w:cs="Times New Roman"/>
                      <w:bCs/>
                      <w:snapToGrid w:val="0"/>
                      <w:szCs w:val="21"/>
                    </w:rPr>
                  </w:pPr>
                  <w:r>
                    <w:rPr>
                      <w:rFonts w:hint="default" w:ascii="Times New Roman" w:hAnsi="Times New Roman" w:eastAsia="宋体" w:cs="Times New Roman"/>
                      <w:bCs/>
                      <w:snapToGrid w:val="0"/>
                      <w:szCs w:val="21"/>
                    </w:rPr>
                    <w:t>≥1000</w:t>
                  </w:r>
                </w:p>
              </w:tc>
              <w:tc>
                <w:tcPr>
                  <w:tcW w:w="393" w:type="pct"/>
                  <w:tcBorders>
                    <w:bottom w:val="single" w:color="auto" w:sz="4" w:space="0"/>
                  </w:tcBorders>
                  <w:noWrap w:val="0"/>
                  <w:vAlign w:val="center"/>
                </w:tcPr>
                <w:p w14:paraId="2C93ABF2">
                  <w:pPr>
                    <w:keepNext w:val="0"/>
                    <w:keepLines w:val="0"/>
                    <w:suppressLineNumbers w:val="0"/>
                    <w:spacing w:before="0" w:beforeAutospacing="0" w:after="0" w:afterAutospacing="0"/>
                    <w:ind w:left="0" w:right="0"/>
                    <w:jc w:val="center"/>
                    <w:rPr>
                      <w:rFonts w:hint="default" w:ascii="Times New Roman" w:hAnsi="Times New Roman" w:eastAsia="宋体" w:cs="Times New Roman"/>
                      <w:bCs/>
                      <w:snapToGrid w:val="0"/>
                      <w:szCs w:val="21"/>
                    </w:rPr>
                  </w:pPr>
                  <w:r>
                    <w:rPr>
                      <w:rFonts w:hint="default" w:ascii="Times New Roman" w:hAnsi="Times New Roman" w:eastAsia="宋体" w:cs="Times New Roman"/>
                      <w:bCs/>
                      <w:snapToGrid w:val="0"/>
                      <w:szCs w:val="21"/>
                    </w:rPr>
                    <w:t>≤13%</w:t>
                  </w:r>
                </w:p>
              </w:tc>
              <w:tc>
                <w:tcPr>
                  <w:tcW w:w="388" w:type="pct"/>
                  <w:tcBorders>
                    <w:bottom w:val="single" w:color="auto" w:sz="4" w:space="0"/>
                  </w:tcBorders>
                  <w:noWrap w:val="0"/>
                  <w:vAlign w:val="center"/>
                </w:tcPr>
                <w:p w14:paraId="0533B4E0">
                  <w:pPr>
                    <w:keepNext w:val="0"/>
                    <w:keepLines w:val="0"/>
                    <w:suppressLineNumbers w:val="0"/>
                    <w:spacing w:before="0" w:beforeAutospacing="0" w:after="0" w:afterAutospacing="0"/>
                    <w:ind w:left="0" w:right="0"/>
                    <w:jc w:val="center"/>
                    <w:rPr>
                      <w:rFonts w:hint="default" w:ascii="Times New Roman" w:hAnsi="Times New Roman" w:eastAsia="宋体" w:cs="Times New Roman"/>
                      <w:bCs/>
                      <w:snapToGrid w:val="0"/>
                      <w:szCs w:val="21"/>
                    </w:rPr>
                  </w:pPr>
                  <w:r>
                    <w:rPr>
                      <w:rFonts w:hint="default" w:ascii="Times New Roman" w:hAnsi="Times New Roman" w:eastAsia="宋体" w:cs="Times New Roman"/>
                      <w:bCs/>
                      <w:snapToGrid w:val="0"/>
                      <w:szCs w:val="21"/>
                    </w:rPr>
                    <w:t>6%</w:t>
                  </w:r>
                </w:p>
              </w:tc>
              <w:tc>
                <w:tcPr>
                  <w:tcW w:w="479" w:type="pct"/>
                  <w:tcBorders>
                    <w:bottom w:val="single" w:color="auto" w:sz="4" w:space="0"/>
                  </w:tcBorders>
                  <w:noWrap w:val="0"/>
                  <w:vAlign w:val="center"/>
                </w:tcPr>
                <w:p w14:paraId="0AD15382">
                  <w:pPr>
                    <w:keepNext w:val="0"/>
                    <w:keepLines w:val="0"/>
                    <w:suppressLineNumbers w:val="0"/>
                    <w:spacing w:before="0" w:beforeAutospacing="0" w:after="0" w:afterAutospacing="0"/>
                    <w:ind w:left="0" w:right="0"/>
                    <w:jc w:val="center"/>
                    <w:rPr>
                      <w:rFonts w:hint="default" w:ascii="Times New Roman" w:hAnsi="Times New Roman" w:eastAsia="宋体" w:cs="Times New Roman"/>
                      <w:bCs/>
                      <w:snapToGrid w:val="0"/>
                      <w:szCs w:val="21"/>
                    </w:rPr>
                  </w:pPr>
                  <w:r>
                    <w:rPr>
                      <w:rFonts w:hint="default" w:ascii="Times New Roman" w:hAnsi="Times New Roman" w:eastAsia="宋体" w:cs="Times New Roman"/>
                      <w:bCs/>
                      <w:snapToGrid w:val="0"/>
                      <w:szCs w:val="21"/>
                    </w:rPr>
                    <w:t>≤0.2%</w:t>
                  </w:r>
                </w:p>
              </w:tc>
              <w:tc>
                <w:tcPr>
                  <w:tcW w:w="466" w:type="pct"/>
                  <w:tcBorders>
                    <w:bottom w:val="single" w:color="auto" w:sz="4" w:space="0"/>
                  </w:tcBorders>
                  <w:noWrap w:val="0"/>
                  <w:vAlign w:val="center"/>
                </w:tcPr>
                <w:p w14:paraId="06C01F40">
                  <w:pPr>
                    <w:keepNext w:val="0"/>
                    <w:keepLines w:val="0"/>
                    <w:suppressLineNumbers w:val="0"/>
                    <w:spacing w:before="0" w:beforeAutospacing="0" w:after="0" w:afterAutospacing="0"/>
                    <w:ind w:left="0" w:right="0"/>
                    <w:jc w:val="center"/>
                    <w:rPr>
                      <w:rFonts w:hint="default" w:ascii="Times New Roman" w:hAnsi="Times New Roman" w:eastAsia="宋体" w:cs="Times New Roman"/>
                      <w:bCs/>
                      <w:snapToGrid w:val="0"/>
                      <w:szCs w:val="21"/>
                    </w:rPr>
                  </w:pPr>
                  <w:r>
                    <w:rPr>
                      <w:rFonts w:hint="default" w:ascii="Times New Roman" w:hAnsi="Times New Roman" w:eastAsia="宋体" w:cs="Times New Roman"/>
                      <w:bCs/>
                      <w:snapToGrid w:val="0"/>
                      <w:szCs w:val="21"/>
                    </w:rPr>
                    <w:t>1000</w:t>
                  </w:r>
                </w:p>
              </w:tc>
              <w:tc>
                <w:tcPr>
                  <w:tcW w:w="805" w:type="pct"/>
                  <w:tcBorders>
                    <w:bottom w:val="single" w:color="auto" w:sz="4" w:space="0"/>
                    <w:right w:val="single" w:color="auto" w:sz="4" w:space="0"/>
                  </w:tcBorders>
                  <w:noWrap w:val="0"/>
                  <w:vAlign w:val="center"/>
                </w:tcPr>
                <w:p w14:paraId="4D78542C">
                  <w:pPr>
                    <w:keepNext w:val="0"/>
                    <w:keepLines w:val="0"/>
                    <w:suppressLineNumbers w:val="0"/>
                    <w:spacing w:before="0" w:beforeAutospacing="0" w:after="0" w:afterAutospacing="0"/>
                    <w:ind w:left="0" w:right="0"/>
                    <w:jc w:val="center"/>
                    <w:rPr>
                      <w:rFonts w:hint="default" w:ascii="Times New Roman" w:hAnsi="Times New Roman" w:eastAsia="宋体" w:cs="Times New Roman"/>
                      <w:bCs/>
                      <w:snapToGrid w:val="0"/>
                      <w:szCs w:val="21"/>
                    </w:rPr>
                  </w:pPr>
                  <w:r>
                    <w:rPr>
                      <w:rFonts w:hint="default" w:ascii="Times New Roman" w:hAnsi="Times New Roman" w:eastAsia="宋体" w:cs="Times New Roman"/>
                      <w:bCs/>
                      <w:snapToGrid w:val="0"/>
                      <w:szCs w:val="21"/>
                    </w:rPr>
                    <w:t>16.9</w:t>
                  </w:r>
                </w:p>
              </w:tc>
            </w:tr>
          </w:tbl>
          <w:p w14:paraId="6374318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left"/>
              <w:textAlignment w:val="auto"/>
              <w:rPr>
                <w:rFonts w:hint="eastAsia" w:ascii="Times New Roman" w:hAnsi="Times New Roman" w:eastAsia="宋体" w:cs="Times New Roman"/>
                <w:bCs/>
                <w:color w:val="000000" w:themeColor="text1"/>
                <w:sz w:val="24"/>
                <w:szCs w:val="24"/>
                <w:highlight w:val="none"/>
                <w:u w:val="none" w:color="auto"/>
                <w:lang w:val="en-US" w:eastAsia="zh-CN"/>
                <w14:textFill>
                  <w14:solidFill>
                    <w14:schemeClr w14:val="tx1"/>
                  </w14:solidFill>
                </w14:textFill>
              </w:rPr>
            </w:pPr>
            <w:r>
              <w:rPr>
                <w:rFonts w:hint="eastAsia" w:ascii="Times New Roman" w:hAnsi="Times New Roman" w:eastAsia="宋体" w:cs="Times New Roman"/>
                <w:bCs/>
                <w:color w:val="000000" w:themeColor="text1"/>
                <w:sz w:val="24"/>
                <w:szCs w:val="24"/>
                <w:highlight w:val="none"/>
                <w:u w:val="none" w:color="auto"/>
                <w:lang w:val="en-US" w:eastAsia="zh-CN"/>
                <w14:textFill>
                  <w14:solidFill>
                    <w14:schemeClr w14:val="tx1"/>
                  </w14:solidFill>
                </w14:textFill>
              </w:rPr>
              <w:t>根据《生物质成型炭》（LY/T1973-2023）的质量标准如下：</w:t>
            </w:r>
          </w:p>
          <w:p w14:paraId="61672DF2">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b/>
                <w:bCs/>
                <w:lang w:val="en-US" w:eastAsia="zh-CN"/>
              </w:rPr>
            </w:pPr>
            <w:r>
              <w:rPr>
                <w:rFonts w:hint="eastAsia"/>
                <w:b/>
                <w:bCs/>
                <w:lang w:val="en-US" w:eastAsia="zh-CN"/>
              </w:rPr>
              <w:t>表2-5  机制炭产品质量标准</w:t>
            </w:r>
          </w:p>
          <w:tbl>
            <w:tblPr>
              <w:tblStyle w:val="30"/>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18"/>
              <w:gridCol w:w="2317"/>
              <w:gridCol w:w="2317"/>
              <w:gridCol w:w="2320"/>
            </w:tblGrid>
            <w:tr w14:paraId="4E4F0D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50" w:type="pct"/>
                  <w:vMerge w:val="restart"/>
                  <w:vAlign w:val="center"/>
                </w:tcPr>
                <w:p w14:paraId="74F460B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sz w:val="21"/>
                      <w:szCs w:val="21"/>
                      <w:highlight w:val="none"/>
                      <w:u w:val="none" w:color="auto"/>
                      <w:vertAlign w:val="baseline"/>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highlight w:val="none"/>
                      <w:u w:val="none" w:color="auto"/>
                      <w:vertAlign w:val="baseline"/>
                      <w:lang w:val="en-US" w:eastAsia="zh-CN"/>
                      <w14:textFill>
                        <w14:solidFill>
                          <w14:schemeClr w14:val="tx1"/>
                        </w14:solidFill>
                      </w14:textFill>
                    </w:rPr>
                    <w:t>指标</w:t>
                  </w:r>
                </w:p>
              </w:tc>
              <w:tc>
                <w:tcPr>
                  <w:tcW w:w="3749" w:type="pct"/>
                  <w:gridSpan w:val="3"/>
                  <w:vAlign w:val="center"/>
                </w:tcPr>
                <w:p w14:paraId="76FFCDB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sz w:val="21"/>
                      <w:szCs w:val="21"/>
                      <w:highlight w:val="none"/>
                      <w:u w:val="none" w:color="auto"/>
                      <w:vertAlign w:val="baseline"/>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highlight w:val="none"/>
                      <w:u w:val="none" w:color="auto"/>
                      <w:vertAlign w:val="baseline"/>
                      <w:lang w:val="en-US" w:eastAsia="zh-CN"/>
                      <w14:textFill>
                        <w14:solidFill>
                          <w14:schemeClr w14:val="tx1"/>
                        </w14:solidFill>
                      </w14:textFill>
                    </w:rPr>
                    <w:t>等级</w:t>
                  </w:r>
                </w:p>
              </w:tc>
            </w:tr>
            <w:tr w14:paraId="625524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50" w:type="pct"/>
                  <w:vMerge w:val="continue"/>
                  <w:vAlign w:val="center"/>
                </w:tcPr>
                <w:p w14:paraId="6D271722">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sz w:val="21"/>
                      <w:szCs w:val="21"/>
                      <w:highlight w:val="none"/>
                      <w:u w:val="none" w:color="auto"/>
                      <w:vertAlign w:val="baseline"/>
                      <w:lang w:val="en-US" w:eastAsia="zh-CN"/>
                      <w14:textFill>
                        <w14:solidFill>
                          <w14:schemeClr w14:val="tx1"/>
                        </w14:solidFill>
                      </w14:textFill>
                    </w:rPr>
                  </w:pPr>
                </w:p>
              </w:tc>
              <w:tc>
                <w:tcPr>
                  <w:tcW w:w="1249" w:type="pct"/>
                  <w:vAlign w:val="center"/>
                </w:tcPr>
                <w:p w14:paraId="224F97E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sz w:val="21"/>
                      <w:szCs w:val="21"/>
                      <w:highlight w:val="none"/>
                      <w:u w:val="none" w:color="auto"/>
                      <w:vertAlign w:val="baseline"/>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highlight w:val="none"/>
                      <w:u w:val="none" w:color="auto"/>
                      <w:vertAlign w:val="baseline"/>
                      <w:lang w:val="en-US" w:eastAsia="zh-CN"/>
                      <w14:textFill>
                        <w14:solidFill>
                          <w14:schemeClr w14:val="tx1"/>
                        </w14:solidFill>
                      </w14:textFill>
                    </w:rPr>
                    <w:t>特级</w:t>
                  </w:r>
                </w:p>
              </w:tc>
              <w:tc>
                <w:tcPr>
                  <w:tcW w:w="1249" w:type="pct"/>
                  <w:vAlign w:val="center"/>
                </w:tcPr>
                <w:p w14:paraId="21AE7E8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sz w:val="21"/>
                      <w:szCs w:val="21"/>
                      <w:highlight w:val="none"/>
                      <w:u w:val="none" w:color="auto"/>
                      <w:vertAlign w:val="baseline"/>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highlight w:val="none"/>
                      <w:u w:val="none" w:color="auto"/>
                      <w:vertAlign w:val="baseline"/>
                      <w:lang w:val="en-US" w:eastAsia="zh-CN"/>
                      <w14:textFill>
                        <w14:solidFill>
                          <w14:schemeClr w14:val="tx1"/>
                        </w14:solidFill>
                      </w14:textFill>
                    </w:rPr>
                    <w:t>1级</w:t>
                  </w:r>
                </w:p>
              </w:tc>
              <w:tc>
                <w:tcPr>
                  <w:tcW w:w="1250" w:type="pct"/>
                  <w:vAlign w:val="center"/>
                </w:tcPr>
                <w:p w14:paraId="155F812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sz w:val="21"/>
                      <w:szCs w:val="21"/>
                      <w:highlight w:val="none"/>
                      <w:u w:val="none" w:color="auto"/>
                      <w:vertAlign w:val="baseline"/>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highlight w:val="none"/>
                      <w:u w:val="none" w:color="auto"/>
                      <w:vertAlign w:val="baseline"/>
                      <w:lang w:val="en-US" w:eastAsia="zh-CN"/>
                      <w14:textFill>
                        <w14:solidFill>
                          <w14:schemeClr w14:val="tx1"/>
                        </w14:solidFill>
                      </w14:textFill>
                    </w:rPr>
                    <w:t>2级</w:t>
                  </w:r>
                </w:p>
              </w:tc>
            </w:tr>
            <w:tr w14:paraId="64FEED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50" w:type="pct"/>
                  <w:shd w:val="clear" w:color="auto" w:fill="auto"/>
                  <w:vAlign w:val="center"/>
                </w:tcPr>
                <w:p w14:paraId="3B42678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rightChars="0"/>
                    <w:jc w:val="center"/>
                    <w:textAlignment w:val="auto"/>
                    <w:rPr>
                      <w:rFonts w:hint="default" w:ascii="Times New Roman" w:hAnsi="Times New Roman" w:eastAsia="宋体" w:cs="Times New Roman"/>
                      <w:bCs/>
                      <w:color w:val="000000" w:themeColor="text1"/>
                      <w:kern w:val="2"/>
                      <w:sz w:val="21"/>
                      <w:szCs w:val="21"/>
                      <w:highlight w:val="none"/>
                      <w:u w:val="none" w:color="auto"/>
                      <w:vertAlign w:val="baseline"/>
                      <w:lang w:val="en-US" w:eastAsia="zh-CN" w:bidi="ar-SA"/>
                      <w14:textFill>
                        <w14:solidFill>
                          <w14:schemeClr w14:val="tx1"/>
                        </w14:solidFill>
                      </w14:textFill>
                    </w:rPr>
                  </w:pPr>
                  <w:r>
                    <w:rPr>
                      <w:rFonts w:hint="default" w:ascii="Times New Roman" w:hAnsi="Times New Roman" w:eastAsia="宋体" w:cs="Times New Roman"/>
                      <w:bCs/>
                      <w:color w:val="000000" w:themeColor="text1"/>
                      <w:sz w:val="21"/>
                      <w:szCs w:val="21"/>
                      <w:highlight w:val="none"/>
                      <w:u w:val="none" w:color="auto"/>
                      <w:vertAlign w:val="baseline"/>
                      <w:lang w:val="en-US" w:eastAsia="zh-CN"/>
                      <w14:textFill>
                        <w14:solidFill>
                          <w14:schemeClr w14:val="tx1"/>
                        </w14:solidFill>
                      </w14:textFill>
                    </w:rPr>
                    <w:t>水分/%      ≤</w:t>
                  </w:r>
                </w:p>
              </w:tc>
              <w:tc>
                <w:tcPr>
                  <w:tcW w:w="3749" w:type="pct"/>
                  <w:gridSpan w:val="3"/>
                  <w:shd w:val="clear" w:color="auto" w:fill="auto"/>
                  <w:vAlign w:val="center"/>
                </w:tcPr>
                <w:p w14:paraId="34ACD68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sz w:val="21"/>
                      <w:szCs w:val="21"/>
                      <w:highlight w:val="none"/>
                      <w:u w:val="none" w:color="auto"/>
                      <w:vertAlign w:val="baseline"/>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highlight w:val="none"/>
                      <w:u w:val="none" w:color="auto"/>
                      <w:vertAlign w:val="baseline"/>
                      <w:lang w:val="en-US" w:eastAsia="zh-CN"/>
                      <w14:textFill>
                        <w14:solidFill>
                          <w14:schemeClr w14:val="tx1"/>
                        </w14:solidFill>
                      </w14:textFill>
                    </w:rPr>
                    <w:t>8.5</w:t>
                  </w:r>
                </w:p>
              </w:tc>
            </w:tr>
            <w:tr w14:paraId="3FE7D5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50" w:type="pct"/>
                  <w:vAlign w:val="center"/>
                </w:tcPr>
                <w:p w14:paraId="76E83A6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sz w:val="21"/>
                      <w:szCs w:val="21"/>
                      <w:highlight w:val="none"/>
                      <w:u w:val="none" w:color="auto"/>
                      <w:vertAlign w:val="baseline"/>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highlight w:val="none"/>
                      <w:u w:val="none" w:color="auto"/>
                      <w:vertAlign w:val="baseline"/>
                      <w:lang w:val="en-US" w:eastAsia="zh-CN"/>
                      <w14:textFill>
                        <w14:solidFill>
                          <w14:schemeClr w14:val="tx1"/>
                        </w14:solidFill>
                      </w14:textFill>
                    </w:rPr>
                    <w:t>灰分/%     ≤</w:t>
                  </w:r>
                </w:p>
              </w:tc>
              <w:tc>
                <w:tcPr>
                  <w:tcW w:w="1249" w:type="pct"/>
                  <w:vAlign w:val="center"/>
                </w:tcPr>
                <w:p w14:paraId="49F46F4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sz w:val="21"/>
                      <w:szCs w:val="21"/>
                      <w:highlight w:val="none"/>
                      <w:u w:val="none" w:color="auto"/>
                      <w:vertAlign w:val="baseline"/>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highlight w:val="none"/>
                      <w:u w:val="none" w:color="auto"/>
                      <w:vertAlign w:val="baseline"/>
                      <w:lang w:val="en-US" w:eastAsia="zh-CN"/>
                      <w14:textFill>
                        <w14:solidFill>
                          <w14:schemeClr w14:val="tx1"/>
                        </w14:solidFill>
                      </w14:textFill>
                    </w:rPr>
                    <w:t>5</w:t>
                  </w:r>
                </w:p>
              </w:tc>
              <w:tc>
                <w:tcPr>
                  <w:tcW w:w="1249" w:type="pct"/>
                  <w:vAlign w:val="center"/>
                </w:tcPr>
                <w:p w14:paraId="5EA32F12">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sz w:val="21"/>
                      <w:szCs w:val="21"/>
                      <w:highlight w:val="none"/>
                      <w:u w:val="none" w:color="auto"/>
                      <w:vertAlign w:val="baseline"/>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highlight w:val="none"/>
                      <w:u w:val="none" w:color="auto"/>
                      <w:vertAlign w:val="baseline"/>
                      <w:lang w:val="en-US" w:eastAsia="zh-CN"/>
                      <w14:textFill>
                        <w14:solidFill>
                          <w14:schemeClr w14:val="tx1"/>
                        </w14:solidFill>
                      </w14:textFill>
                    </w:rPr>
                    <w:t>10</w:t>
                  </w:r>
                </w:p>
              </w:tc>
              <w:tc>
                <w:tcPr>
                  <w:tcW w:w="1250" w:type="pct"/>
                  <w:vAlign w:val="center"/>
                </w:tcPr>
                <w:p w14:paraId="6A8B5945">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sz w:val="21"/>
                      <w:szCs w:val="21"/>
                      <w:highlight w:val="none"/>
                      <w:u w:val="none" w:color="auto"/>
                      <w:vertAlign w:val="baseline"/>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highlight w:val="none"/>
                      <w:u w:val="none" w:color="auto"/>
                      <w:vertAlign w:val="baseline"/>
                      <w:lang w:val="en-US" w:eastAsia="zh-CN"/>
                      <w14:textFill>
                        <w14:solidFill>
                          <w14:schemeClr w14:val="tx1"/>
                        </w14:solidFill>
                      </w14:textFill>
                    </w:rPr>
                    <w:t>20</w:t>
                  </w:r>
                </w:p>
              </w:tc>
            </w:tr>
            <w:tr w14:paraId="6FE377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50" w:type="pct"/>
                  <w:vAlign w:val="center"/>
                </w:tcPr>
                <w:p w14:paraId="28254B32">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sz w:val="21"/>
                      <w:szCs w:val="21"/>
                      <w:highlight w:val="none"/>
                      <w:u w:val="none" w:color="auto"/>
                      <w:vertAlign w:val="baseline"/>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highlight w:val="none"/>
                      <w:u w:val="none" w:color="auto"/>
                      <w:vertAlign w:val="baseline"/>
                      <w:lang w:val="en-US" w:eastAsia="zh-CN"/>
                      <w14:textFill>
                        <w14:solidFill>
                          <w14:schemeClr w14:val="tx1"/>
                        </w14:solidFill>
                      </w14:textFill>
                    </w:rPr>
                    <w:t>挥发分/%     ≤</w:t>
                  </w:r>
                </w:p>
              </w:tc>
              <w:tc>
                <w:tcPr>
                  <w:tcW w:w="1249" w:type="pct"/>
                  <w:vAlign w:val="center"/>
                </w:tcPr>
                <w:p w14:paraId="4982775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sz w:val="21"/>
                      <w:szCs w:val="21"/>
                      <w:highlight w:val="none"/>
                      <w:u w:val="none" w:color="auto"/>
                      <w:vertAlign w:val="baseline"/>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highlight w:val="none"/>
                      <w:u w:val="none" w:color="auto"/>
                      <w:vertAlign w:val="baseline"/>
                      <w:lang w:val="en-US" w:eastAsia="zh-CN"/>
                      <w14:textFill>
                        <w14:solidFill>
                          <w14:schemeClr w14:val="tx1"/>
                        </w14:solidFill>
                      </w14:textFill>
                    </w:rPr>
                    <w:t>6</w:t>
                  </w:r>
                </w:p>
              </w:tc>
              <w:tc>
                <w:tcPr>
                  <w:tcW w:w="1249" w:type="pct"/>
                  <w:vAlign w:val="center"/>
                </w:tcPr>
                <w:p w14:paraId="061392C2">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sz w:val="21"/>
                      <w:szCs w:val="21"/>
                      <w:highlight w:val="none"/>
                      <w:u w:val="none" w:color="auto"/>
                      <w:vertAlign w:val="baseline"/>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highlight w:val="none"/>
                      <w:u w:val="none" w:color="auto"/>
                      <w:vertAlign w:val="baseline"/>
                      <w:lang w:val="en-US" w:eastAsia="zh-CN"/>
                      <w14:textFill>
                        <w14:solidFill>
                          <w14:schemeClr w14:val="tx1"/>
                        </w14:solidFill>
                      </w14:textFill>
                    </w:rPr>
                    <w:t>10</w:t>
                  </w:r>
                </w:p>
              </w:tc>
              <w:tc>
                <w:tcPr>
                  <w:tcW w:w="1250" w:type="pct"/>
                  <w:vAlign w:val="center"/>
                </w:tcPr>
                <w:p w14:paraId="685269B5">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sz w:val="21"/>
                      <w:szCs w:val="21"/>
                      <w:highlight w:val="none"/>
                      <w:u w:val="none" w:color="auto"/>
                      <w:vertAlign w:val="baseline"/>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highlight w:val="none"/>
                      <w:u w:val="none" w:color="auto"/>
                      <w:vertAlign w:val="baseline"/>
                      <w:lang w:val="en-US" w:eastAsia="zh-CN"/>
                      <w14:textFill>
                        <w14:solidFill>
                          <w14:schemeClr w14:val="tx1"/>
                        </w14:solidFill>
                      </w14:textFill>
                    </w:rPr>
                    <w:t>15</w:t>
                  </w:r>
                </w:p>
              </w:tc>
            </w:tr>
            <w:tr w14:paraId="7FD5AE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50" w:type="pct"/>
                  <w:vAlign w:val="center"/>
                </w:tcPr>
                <w:p w14:paraId="25D2EE5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sz w:val="21"/>
                      <w:szCs w:val="21"/>
                      <w:highlight w:val="none"/>
                      <w:u w:val="none" w:color="auto"/>
                      <w:vertAlign w:val="baseline"/>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highlight w:val="none"/>
                      <w:u w:val="none" w:color="auto"/>
                      <w:vertAlign w:val="baseline"/>
                      <w:lang w:val="en-US" w:eastAsia="zh-CN"/>
                      <w14:textFill>
                        <w14:solidFill>
                          <w14:schemeClr w14:val="tx1"/>
                        </w14:solidFill>
                      </w14:textFill>
                    </w:rPr>
                    <w:t>固定碳/%      ≥</w:t>
                  </w:r>
                </w:p>
              </w:tc>
              <w:tc>
                <w:tcPr>
                  <w:tcW w:w="1249" w:type="pct"/>
                  <w:vAlign w:val="center"/>
                </w:tcPr>
                <w:p w14:paraId="349C7F3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sz w:val="21"/>
                      <w:szCs w:val="21"/>
                      <w:highlight w:val="none"/>
                      <w:u w:val="none" w:color="auto"/>
                      <w:vertAlign w:val="baseline"/>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highlight w:val="none"/>
                      <w:u w:val="none" w:color="auto"/>
                      <w:vertAlign w:val="baseline"/>
                      <w:lang w:val="en-US" w:eastAsia="zh-CN"/>
                      <w14:textFill>
                        <w14:solidFill>
                          <w14:schemeClr w14:val="tx1"/>
                        </w14:solidFill>
                      </w14:textFill>
                    </w:rPr>
                    <w:t>85</w:t>
                  </w:r>
                </w:p>
              </w:tc>
              <w:tc>
                <w:tcPr>
                  <w:tcW w:w="1249" w:type="pct"/>
                  <w:vAlign w:val="center"/>
                </w:tcPr>
                <w:p w14:paraId="7AF7AD8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sz w:val="21"/>
                      <w:szCs w:val="21"/>
                      <w:highlight w:val="none"/>
                      <w:u w:val="none" w:color="auto"/>
                      <w:vertAlign w:val="baseline"/>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highlight w:val="none"/>
                      <w:u w:val="none" w:color="auto"/>
                      <w:vertAlign w:val="baseline"/>
                      <w:lang w:val="en-US" w:eastAsia="zh-CN"/>
                      <w14:textFill>
                        <w14:solidFill>
                          <w14:schemeClr w14:val="tx1"/>
                        </w14:solidFill>
                      </w14:textFill>
                    </w:rPr>
                    <w:t>75</w:t>
                  </w:r>
                </w:p>
              </w:tc>
              <w:tc>
                <w:tcPr>
                  <w:tcW w:w="1250" w:type="pct"/>
                  <w:vAlign w:val="center"/>
                </w:tcPr>
                <w:p w14:paraId="5F0DE58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sz w:val="21"/>
                      <w:szCs w:val="21"/>
                      <w:highlight w:val="none"/>
                      <w:u w:val="none" w:color="auto"/>
                      <w:vertAlign w:val="baseline"/>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highlight w:val="none"/>
                      <w:u w:val="none" w:color="auto"/>
                      <w:vertAlign w:val="baseline"/>
                      <w:lang w:val="en-US" w:eastAsia="zh-CN"/>
                      <w14:textFill>
                        <w14:solidFill>
                          <w14:schemeClr w14:val="tx1"/>
                        </w14:solidFill>
                      </w14:textFill>
                    </w:rPr>
                    <w:t>65</w:t>
                  </w:r>
                </w:p>
              </w:tc>
            </w:tr>
            <w:tr w14:paraId="4EF1C7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50" w:type="pct"/>
                  <w:vAlign w:val="center"/>
                </w:tcPr>
                <w:p w14:paraId="62DC31B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sz w:val="21"/>
                      <w:szCs w:val="21"/>
                      <w:highlight w:val="none"/>
                      <w:u w:val="none" w:color="auto"/>
                      <w:vertAlign w:val="baseline"/>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highlight w:val="none"/>
                      <w:u w:val="none" w:color="auto"/>
                      <w:vertAlign w:val="baseline"/>
                      <w:lang w:val="en-US" w:eastAsia="zh-CN"/>
                      <w14:textFill>
                        <w14:solidFill>
                          <w14:schemeClr w14:val="tx1"/>
                        </w14:solidFill>
                      </w14:textFill>
                    </w:rPr>
                    <w:t>热值/（MJ/kg）  ≥</w:t>
                  </w:r>
                </w:p>
              </w:tc>
              <w:tc>
                <w:tcPr>
                  <w:tcW w:w="1249" w:type="pct"/>
                  <w:vAlign w:val="center"/>
                </w:tcPr>
                <w:p w14:paraId="1C87C4B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sz w:val="21"/>
                      <w:szCs w:val="21"/>
                      <w:highlight w:val="none"/>
                      <w:u w:val="none" w:color="auto"/>
                      <w:vertAlign w:val="baseline"/>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highlight w:val="none"/>
                      <w:u w:val="none" w:color="auto"/>
                      <w:vertAlign w:val="baseline"/>
                      <w:lang w:val="en-US" w:eastAsia="zh-CN"/>
                      <w14:textFill>
                        <w14:solidFill>
                          <w14:schemeClr w14:val="tx1"/>
                        </w14:solidFill>
                      </w14:textFill>
                    </w:rPr>
                    <w:t>30</w:t>
                  </w:r>
                </w:p>
              </w:tc>
              <w:tc>
                <w:tcPr>
                  <w:tcW w:w="1249" w:type="pct"/>
                  <w:vAlign w:val="center"/>
                </w:tcPr>
                <w:p w14:paraId="00D9778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sz w:val="21"/>
                      <w:szCs w:val="21"/>
                      <w:highlight w:val="none"/>
                      <w:u w:val="none" w:color="auto"/>
                      <w:vertAlign w:val="baseline"/>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highlight w:val="none"/>
                      <w:u w:val="none" w:color="auto"/>
                      <w:vertAlign w:val="baseline"/>
                      <w:lang w:val="en-US" w:eastAsia="zh-CN"/>
                      <w14:textFill>
                        <w14:solidFill>
                          <w14:schemeClr w14:val="tx1"/>
                        </w14:solidFill>
                      </w14:textFill>
                    </w:rPr>
                    <w:t>27</w:t>
                  </w:r>
                </w:p>
              </w:tc>
              <w:tc>
                <w:tcPr>
                  <w:tcW w:w="1250" w:type="pct"/>
                  <w:vAlign w:val="center"/>
                </w:tcPr>
                <w:p w14:paraId="64AEE27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sz w:val="21"/>
                      <w:szCs w:val="21"/>
                      <w:highlight w:val="none"/>
                      <w:u w:val="none" w:color="auto"/>
                      <w:vertAlign w:val="baseline"/>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highlight w:val="none"/>
                      <w:u w:val="none" w:color="auto"/>
                      <w:vertAlign w:val="baseline"/>
                      <w:lang w:val="en-US" w:eastAsia="zh-CN"/>
                      <w14:textFill>
                        <w14:solidFill>
                          <w14:schemeClr w14:val="tx1"/>
                        </w14:solidFill>
                      </w14:textFill>
                    </w:rPr>
                    <w:t>23</w:t>
                  </w:r>
                </w:p>
              </w:tc>
            </w:tr>
            <w:tr w14:paraId="1B1C3E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50" w:type="pct"/>
                  <w:vAlign w:val="center"/>
                </w:tcPr>
                <w:p w14:paraId="6CF48E2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sz w:val="21"/>
                      <w:szCs w:val="21"/>
                      <w:highlight w:val="none"/>
                      <w:u w:val="none" w:color="auto"/>
                      <w:vertAlign w:val="baseline"/>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highlight w:val="none"/>
                      <w:u w:val="none" w:color="auto"/>
                      <w:vertAlign w:val="baseline"/>
                      <w:lang w:val="en-US" w:eastAsia="zh-CN"/>
                      <w14:textFill>
                        <w14:solidFill>
                          <w14:schemeClr w14:val="tx1"/>
                        </w14:solidFill>
                      </w14:textFill>
                    </w:rPr>
                    <w:t>容积重/（g/cm</w:t>
                  </w:r>
                  <w:r>
                    <w:rPr>
                      <w:rFonts w:hint="default" w:ascii="Times New Roman" w:hAnsi="Times New Roman" w:eastAsia="宋体" w:cs="Times New Roman"/>
                      <w:bCs/>
                      <w:color w:val="000000" w:themeColor="text1"/>
                      <w:sz w:val="21"/>
                      <w:szCs w:val="21"/>
                      <w:highlight w:val="none"/>
                      <w:u w:val="none" w:color="auto"/>
                      <w:vertAlign w:val="superscript"/>
                      <w:lang w:val="en-US" w:eastAsia="zh-CN"/>
                      <w14:textFill>
                        <w14:solidFill>
                          <w14:schemeClr w14:val="tx1"/>
                        </w14:solidFill>
                      </w14:textFill>
                    </w:rPr>
                    <w:t>3</w:t>
                  </w:r>
                  <w:r>
                    <w:rPr>
                      <w:rFonts w:hint="default" w:ascii="Times New Roman" w:hAnsi="Times New Roman" w:eastAsia="宋体" w:cs="Times New Roman"/>
                      <w:bCs/>
                      <w:color w:val="000000" w:themeColor="text1"/>
                      <w:sz w:val="21"/>
                      <w:szCs w:val="21"/>
                      <w:highlight w:val="none"/>
                      <w:u w:val="none" w:color="auto"/>
                      <w:vertAlign w:val="baseline"/>
                      <w:lang w:val="en-US" w:eastAsia="zh-CN"/>
                      <w14:textFill>
                        <w14:solidFill>
                          <w14:schemeClr w14:val="tx1"/>
                        </w14:solidFill>
                      </w14:textFill>
                    </w:rPr>
                    <w:t>） ≥</w:t>
                  </w:r>
                </w:p>
              </w:tc>
              <w:tc>
                <w:tcPr>
                  <w:tcW w:w="3749" w:type="pct"/>
                  <w:gridSpan w:val="3"/>
                  <w:vAlign w:val="center"/>
                </w:tcPr>
                <w:p w14:paraId="47AD4432">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sz w:val="21"/>
                      <w:szCs w:val="21"/>
                      <w:highlight w:val="none"/>
                      <w:u w:val="none" w:color="auto"/>
                      <w:vertAlign w:val="baseline"/>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highlight w:val="none"/>
                      <w:u w:val="none" w:color="auto"/>
                      <w:vertAlign w:val="baseline"/>
                      <w:lang w:val="en-US" w:eastAsia="zh-CN"/>
                      <w14:textFill>
                        <w14:solidFill>
                          <w14:schemeClr w14:val="tx1"/>
                        </w14:solidFill>
                      </w14:textFill>
                    </w:rPr>
                    <w:t>0.8</w:t>
                  </w:r>
                </w:p>
              </w:tc>
            </w:tr>
            <w:tr w14:paraId="2FCC93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50" w:type="pct"/>
                  <w:vAlign w:val="center"/>
                </w:tcPr>
                <w:p w14:paraId="089311A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sz w:val="21"/>
                      <w:szCs w:val="21"/>
                      <w:highlight w:val="none"/>
                      <w:u w:val="none" w:color="auto"/>
                      <w:vertAlign w:val="baseline"/>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highlight w:val="none"/>
                      <w:u w:val="none" w:color="auto"/>
                      <w:vertAlign w:val="baseline"/>
                      <w:lang w:val="en-US" w:eastAsia="zh-CN"/>
                      <w14:textFill>
                        <w14:solidFill>
                          <w14:schemeClr w14:val="tx1"/>
                        </w14:solidFill>
                      </w14:textFill>
                    </w:rPr>
                    <w:t>其他</w:t>
                  </w:r>
                </w:p>
              </w:tc>
              <w:tc>
                <w:tcPr>
                  <w:tcW w:w="3749" w:type="pct"/>
                  <w:gridSpan w:val="3"/>
                  <w:vAlign w:val="center"/>
                </w:tcPr>
                <w:p w14:paraId="5461DA9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sz w:val="21"/>
                      <w:szCs w:val="21"/>
                      <w:highlight w:val="none"/>
                      <w:u w:val="none" w:color="auto"/>
                      <w:vertAlign w:val="baseline"/>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highlight w:val="none"/>
                      <w:u w:val="none" w:color="auto"/>
                      <w:vertAlign w:val="baseline"/>
                      <w:lang w:val="en-US" w:eastAsia="zh-CN"/>
                      <w14:textFill>
                        <w14:solidFill>
                          <w14:schemeClr w14:val="tx1"/>
                        </w14:solidFill>
                      </w14:textFill>
                    </w:rPr>
                    <w:t>燃烧时无异味</w:t>
                  </w:r>
                </w:p>
              </w:tc>
            </w:tr>
          </w:tbl>
          <w:p w14:paraId="4E7B4BD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lang w:val="en-US" w:eastAsia="zh-CN"/>
              </w:rPr>
            </w:pPr>
            <w:r>
              <w:rPr>
                <w:rFonts w:hint="eastAsia"/>
                <w:lang w:val="en-US" w:eastAsia="zh-CN"/>
              </w:rPr>
              <w:t>根据《木炭》（</w:t>
            </w:r>
            <w:r>
              <w:rPr>
                <w:rFonts w:hint="default"/>
                <w:lang w:val="en-US" w:eastAsia="zh-CN"/>
              </w:rPr>
              <w:t>GB/T 17664-</w:t>
            </w:r>
            <w:r>
              <w:rPr>
                <w:rFonts w:hint="eastAsia"/>
                <w:lang w:val="en-US" w:eastAsia="zh-CN"/>
              </w:rPr>
              <w:t>2024），机制炭的产品质量标准如下：</w:t>
            </w:r>
          </w:p>
          <w:p w14:paraId="24D3DB8B">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b/>
                <w:bCs/>
                <w:lang w:val="en-US" w:eastAsia="zh-CN"/>
              </w:rPr>
            </w:pPr>
            <w:r>
              <w:rPr>
                <w:rFonts w:hint="eastAsia"/>
                <w:b/>
                <w:bCs/>
                <w:lang w:val="en-US" w:eastAsia="zh-CN"/>
              </w:rPr>
              <w:t>表2-6  机制炭产品质量标准</w:t>
            </w:r>
          </w:p>
          <w:tbl>
            <w:tblPr>
              <w:tblStyle w:val="30"/>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18"/>
              <w:gridCol w:w="2316"/>
              <w:gridCol w:w="2316"/>
              <w:gridCol w:w="2322"/>
            </w:tblGrid>
            <w:tr w14:paraId="7D7995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50" w:type="pct"/>
                  <w:vMerge w:val="restart"/>
                  <w:vAlign w:val="center"/>
                </w:tcPr>
                <w:p w14:paraId="34042D4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sz w:val="21"/>
                      <w:szCs w:val="21"/>
                      <w:highlight w:val="none"/>
                      <w:u w:val="none" w:color="auto"/>
                      <w:vertAlign w:val="baseline"/>
                      <w:lang w:val="en-US" w:eastAsia="zh-CN"/>
                      <w14:textFill>
                        <w14:solidFill>
                          <w14:schemeClr w14:val="tx1"/>
                        </w14:solidFill>
                      </w14:textFill>
                    </w:rPr>
                  </w:pPr>
                  <w:r>
                    <w:rPr>
                      <w:rFonts w:hint="default" w:ascii="Times New Roman" w:hAnsi="Times New Roman" w:cs="Times New Roman"/>
                      <w:bCs/>
                      <w:color w:val="000000" w:themeColor="text1"/>
                      <w:sz w:val="21"/>
                      <w:szCs w:val="21"/>
                      <w:highlight w:val="none"/>
                      <w:u w:val="none" w:color="auto"/>
                      <w:vertAlign w:val="baseline"/>
                      <w:lang w:val="en-US" w:eastAsia="zh-CN"/>
                      <w14:textFill>
                        <w14:solidFill>
                          <w14:schemeClr w14:val="tx1"/>
                        </w14:solidFill>
                      </w14:textFill>
                    </w:rPr>
                    <w:t>项目</w:t>
                  </w:r>
                </w:p>
              </w:tc>
              <w:tc>
                <w:tcPr>
                  <w:tcW w:w="3749" w:type="pct"/>
                  <w:gridSpan w:val="3"/>
                  <w:vAlign w:val="center"/>
                </w:tcPr>
                <w:p w14:paraId="6DD3AE7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sz w:val="21"/>
                      <w:szCs w:val="21"/>
                      <w:highlight w:val="none"/>
                      <w:u w:val="none" w:color="auto"/>
                      <w:vertAlign w:val="baseline"/>
                      <w:lang w:val="en-US" w:eastAsia="zh-CN"/>
                      <w14:textFill>
                        <w14:solidFill>
                          <w14:schemeClr w14:val="tx1"/>
                        </w14:solidFill>
                      </w14:textFill>
                    </w:rPr>
                  </w:pPr>
                  <w:r>
                    <w:rPr>
                      <w:rFonts w:hint="default" w:ascii="Times New Roman" w:hAnsi="Times New Roman" w:cs="Times New Roman"/>
                      <w:bCs/>
                      <w:color w:val="000000" w:themeColor="text1"/>
                      <w:sz w:val="21"/>
                      <w:szCs w:val="21"/>
                      <w:highlight w:val="none"/>
                      <w:u w:val="none" w:color="auto"/>
                      <w:vertAlign w:val="baseline"/>
                      <w:lang w:val="en-US" w:eastAsia="zh-CN"/>
                      <w14:textFill>
                        <w14:solidFill>
                          <w14:schemeClr w14:val="tx1"/>
                        </w14:solidFill>
                      </w14:textFill>
                    </w:rPr>
                    <w:t>机制炭</w:t>
                  </w:r>
                </w:p>
              </w:tc>
            </w:tr>
            <w:tr w14:paraId="42A7D5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50" w:type="pct"/>
                  <w:vMerge w:val="continue"/>
                  <w:vAlign w:val="center"/>
                </w:tcPr>
                <w:p w14:paraId="0677CAE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sz w:val="21"/>
                      <w:szCs w:val="21"/>
                      <w:highlight w:val="none"/>
                      <w:u w:val="none" w:color="auto"/>
                      <w:vertAlign w:val="baseline"/>
                      <w:lang w:val="en-US" w:eastAsia="zh-CN"/>
                      <w14:textFill>
                        <w14:solidFill>
                          <w14:schemeClr w14:val="tx1"/>
                        </w14:solidFill>
                      </w14:textFill>
                    </w:rPr>
                  </w:pPr>
                </w:p>
              </w:tc>
              <w:tc>
                <w:tcPr>
                  <w:tcW w:w="1249" w:type="pct"/>
                  <w:vAlign w:val="center"/>
                </w:tcPr>
                <w:p w14:paraId="4FF57402">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sz w:val="21"/>
                      <w:szCs w:val="21"/>
                      <w:highlight w:val="none"/>
                      <w:u w:val="none" w:color="auto"/>
                      <w:vertAlign w:val="baseline"/>
                      <w:lang w:val="en-US" w:eastAsia="zh-CN"/>
                      <w14:textFill>
                        <w14:solidFill>
                          <w14:schemeClr w14:val="tx1"/>
                        </w14:solidFill>
                      </w14:textFill>
                    </w:rPr>
                  </w:pPr>
                  <w:r>
                    <w:rPr>
                      <w:rFonts w:hint="default" w:ascii="Times New Roman" w:hAnsi="Times New Roman" w:cs="Times New Roman"/>
                      <w:bCs/>
                      <w:color w:val="000000" w:themeColor="text1"/>
                      <w:sz w:val="21"/>
                      <w:szCs w:val="21"/>
                      <w:highlight w:val="none"/>
                      <w:u w:val="none" w:color="auto"/>
                      <w:vertAlign w:val="baseline"/>
                      <w:lang w:val="en-US" w:eastAsia="zh-CN"/>
                      <w14:textFill>
                        <w14:solidFill>
                          <w14:schemeClr w14:val="tx1"/>
                        </w14:solidFill>
                      </w14:textFill>
                    </w:rPr>
                    <w:t>优级</w:t>
                  </w:r>
                </w:p>
              </w:tc>
              <w:tc>
                <w:tcPr>
                  <w:tcW w:w="1249" w:type="pct"/>
                  <w:vAlign w:val="center"/>
                </w:tcPr>
                <w:p w14:paraId="19B0AF88">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sz w:val="21"/>
                      <w:szCs w:val="21"/>
                      <w:highlight w:val="none"/>
                      <w:u w:val="none" w:color="auto"/>
                      <w:vertAlign w:val="baseline"/>
                      <w:lang w:val="en-US" w:eastAsia="zh-CN"/>
                      <w14:textFill>
                        <w14:solidFill>
                          <w14:schemeClr w14:val="tx1"/>
                        </w14:solidFill>
                      </w14:textFill>
                    </w:rPr>
                  </w:pPr>
                  <w:r>
                    <w:rPr>
                      <w:rFonts w:hint="default" w:ascii="Times New Roman" w:hAnsi="Times New Roman" w:cs="Times New Roman"/>
                      <w:bCs/>
                      <w:color w:val="000000" w:themeColor="text1"/>
                      <w:sz w:val="21"/>
                      <w:szCs w:val="21"/>
                      <w:highlight w:val="none"/>
                      <w:u w:val="none" w:color="auto"/>
                      <w:vertAlign w:val="baseline"/>
                      <w:lang w:val="en-US" w:eastAsia="zh-CN"/>
                      <w14:textFill>
                        <w14:solidFill>
                          <w14:schemeClr w14:val="tx1"/>
                        </w14:solidFill>
                      </w14:textFill>
                    </w:rPr>
                    <w:t>一级</w:t>
                  </w:r>
                </w:p>
              </w:tc>
              <w:tc>
                <w:tcPr>
                  <w:tcW w:w="1250" w:type="pct"/>
                  <w:vAlign w:val="center"/>
                </w:tcPr>
                <w:p w14:paraId="394C2968">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sz w:val="21"/>
                      <w:szCs w:val="21"/>
                      <w:highlight w:val="none"/>
                      <w:u w:val="none" w:color="auto"/>
                      <w:vertAlign w:val="baseline"/>
                      <w:lang w:val="en-US" w:eastAsia="zh-CN"/>
                      <w14:textFill>
                        <w14:solidFill>
                          <w14:schemeClr w14:val="tx1"/>
                        </w14:solidFill>
                      </w14:textFill>
                    </w:rPr>
                  </w:pPr>
                  <w:r>
                    <w:rPr>
                      <w:rFonts w:hint="default" w:ascii="Times New Roman" w:hAnsi="Times New Roman" w:cs="Times New Roman"/>
                      <w:bCs/>
                      <w:color w:val="000000" w:themeColor="text1"/>
                      <w:sz w:val="21"/>
                      <w:szCs w:val="21"/>
                      <w:highlight w:val="none"/>
                      <w:u w:val="none" w:color="auto"/>
                      <w:vertAlign w:val="baseline"/>
                      <w:lang w:val="en-US" w:eastAsia="zh-CN"/>
                      <w14:textFill>
                        <w14:solidFill>
                          <w14:schemeClr w14:val="tx1"/>
                        </w14:solidFill>
                      </w14:textFill>
                    </w:rPr>
                    <w:t>合格品</w:t>
                  </w:r>
                </w:p>
              </w:tc>
            </w:tr>
            <w:tr w14:paraId="74ACC4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50" w:type="pct"/>
                  <w:shd w:val="clear" w:color="auto" w:fill="auto"/>
                  <w:vAlign w:val="center"/>
                </w:tcPr>
                <w:p w14:paraId="0533E7C2">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rightChars="0"/>
                    <w:jc w:val="center"/>
                    <w:textAlignment w:val="auto"/>
                    <w:rPr>
                      <w:rFonts w:hint="default" w:ascii="Times New Roman" w:hAnsi="Times New Roman" w:eastAsia="宋体" w:cs="Times New Roman"/>
                      <w:bCs/>
                      <w:color w:val="000000" w:themeColor="text1"/>
                      <w:kern w:val="2"/>
                      <w:sz w:val="21"/>
                      <w:szCs w:val="21"/>
                      <w:highlight w:val="none"/>
                      <w:u w:val="none" w:color="auto"/>
                      <w:vertAlign w:val="baseline"/>
                      <w:lang w:val="en-US" w:eastAsia="zh-CN" w:bidi="ar-SA"/>
                      <w14:textFill>
                        <w14:solidFill>
                          <w14:schemeClr w14:val="tx1"/>
                        </w14:solidFill>
                      </w14:textFill>
                    </w:rPr>
                  </w:pPr>
                  <w:r>
                    <w:rPr>
                      <w:rFonts w:hint="default" w:ascii="Times New Roman" w:hAnsi="Times New Roman" w:eastAsia="宋体" w:cs="Times New Roman"/>
                      <w:bCs/>
                      <w:color w:val="000000" w:themeColor="text1"/>
                      <w:sz w:val="21"/>
                      <w:szCs w:val="21"/>
                      <w:highlight w:val="none"/>
                      <w:u w:val="none" w:color="auto"/>
                      <w:vertAlign w:val="baseline"/>
                      <w:lang w:val="en-US" w:eastAsia="zh-CN"/>
                      <w14:textFill>
                        <w14:solidFill>
                          <w14:schemeClr w14:val="tx1"/>
                        </w14:solidFill>
                      </w14:textFill>
                    </w:rPr>
                    <w:t>水分/%      ≤</w:t>
                  </w:r>
                </w:p>
              </w:tc>
              <w:tc>
                <w:tcPr>
                  <w:tcW w:w="1249" w:type="pct"/>
                  <w:shd w:val="clear" w:color="auto" w:fill="auto"/>
                  <w:vAlign w:val="center"/>
                </w:tcPr>
                <w:p w14:paraId="35E67438">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sz w:val="21"/>
                      <w:szCs w:val="21"/>
                      <w:highlight w:val="none"/>
                      <w:u w:val="none" w:color="auto"/>
                      <w:vertAlign w:val="baseline"/>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highlight w:val="none"/>
                      <w:u w:val="none" w:color="auto"/>
                      <w:vertAlign w:val="baseline"/>
                      <w:lang w:val="en-US" w:eastAsia="zh-CN"/>
                      <w14:textFill>
                        <w14:solidFill>
                          <w14:schemeClr w14:val="tx1"/>
                        </w14:solidFill>
                      </w14:textFill>
                    </w:rPr>
                    <w:t>8.5</w:t>
                  </w:r>
                </w:p>
              </w:tc>
              <w:tc>
                <w:tcPr>
                  <w:tcW w:w="1249" w:type="pct"/>
                  <w:shd w:val="clear" w:color="auto" w:fill="auto"/>
                  <w:vAlign w:val="center"/>
                </w:tcPr>
                <w:p w14:paraId="126C0EAD">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sz w:val="21"/>
                      <w:szCs w:val="21"/>
                      <w:highlight w:val="none"/>
                      <w:u w:val="none" w:color="auto"/>
                      <w:vertAlign w:val="baseline"/>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highlight w:val="none"/>
                      <w:u w:val="none" w:color="auto"/>
                      <w:vertAlign w:val="baseline"/>
                      <w:lang w:val="en-US" w:eastAsia="zh-CN"/>
                      <w14:textFill>
                        <w14:solidFill>
                          <w14:schemeClr w14:val="tx1"/>
                        </w14:solidFill>
                      </w14:textFill>
                    </w:rPr>
                    <w:t>8.5</w:t>
                  </w:r>
                </w:p>
              </w:tc>
              <w:tc>
                <w:tcPr>
                  <w:tcW w:w="1250" w:type="pct"/>
                  <w:shd w:val="clear" w:color="auto" w:fill="auto"/>
                  <w:vAlign w:val="center"/>
                </w:tcPr>
                <w:p w14:paraId="3778FE8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sz w:val="21"/>
                      <w:szCs w:val="21"/>
                      <w:highlight w:val="none"/>
                      <w:u w:val="none" w:color="auto"/>
                      <w:vertAlign w:val="baseline"/>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highlight w:val="none"/>
                      <w:u w:val="none" w:color="auto"/>
                      <w:vertAlign w:val="baseline"/>
                      <w:lang w:val="en-US" w:eastAsia="zh-CN"/>
                      <w14:textFill>
                        <w14:solidFill>
                          <w14:schemeClr w14:val="tx1"/>
                        </w14:solidFill>
                      </w14:textFill>
                    </w:rPr>
                    <w:t>8.5</w:t>
                  </w:r>
                </w:p>
              </w:tc>
            </w:tr>
            <w:tr w14:paraId="792C7D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50" w:type="pct"/>
                  <w:vAlign w:val="center"/>
                </w:tcPr>
                <w:p w14:paraId="5536FF5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sz w:val="21"/>
                      <w:szCs w:val="21"/>
                      <w:highlight w:val="none"/>
                      <w:u w:val="none" w:color="auto"/>
                      <w:vertAlign w:val="baseline"/>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highlight w:val="none"/>
                      <w:u w:val="none" w:color="auto"/>
                      <w:vertAlign w:val="baseline"/>
                      <w:lang w:val="en-US" w:eastAsia="zh-CN"/>
                      <w14:textFill>
                        <w14:solidFill>
                          <w14:schemeClr w14:val="tx1"/>
                        </w14:solidFill>
                      </w14:textFill>
                    </w:rPr>
                    <w:t>灰分/%     ≤</w:t>
                  </w:r>
                </w:p>
              </w:tc>
              <w:tc>
                <w:tcPr>
                  <w:tcW w:w="1249" w:type="pct"/>
                  <w:vAlign w:val="center"/>
                </w:tcPr>
                <w:p w14:paraId="3EDF338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sz w:val="21"/>
                      <w:szCs w:val="21"/>
                      <w:highlight w:val="none"/>
                      <w:u w:val="none" w:color="auto"/>
                      <w:vertAlign w:val="baseline"/>
                      <w:lang w:val="en-US" w:eastAsia="zh-CN"/>
                      <w14:textFill>
                        <w14:solidFill>
                          <w14:schemeClr w14:val="tx1"/>
                        </w14:solidFill>
                      </w14:textFill>
                    </w:rPr>
                  </w:pPr>
                  <w:r>
                    <w:rPr>
                      <w:rFonts w:hint="default" w:ascii="Times New Roman" w:hAnsi="Times New Roman" w:cs="Times New Roman"/>
                      <w:bCs/>
                      <w:color w:val="000000" w:themeColor="text1"/>
                      <w:sz w:val="21"/>
                      <w:szCs w:val="21"/>
                      <w:highlight w:val="none"/>
                      <w:u w:val="none" w:color="auto"/>
                      <w:vertAlign w:val="baseline"/>
                      <w:lang w:val="en-US" w:eastAsia="zh-CN"/>
                      <w14:textFill>
                        <w14:solidFill>
                          <w14:schemeClr w14:val="tx1"/>
                        </w14:solidFill>
                      </w14:textFill>
                    </w:rPr>
                    <w:t>7.0</w:t>
                  </w:r>
                </w:p>
              </w:tc>
              <w:tc>
                <w:tcPr>
                  <w:tcW w:w="1249" w:type="pct"/>
                  <w:vAlign w:val="center"/>
                </w:tcPr>
                <w:p w14:paraId="1FC2C242">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sz w:val="21"/>
                      <w:szCs w:val="21"/>
                      <w:highlight w:val="none"/>
                      <w:u w:val="none" w:color="auto"/>
                      <w:vertAlign w:val="baseline"/>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highlight w:val="none"/>
                      <w:u w:val="none" w:color="auto"/>
                      <w:vertAlign w:val="baseline"/>
                      <w:lang w:val="en-US" w:eastAsia="zh-CN"/>
                      <w14:textFill>
                        <w14:solidFill>
                          <w14:schemeClr w14:val="tx1"/>
                        </w14:solidFill>
                      </w14:textFill>
                    </w:rPr>
                    <w:t>10</w:t>
                  </w:r>
                  <w:r>
                    <w:rPr>
                      <w:rFonts w:hint="default" w:ascii="Times New Roman" w:hAnsi="Times New Roman" w:cs="Times New Roman"/>
                      <w:bCs/>
                      <w:color w:val="000000" w:themeColor="text1"/>
                      <w:sz w:val="21"/>
                      <w:szCs w:val="21"/>
                      <w:highlight w:val="none"/>
                      <w:u w:val="none" w:color="auto"/>
                      <w:vertAlign w:val="baseline"/>
                      <w:lang w:val="en-US" w:eastAsia="zh-CN"/>
                      <w14:textFill>
                        <w14:solidFill>
                          <w14:schemeClr w14:val="tx1"/>
                        </w14:solidFill>
                      </w14:textFill>
                    </w:rPr>
                    <w:t>.0</w:t>
                  </w:r>
                </w:p>
              </w:tc>
              <w:tc>
                <w:tcPr>
                  <w:tcW w:w="1250" w:type="pct"/>
                  <w:vAlign w:val="center"/>
                </w:tcPr>
                <w:p w14:paraId="0904D40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sz w:val="21"/>
                      <w:szCs w:val="21"/>
                      <w:highlight w:val="none"/>
                      <w:u w:val="none" w:color="auto"/>
                      <w:vertAlign w:val="baseline"/>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highlight w:val="none"/>
                      <w:u w:val="none" w:color="auto"/>
                      <w:vertAlign w:val="baseline"/>
                      <w:lang w:val="en-US" w:eastAsia="zh-CN"/>
                      <w14:textFill>
                        <w14:solidFill>
                          <w14:schemeClr w14:val="tx1"/>
                        </w14:solidFill>
                      </w14:textFill>
                    </w:rPr>
                    <w:t>20</w:t>
                  </w:r>
                  <w:r>
                    <w:rPr>
                      <w:rFonts w:hint="default" w:ascii="Times New Roman" w:hAnsi="Times New Roman" w:cs="Times New Roman"/>
                      <w:bCs/>
                      <w:color w:val="000000" w:themeColor="text1"/>
                      <w:sz w:val="21"/>
                      <w:szCs w:val="21"/>
                      <w:highlight w:val="none"/>
                      <w:u w:val="none" w:color="auto"/>
                      <w:vertAlign w:val="baseline"/>
                      <w:lang w:val="en-US" w:eastAsia="zh-CN"/>
                      <w14:textFill>
                        <w14:solidFill>
                          <w14:schemeClr w14:val="tx1"/>
                        </w14:solidFill>
                      </w14:textFill>
                    </w:rPr>
                    <w:t>.0</w:t>
                  </w:r>
                </w:p>
              </w:tc>
            </w:tr>
            <w:tr w14:paraId="70D638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50" w:type="pct"/>
                  <w:vAlign w:val="center"/>
                </w:tcPr>
                <w:p w14:paraId="3FDE9785">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sz w:val="21"/>
                      <w:szCs w:val="21"/>
                      <w:highlight w:val="none"/>
                      <w:u w:val="none" w:color="auto"/>
                      <w:vertAlign w:val="baseline"/>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highlight w:val="none"/>
                      <w:u w:val="none" w:color="auto"/>
                      <w:vertAlign w:val="baseline"/>
                      <w:lang w:val="en-US" w:eastAsia="zh-CN"/>
                      <w14:textFill>
                        <w14:solidFill>
                          <w14:schemeClr w14:val="tx1"/>
                        </w14:solidFill>
                      </w14:textFill>
                    </w:rPr>
                    <w:t>挥发分/%     ≤</w:t>
                  </w:r>
                </w:p>
              </w:tc>
              <w:tc>
                <w:tcPr>
                  <w:tcW w:w="1249" w:type="pct"/>
                  <w:vAlign w:val="center"/>
                </w:tcPr>
                <w:p w14:paraId="1310019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sz w:val="21"/>
                      <w:szCs w:val="21"/>
                      <w:highlight w:val="none"/>
                      <w:u w:val="none" w:color="auto"/>
                      <w:vertAlign w:val="baseline"/>
                      <w:lang w:val="en-US" w:eastAsia="zh-CN"/>
                      <w14:textFill>
                        <w14:solidFill>
                          <w14:schemeClr w14:val="tx1"/>
                        </w14:solidFill>
                      </w14:textFill>
                    </w:rPr>
                  </w:pPr>
                  <w:r>
                    <w:rPr>
                      <w:rFonts w:hint="default" w:ascii="Times New Roman" w:hAnsi="Times New Roman" w:cs="Times New Roman"/>
                      <w:bCs/>
                      <w:color w:val="000000" w:themeColor="text1"/>
                      <w:sz w:val="21"/>
                      <w:szCs w:val="21"/>
                      <w:highlight w:val="none"/>
                      <w:u w:val="none" w:color="auto"/>
                      <w:vertAlign w:val="baseline"/>
                      <w:lang w:val="en-US" w:eastAsia="zh-CN"/>
                      <w14:textFill>
                        <w14:solidFill>
                          <w14:schemeClr w14:val="tx1"/>
                        </w14:solidFill>
                      </w14:textFill>
                    </w:rPr>
                    <w:t>5.0</w:t>
                  </w:r>
                </w:p>
              </w:tc>
              <w:tc>
                <w:tcPr>
                  <w:tcW w:w="1249" w:type="pct"/>
                  <w:vAlign w:val="center"/>
                </w:tcPr>
                <w:p w14:paraId="3FA1371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sz w:val="21"/>
                      <w:szCs w:val="21"/>
                      <w:highlight w:val="none"/>
                      <w:u w:val="none" w:color="auto"/>
                      <w:vertAlign w:val="baseline"/>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highlight w:val="none"/>
                      <w:u w:val="none" w:color="auto"/>
                      <w:vertAlign w:val="baseline"/>
                      <w:lang w:val="en-US" w:eastAsia="zh-CN"/>
                      <w14:textFill>
                        <w14:solidFill>
                          <w14:schemeClr w14:val="tx1"/>
                        </w14:solidFill>
                      </w14:textFill>
                    </w:rPr>
                    <w:t>10</w:t>
                  </w:r>
                  <w:r>
                    <w:rPr>
                      <w:rFonts w:hint="default" w:ascii="Times New Roman" w:hAnsi="Times New Roman" w:cs="Times New Roman"/>
                      <w:bCs/>
                      <w:color w:val="000000" w:themeColor="text1"/>
                      <w:sz w:val="21"/>
                      <w:szCs w:val="21"/>
                      <w:highlight w:val="none"/>
                      <w:u w:val="none" w:color="auto"/>
                      <w:vertAlign w:val="baseline"/>
                      <w:lang w:val="en-US" w:eastAsia="zh-CN"/>
                      <w14:textFill>
                        <w14:solidFill>
                          <w14:schemeClr w14:val="tx1"/>
                        </w14:solidFill>
                      </w14:textFill>
                    </w:rPr>
                    <w:t>.0</w:t>
                  </w:r>
                </w:p>
              </w:tc>
              <w:tc>
                <w:tcPr>
                  <w:tcW w:w="1250" w:type="pct"/>
                  <w:vAlign w:val="center"/>
                </w:tcPr>
                <w:p w14:paraId="235F69F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sz w:val="21"/>
                      <w:szCs w:val="21"/>
                      <w:highlight w:val="none"/>
                      <w:u w:val="none" w:color="auto"/>
                      <w:vertAlign w:val="baseline"/>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highlight w:val="none"/>
                      <w:u w:val="none" w:color="auto"/>
                      <w:vertAlign w:val="baseline"/>
                      <w:lang w:val="en-US" w:eastAsia="zh-CN"/>
                      <w14:textFill>
                        <w14:solidFill>
                          <w14:schemeClr w14:val="tx1"/>
                        </w14:solidFill>
                      </w14:textFill>
                    </w:rPr>
                    <w:t>15</w:t>
                  </w:r>
                  <w:r>
                    <w:rPr>
                      <w:rFonts w:hint="default" w:ascii="Times New Roman" w:hAnsi="Times New Roman" w:cs="Times New Roman"/>
                      <w:bCs/>
                      <w:color w:val="000000" w:themeColor="text1"/>
                      <w:sz w:val="21"/>
                      <w:szCs w:val="21"/>
                      <w:highlight w:val="none"/>
                      <w:u w:val="none" w:color="auto"/>
                      <w:vertAlign w:val="baseline"/>
                      <w:lang w:val="en-US" w:eastAsia="zh-CN"/>
                      <w14:textFill>
                        <w14:solidFill>
                          <w14:schemeClr w14:val="tx1"/>
                        </w14:solidFill>
                      </w14:textFill>
                    </w:rPr>
                    <w:t>.0</w:t>
                  </w:r>
                </w:p>
              </w:tc>
            </w:tr>
            <w:tr w14:paraId="20DCD0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50" w:type="pct"/>
                  <w:vAlign w:val="center"/>
                </w:tcPr>
                <w:p w14:paraId="2EC8E0B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sz w:val="21"/>
                      <w:szCs w:val="21"/>
                      <w:highlight w:val="none"/>
                      <w:u w:val="none" w:color="auto"/>
                      <w:vertAlign w:val="baseline"/>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highlight w:val="none"/>
                      <w:u w:val="none" w:color="auto"/>
                      <w:vertAlign w:val="baseline"/>
                      <w:lang w:val="en-US" w:eastAsia="zh-CN"/>
                      <w14:textFill>
                        <w14:solidFill>
                          <w14:schemeClr w14:val="tx1"/>
                        </w14:solidFill>
                      </w14:textFill>
                    </w:rPr>
                    <w:t>固定碳/%      ≥</w:t>
                  </w:r>
                </w:p>
              </w:tc>
              <w:tc>
                <w:tcPr>
                  <w:tcW w:w="1249" w:type="pct"/>
                  <w:vAlign w:val="center"/>
                </w:tcPr>
                <w:p w14:paraId="02042BD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sz w:val="21"/>
                      <w:szCs w:val="21"/>
                      <w:highlight w:val="none"/>
                      <w:u w:val="none" w:color="auto"/>
                      <w:vertAlign w:val="baseline"/>
                      <w:lang w:val="en-US" w:eastAsia="zh-CN"/>
                      <w14:textFill>
                        <w14:solidFill>
                          <w14:schemeClr w14:val="tx1"/>
                        </w14:solidFill>
                      </w14:textFill>
                    </w:rPr>
                  </w:pPr>
                  <w:r>
                    <w:rPr>
                      <w:rFonts w:hint="default" w:ascii="Times New Roman" w:hAnsi="Times New Roman" w:cs="Times New Roman"/>
                      <w:bCs/>
                      <w:color w:val="000000" w:themeColor="text1"/>
                      <w:sz w:val="21"/>
                      <w:szCs w:val="21"/>
                      <w:highlight w:val="none"/>
                      <w:u w:val="none" w:color="auto"/>
                      <w:vertAlign w:val="baseline"/>
                      <w:lang w:val="en-US" w:eastAsia="zh-CN"/>
                      <w14:textFill>
                        <w14:solidFill>
                          <w14:schemeClr w14:val="tx1"/>
                        </w14:solidFill>
                      </w14:textFill>
                    </w:rPr>
                    <w:t>88.0</w:t>
                  </w:r>
                </w:p>
              </w:tc>
              <w:tc>
                <w:tcPr>
                  <w:tcW w:w="1249" w:type="pct"/>
                  <w:vAlign w:val="center"/>
                </w:tcPr>
                <w:p w14:paraId="2776E2C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sz w:val="21"/>
                      <w:szCs w:val="21"/>
                      <w:highlight w:val="none"/>
                      <w:u w:val="none" w:color="auto"/>
                      <w:vertAlign w:val="baseline"/>
                      <w:lang w:val="en-US" w:eastAsia="zh-CN"/>
                      <w14:textFill>
                        <w14:solidFill>
                          <w14:schemeClr w14:val="tx1"/>
                        </w14:solidFill>
                      </w14:textFill>
                    </w:rPr>
                  </w:pPr>
                  <w:r>
                    <w:rPr>
                      <w:rFonts w:hint="default" w:ascii="Times New Roman" w:hAnsi="Times New Roman" w:cs="Times New Roman"/>
                      <w:bCs/>
                      <w:color w:val="000000" w:themeColor="text1"/>
                      <w:sz w:val="21"/>
                      <w:szCs w:val="21"/>
                      <w:highlight w:val="none"/>
                      <w:u w:val="none" w:color="auto"/>
                      <w:vertAlign w:val="baseline"/>
                      <w:lang w:val="en-US" w:eastAsia="zh-CN"/>
                      <w14:textFill>
                        <w14:solidFill>
                          <w14:schemeClr w14:val="tx1"/>
                        </w14:solidFill>
                      </w14:textFill>
                    </w:rPr>
                    <w:t>80.0</w:t>
                  </w:r>
                </w:p>
              </w:tc>
              <w:tc>
                <w:tcPr>
                  <w:tcW w:w="1250" w:type="pct"/>
                  <w:vAlign w:val="center"/>
                </w:tcPr>
                <w:p w14:paraId="2DD5CFF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sz w:val="21"/>
                      <w:szCs w:val="21"/>
                      <w:highlight w:val="none"/>
                      <w:u w:val="none" w:color="auto"/>
                      <w:vertAlign w:val="baseline"/>
                      <w:lang w:val="en-US" w:eastAsia="zh-CN"/>
                      <w14:textFill>
                        <w14:solidFill>
                          <w14:schemeClr w14:val="tx1"/>
                        </w14:solidFill>
                      </w14:textFill>
                    </w:rPr>
                  </w:pPr>
                  <w:r>
                    <w:rPr>
                      <w:rFonts w:hint="default" w:ascii="Times New Roman" w:hAnsi="Times New Roman" w:cs="Times New Roman"/>
                      <w:bCs/>
                      <w:color w:val="000000" w:themeColor="text1"/>
                      <w:sz w:val="21"/>
                      <w:szCs w:val="21"/>
                      <w:highlight w:val="none"/>
                      <w:u w:val="none" w:color="auto"/>
                      <w:vertAlign w:val="baseline"/>
                      <w:lang w:val="en-US" w:eastAsia="zh-CN"/>
                      <w14:textFill>
                        <w14:solidFill>
                          <w14:schemeClr w14:val="tx1"/>
                        </w14:solidFill>
                      </w14:textFill>
                    </w:rPr>
                    <w:t>65.0</w:t>
                  </w:r>
                </w:p>
              </w:tc>
            </w:tr>
            <w:tr w14:paraId="20DDFE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50" w:type="pct"/>
                  <w:vAlign w:val="center"/>
                </w:tcPr>
                <w:p w14:paraId="67AA10A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sz w:val="21"/>
                      <w:szCs w:val="21"/>
                      <w:highlight w:val="none"/>
                      <w:u w:val="none" w:color="auto"/>
                      <w:vertAlign w:val="baseline"/>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highlight w:val="none"/>
                      <w:u w:val="none" w:color="auto"/>
                      <w:vertAlign w:val="baseline"/>
                      <w:lang w:val="en-US" w:eastAsia="zh-CN"/>
                      <w14:textFill>
                        <w14:solidFill>
                          <w14:schemeClr w14:val="tx1"/>
                        </w14:solidFill>
                      </w14:textFill>
                    </w:rPr>
                    <w:t>热值/（MJ/kg）  ≥</w:t>
                  </w:r>
                </w:p>
              </w:tc>
              <w:tc>
                <w:tcPr>
                  <w:tcW w:w="1249" w:type="pct"/>
                  <w:vAlign w:val="center"/>
                </w:tcPr>
                <w:p w14:paraId="3C774058">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sz w:val="21"/>
                      <w:szCs w:val="21"/>
                      <w:highlight w:val="none"/>
                      <w:u w:val="none" w:color="auto"/>
                      <w:vertAlign w:val="baseline"/>
                      <w:lang w:val="en-US" w:eastAsia="zh-CN"/>
                      <w14:textFill>
                        <w14:solidFill>
                          <w14:schemeClr w14:val="tx1"/>
                        </w14:solidFill>
                      </w14:textFill>
                    </w:rPr>
                  </w:pPr>
                  <w:r>
                    <w:rPr>
                      <w:rFonts w:hint="default" w:ascii="Times New Roman" w:hAnsi="Times New Roman" w:cs="Times New Roman"/>
                      <w:bCs/>
                      <w:color w:val="000000" w:themeColor="text1"/>
                      <w:sz w:val="21"/>
                      <w:szCs w:val="21"/>
                      <w:highlight w:val="none"/>
                      <w:u w:val="none" w:color="auto"/>
                      <w:vertAlign w:val="baseline"/>
                      <w:lang w:val="en-US" w:eastAsia="zh-CN"/>
                      <w14:textFill>
                        <w14:solidFill>
                          <w14:schemeClr w14:val="tx1"/>
                        </w14:solidFill>
                      </w14:textFill>
                    </w:rPr>
                    <w:t>28.0</w:t>
                  </w:r>
                </w:p>
              </w:tc>
              <w:tc>
                <w:tcPr>
                  <w:tcW w:w="1249" w:type="pct"/>
                  <w:vAlign w:val="center"/>
                </w:tcPr>
                <w:p w14:paraId="3768A45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sz w:val="21"/>
                      <w:szCs w:val="21"/>
                      <w:highlight w:val="none"/>
                      <w:u w:val="none" w:color="auto"/>
                      <w:vertAlign w:val="baseline"/>
                      <w:lang w:val="en-US" w:eastAsia="zh-CN"/>
                      <w14:textFill>
                        <w14:solidFill>
                          <w14:schemeClr w14:val="tx1"/>
                        </w14:solidFill>
                      </w14:textFill>
                    </w:rPr>
                  </w:pPr>
                  <w:r>
                    <w:rPr>
                      <w:rFonts w:hint="default" w:ascii="Times New Roman" w:hAnsi="Times New Roman" w:cs="Times New Roman"/>
                      <w:bCs/>
                      <w:color w:val="000000" w:themeColor="text1"/>
                      <w:sz w:val="21"/>
                      <w:szCs w:val="21"/>
                      <w:highlight w:val="none"/>
                      <w:u w:val="none" w:color="auto"/>
                      <w:vertAlign w:val="baseline"/>
                      <w:lang w:val="en-US" w:eastAsia="zh-CN"/>
                      <w14:textFill>
                        <w14:solidFill>
                          <w14:schemeClr w14:val="tx1"/>
                        </w14:solidFill>
                      </w14:textFill>
                    </w:rPr>
                    <w:t>25.0</w:t>
                  </w:r>
                </w:p>
              </w:tc>
              <w:tc>
                <w:tcPr>
                  <w:tcW w:w="1250" w:type="pct"/>
                  <w:vAlign w:val="center"/>
                </w:tcPr>
                <w:p w14:paraId="7DD7BD5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sz w:val="21"/>
                      <w:szCs w:val="21"/>
                      <w:highlight w:val="none"/>
                      <w:u w:val="none" w:color="auto"/>
                      <w:vertAlign w:val="baseline"/>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highlight w:val="none"/>
                      <w:u w:val="none" w:color="auto"/>
                      <w:vertAlign w:val="baseline"/>
                      <w:lang w:val="en-US" w:eastAsia="zh-CN"/>
                      <w14:textFill>
                        <w14:solidFill>
                          <w14:schemeClr w14:val="tx1"/>
                        </w14:solidFill>
                      </w14:textFill>
                    </w:rPr>
                    <w:t>23</w:t>
                  </w:r>
                  <w:r>
                    <w:rPr>
                      <w:rFonts w:hint="default" w:ascii="Times New Roman" w:hAnsi="Times New Roman" w:cs="Times New Roman"/>
                      <w:bCs/>
                      <w:color w:val="000000" w:themeColor="text1"/>
                      <w:sz w:val="21"/>
                      <w:szCs w:val="21"/>
                      <w:highlight w:val="none"/>
                      <w:u w:val="none" w:color="auto"/>
                      <w:vertAlign w:val="baseline"/>
                      <w:lang w:val="en-US" w:eastAsia="zh-CN"/>
                      <w14:textFill>
                        <w14:solidFill>
                          <w14:schemeClr w14:val="tx1"/>
                        </w14:solidFill>
                      </w14:textFill>
                    </w:rPr>
                    <w:t>.0</w:t>
                  </w:r>
                </w:p>
              </w:tc>
            </w:tr>
            <w:tr w14:paraId="4180B7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50" w:type="pct"/>
                  <w:vAlign w:val="center"/>
                </w:tcPr>
                <w:p w14:paraId="61E6C89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sz w:val="21"/>
                      <w:szCs w:val="21"/>
                      <w:highlight w:val="none"/>
                      <w:u w:val="none" w:color="auto"/>
                      <w:vertAlign w:val="baseline"/>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highlight w:val="none"/>
                      <w:u w:val="none" w:color="auto"/>
                      <w:vertAlign w:val="baseline"/>
                      <w:lang w:val="en-US" w:eastAsia="zh-CN"/>
                      <w14:textFill>
                        <w14:solidFill>
                          <w14:schemeClr w14:val="tx1"/>
                        </w14:solidFill>
                      </w14:textFill>
                    </w:rPr>
                    <w:t>容积重/（g/cm</w:t>
                  </w:r>
                  <w:r>
                    <w:rPr>
                      <w:rFonts w:hint="default" w:ascii="Times New Roman" w:hAnsi="Times New Roman" w:eastAsia="宋体" w:cs="Times New Roman"/>
                      <w:bCs/>
                      <w:color w:val="000000" w:themeColor="text1"/>
                      <w:sz w:val="21"/>
                      <w:szCs w:val="21"/>
                      <w:highlight w:val="none"/>
                      <w:u w:val="none" w:color="auto"/>
                      <w:vertAlign w:val="superscript"/>
                      <w:lang w:val="en-US" w:eastAsia="zh-CN"/>
                      <w14:textFill>
                        <w14:solidFill>
                          <w14:schemeClr w14:val="tx1"/>
                        </w14:solidFill>
                      </w14:textFill>
                    </w:rPr>
                    <w:t>3</w:t>
                  </w:r>
                  <w:r>
                    <w:rPr>
                      <w:rFonts w:hint="default" w:ascii="Times New Roman" w:hAnsi="Times New Roman" w:eastAsia="宋体" w:cs="Times New Roman"/>
                      <w:bCs/>
                      <w:color w:val="000000" w:themeColor="text1"/>
                      <w:sz w:val="21"/>
                      <w:szCs w:val="21"/>
                      <w:highlight w:val="none"/>
                      <w:u w:val="none" w:color="auto"/>
                      <w:vertAlign w:val="baseline"/>
                      <w:lang w:val="en-US" w:eastAsia="zh-CN"/>
                      <w14:textFill>
                        <w14:solidFill>
                          <w14:schemeClr w14:val="tx1"/>
                        </w14:solidFill>
                      </w14:textFill>
                    </w:rPr>
                    <w:t>） ≥</w:t>
                  </w:r>
                </w:p>
              </w:tc>
              <w:tc>
                <w:tcPr>
                  <w:tcW w:w="3749" w:type="pct"/>
                  <w:gridSpan w:val="3"/>
                  <w:vAlign w:val="center"/>
                </w:tcPr>
                <w:p w14:paraId="135238E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sz w:val="21"/>
                      <w:szCs w:val="21"/>
                      <w:highlight w:val="none"/>
                      <w:u w:val="none" w:color="auto"/>
                      <w:vertAlign w:val="baseline"/>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highlight w:val="none"/>
                      <w:u w:val="none" w:color="auto"/>
                      <w:vertAlign w:val="baseline"/>
                      <w:lang w:val="en-US" w:eastAsia="zh-CN"/>
                      <w14:textFill>
                        <w14:solidFill>
                          <w14:schemeClr w14:val="tx1"/>
                        </w14:solidFill>
                      </w14:textFill>
                    </w:rPr>
                    <w:t>0.8</w:t>
                  </w:r>
                </w:p>
              </w:tc>
            </w:tr>
            <w:tr w14:paraId="2E1B33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00" w:type="pct"/>
                  <w:gridSpan w:val="4"/>
                  <w:vAlign w:val="center"/>
                </w:tcPr>
                <w:p w14:paraId="67821E5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both"/>
                    <w:textAlignment w:val="auto"/>
                    <w:rPr>
                      <w:rFonts w:hint="default" w:ascii="Times New Roman" w:hAnsi="Times New Roman" w:eastAsia="宋体" w:cs="Times New Roman"/>
                      <w:bCs/>
                      <w:color w:val="000000" w:themeColor="text1"/>
                      <w:sz w:val="21"/>
                      <w:szCs w:val="21"/>
                      <w:highlight w:val="none"/>
                      <w:u w:val="none" w:color="auto"/>
                      <w:vertAlign w:val="baseline"/>
                      <w:lang w:val="en-US" w:eastAsia="zh-CN"/>
                      <w14:textFill>
                        <w14:solidFill>
                          <w14:schemeClr w14:val="tx1"/>
                        </w14:solidFill>
                      </w14:textFill>
                    </w:rPr>
                  </w:pPr>
                  <w:r>
                    <w:rPr>
                      <w:rFonts w:hint="default" w:ascii="Times New Roman" w:hAnsi="Times New Roman" w:cs="Times New Roman"/>
                      <w:bCs/>
                      <w:color w:val="000000" w:themeColor="text1"/>
                      <w:sz w:val="21"/>
                      <w:szCs w:val="21"/>
                      <w:highlight w:val="none"/>
                      <w:u w:val="none" w:color="auto"/>
                      <w:vertAlign w:val="baseline"/>
                      <w:lang w:val="en-US" w:eastAsia="zh-CN"/>
                      <w14:textFill>
                        <w14:solidFill>
                          <w14:schemeClr w14:val="tx1"/>
                        </w14:solidFill>
                      </w14:textFill>
                    </w:rPr>
                    <w:t>注：如有特殊要求，由双方另行协议决定。</w:t>
                  </w:r>
                </w:p>
              </w:tc>
            </w:tr>
          </w:tbl>
          <w:p w14:paraId="6E8BCE0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cs="Times New Roman"/>
              </w:rPr>
            </w:pPr>
            <w:r>
              <w:rPr>
                <w:rFonts w:hint="default" w:ascii="Times New Roman" w:hAnsi="Times New Roman" w:eastAsia="瀹嬩綋" w:cs="Times New Roman"/>
                <w:b/>
                <w:bCs/>
                <w:color w:val="000000"/>
                <w:kern w:val="0"/>
                <w:sz w:val="24"/>
                <w:szCs w:val="24"/>
                <w:lang w:val="en-US" w:eastAsia="zh-CN" w:bidi="ar"/>
              </w:rPr>
              <w:t>副产品理化性质及综合利用途径：</w:t>
            </w:r>
          </w:p>
          <w:p w14:paraId="430291F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cs="Times New Roman"/>
              </w:rPr>
            </w:pPr>
            <w:r>
              <w:rPr>
                <w:rFonts w:hint="default" w:ascii="Times New Roman" w:hAnsi="Times New Roman" w:eastAsia="瀹嬩綋" w:cs="Times New Roman"/>
                <w:color w:val="000000"/>
                <w:kern w:val="0"/>
                <w:sz w:val="24"/>
                <w:szCs w:val="24"/>
                <w:lang w:val="en-US" w:eastAsia="zh-CN" w:bidi="ar"/>
              </w:rPr>
              <w:t>①木焦油</w:t>
            </w:r>
          </w:p>
          <w:p w14:paraId="436C1E3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cs="Times New Roman"/>
              </w:rPr>
            </w:pPr>
            <w:r>
              <w:rPr>
                <w:rFonts w:hint="default" w:ascii="Times New Roman" w:hAnsi="Times New Roman" w:eastAsia="瀹嬩綋" w:cs="Times New Roman"/>
                <w:color w:val="000000"/>
                <w:kern w:val="0"/>
                <w:sz w:val="24"/>
                <w:szCs w:val="24"/>
                <w:lang w:val="en-US" w:eastAsia="zh-CN" w:bidi="ar"/>
              </w:rPr>
              <w:t xml:space="preserve">理化性质：是一种含烃类、酸类、酚类较高的有机化合物，为黑色的油腻性液体，燃烧后产生煤烟的味道，其比重为 </w:t>
            </w:r>
            <w:r>
              <w:rPr>
                <w:rFonts w:hint="default" w:ascii="Times New Roman" w:hAnsi="Times New Roman" w:eastAsia="宋体" w:cs="Times New Roman"/>
                <w:color w:val="000000"/>
                <w:kern w:val="0"/>
                <w:sz w:val="24"/>
                <w:szCs w:val="24"/>
                <w:lang w:val="en-US" w:eastAsia="zh-CN" w:bidi="ar"/>
              </w:rPr>
              <w:t xml:space="preserve">1.037 </w:t>
            </w:r>
            <w:r>
              <w:rPr>
                <w:rFonts w:hint="default" w:ascii="Times New Roman" w:hAnsi="Times New Roman" w:eastAsia="瀹嬩綋" w:cs="Times New Roman"/>
                <w:color w:val="000000"/>
                <w:kern w:val="0"/>
                <w:sz w:val="24"/>
                <w:szCs w:val="24"/>
                <w:lang w:val="en-US" w:eastAsia="zh-CN" w:bidi="ar"/>
              </w:rPr>
              <w:t xml:space="preserve">到 </w:t>
            </w:r>
            <w:r>
              <w:rPr>
                <w:rFonts w:hint="default" w:ascii="Times New Roman" w:hAnsi="Times New Roman" w:eastAsia="宋体" w:cs="Times New Roman"/>
                <w:color w:val="000000"/>
                <w:kern w:val="0"/>
                <w:sz w:val="24"/>
                <w:szCs w:val="24"/>
                <w:lang w:val="en-US" w:eastAsia="zh-CN" w:bidi="ar"/>
              </w:rPr>
              <w:t>1.087</w:t>
            </w:r>
            <w:r>
              <w:rPr>
                <w:rFonts w:hint="default" w:ascii="Times New Roman" w:hAnsi="Times New Roman" w:eastAsia="瀹嬩綋" w:cs="Times New Roman"/>
                <w:color w:val="000000"/>
                <w:kern w:val="0"/>
                <w:sz w:val="24"/>
                <w:szCs w:val="24"/>
                <w:lang w:val="en-US" w:eastAsia="zh-CN" w:bidi="ar"/>
              </w:rPr>
              <w:t xml:space="preserve">，在常温下流动性较差，沸点是 </w:t>
            </w:r>
            <w:r>
              <w:rPr>
                <w:rFonts w:hint="default" w:ascii="Times New Roman" w:hAnsi="Times New Roman" w:eastAsia="宋体" w:cs="Times New Roman"/>
                <w:color w:val="000000"/>
                <w:kern w:val="0"/>
                <w:sz w:val="24"/>
                <w:szCs w:val="24"/>
                <w:lang w:val="en-US" w:eastAsia="zh-CN" w:bidi="ar"/>
              </w:rPr>
              <w:t>205</w:t>
            </w:r>
            <w:r>
              <w:rPr>
                <w:rFonts w:hint="default" w:ascii="Times New Roman" w:hAnsi="Times New Roman" w:eastAsia="瀹嬩綋"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255</w:t>
            </w:r>
            <w:r>
              <w:rPr>
                <w:rFonts w:hint="default" w:ascii="Times New Roman" w:hAnsi="Times New Roman" w:eastAsia="瀹嬩綋" w:cs="Times New Roman"/>
                <w:color w:val="000000"/>
                <w:kern w:val="0"/>
                <w:sz w:val="24"/>
                <w:szCs w:val="24"/>
                <w:lang w:val="en-US" w:eastAsia="zh-CN" w:bidi="ar"/>
              </w:rPr>
              <w:t>℃，燃点是</w:t>
            </w:r>
            <w:r>
              <w:rPr>
                <w:rFonts w:hint="default" w:ascii="Times New Roman" w:hAnsi="Times New Roman" w:eastAsia="宋体" w:cs="Times New Roman"/>
                <w:color w:val="000000"/>
                <w:kern w:val="0"/>
                <w:sz w:val="24"/>
                <w:szCs w:val="24"/>
                <w:lang w:val="en-US" w:eastAsia="zh-CN" w:bidi="ar"/>
              </w:rPr>
              <w:t>84</w:t>
            </w:r>
            <w:r>
              <w:rPr>
                <w:rFonts w:hint="default" w:ascii="Times New Roman" w:hAnsi="Times New Roman" w:eastAsia="瀹嬩綋"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86</w:t>
            </w:r>
            <w:r>
              <w:rPr>
                <w:rFonts w:hint="default" w:ascii="Times New Roman" w:hAnsi="Times New Roman" w:eastAsia="瀹嬩綋" w:cs="Times New Roman"/>
                <w:color w:val="000000"/>
                <w:kern w:val="0"/>
                <w:sz w:val="24"/>
                <w:szCs w:val="24"/>
                <w:lang w:val="en-US" w:eastAsia="zh-CN" w:bidi="ar"/>
              </w:rPr>
              <w:t>℃。木焦油属于危险化学品，危险货物编号</w:t>
            </w:r>
            <w:r>
              <w:rPr>
                <w:rFonts w:hint="default" w:ascii="Times New Roman" w:hAnsi="Times New Roman" w:eastAsia="宋体" w:cs="Times New Roman"/>
                <w:color w:val="000000"/>
                <w:kern w:val="0"/>
                <w:sz w:val="24"/>
                <w:szCs w:val="24"/>
                <w:lang w:val="en-US" w:eastAsia="zh-CN" w:bidi="ar"/>
              </w:rPr>
              <w:t>32192</w:t>
            </w:r>
            <w:r>
              <w:rPr>
                <w:rFonts w:hint="default" w:ascii="Times New Roman" w:hAnsi="Times New Roman" w:eastAsia="瀹嬩綋" w:cs="Times New Roman"/>
                <w:color w:val="000000"/>
                <w:kern w:val="0"/>
                <w:sz w:val="24"/>
                <w:szCs w:val="24"/>
                <w:lang w:val="en-US" w:eastAsia="zh-CN" w:bidi="ar"/>
              </w:rPr>
              <w:t xml:space="preserve">。 </w:t>
            </w:r>
          </w:p>
          <w:p w14:paraId="71DD8F7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cs="Times New Roman"/>
              </w:rPr>
            </w:pPr>
            <w:r>
              <w:rPr>
                <w:rFonts w:hint="default" w:ascii="Times New Roman" w:hAnsi="Times New Roman" w:eastAsia="瀹嬩綋" w:cs="Times New Roman"/>
                <w:color w:val="000000"/>
                <w:kern w:val="0"/>
                <w:sz w:val="24"/>
                <w:szCs w:val="24"/>
                <w:lang w:val="en-US" w:eastAsia="zh-CN" w:bidi="ar"/>
              </w:rPr>
              <w:t xml:space="preserve">主要用途：木焦油的主要成分是木杂酚油。木杂酚油是无色液体，但在空气与光的作用下呈现颜色，有烟味，有腐蚀性，主要用作消毒剂及防腐剂。 </w:t>
            </w:r>
          </w:p>
          <w:p w14:paraId="5AC94D8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cs="Times New Roman"/>
              </w:rPr>
            </w:pPr>
            <w:r>
              <w:rPr>
                <w:rFonts w:hint="default" w:ascii="Times New Roman" w:hAnsi="Times New Roman" w:eastAsia="瀹嬩綋" w:cs="Times New Roman"/>
                <w:color w:val="000000"/>
                <w:kern w:val="0"/>
                <w:sz w:val="24"/>
                <w:szCs w:val="24"/>
                <w:lang w:val="en-US" w:eastAsia="zh-CN" w:bidi="ar"/>
              </w:rPr>
              <w:t xml:space="preserve">木焦油经加工后可获得杂酚油、抗聚剂、浮选起泡剂、木沥青等产品，也可用于医药、合成橡胶和冶金等行业。 </w:t>
            </w:r>
          </w:p>
          <w:p w14:paraId="423661E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cs="Times New Roman"/>
              </w:rPr>
            </w:pPr>
            <w:r>
              <w:rPr>
                <w:rFonts w:hint="default" w:ascii="Times New Roman" w:hAnsi="Times New Roman" w:eastAsia="瀹嬩綋" w:cs="Times New Roman"/>
                <w:color w:val="000000"/>
                <w:kern w:val="0"/>
                <w:sz w:val="24"/>
                <w:szCs w:val="24"/>
                <w:lang w:val="en-US" w:eastAsia="zh-CN" w:bidi="ar"/>
              </w:rPr>
              <w:t xml:space="preserve">②木醋液 </w:t>
            </w:r>
          </w:p>
          <w:p w14:paraId="219888E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cs="Times New Roman"/>
              </w:rPr>
            </w:pPr>
            <w:r>
              <w:rPr>
                <w:rFonts w:hint="default" w:ascii="Times New Roman" w:hAnsi="Times New Roman" w:eastAsia="瀹嬩綋" w:cs="Times New Roman"/>
                <w:color w:val="000000"/>
                <w:kern w:val="0"/>
                <w:sz w:val="24"/>
                <w:szCs w:val="24"/>
                <w:lang w:val="en-US" w:eastAsia="zh-CN" w:bidi="ar"/>
              </w:rPr>
              <w:t>理化性质：是以醋酸为主要成分的酸性液体，与食醋的成分和色调极为相似，含有</w:t>
            </w:r>
            <w:r>
              <w:rPr>
                <w:rFonts w:hint="default" w:ascii="Times New Roman" w:hAnsi="Times New Roman" w:eastAsia="宋体" w:cs="Times New Roman"/>
                <w:color w:val="000000"/>
                <w:kern w:val="0"/>
                <w:sz w:val="24"/>
                <w:szCs w:val="24"/>
                <w:lang w:val="en-US" w:eastAsia="zh-CN" w:bidi="ar"/>
              </w:rPr>
              <w:t>K</w:t>
            </w:r>
            <w:r>
              <w:rPr>
                <w:rFonts w:hint="default" w:ascii="Times New Roman" w:hAnsi="Times New Roman" w:eastAsia="瀹嬩綋"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Ca</w:t>
            </w:r>
            <w:r>
              <w:rPr>
                <w:rFonts w:hint="default" w:ascii="Times New Roman" w:hAnsi="Times New Roman" w:eastAsia="瀹嬩綋"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Mg</w:t>
            </w:r>
            <w:r>
              <w:rPr>
                <w:rFonts w:hint="default" w:ascii="Times New Roman" w:hAnsi="Times New Roman" w:eastAsia="瀹嬩綋"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Zn</w:t>
            </w:r>
            <w:r>
              <w:rPr>
                <w:rFonts w:hint="default" w:ascii="Times New Roman" w:hAnsi="Times New Roman" w:eastAsia="瀹嬩綋"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Ge</w:t>
            </w:r>
            <w:r>
              <w:rPr>
                <w:rFonts w:hint="default" w:ascii="Times New Roman" w:hAnsi="Times New Roman" w:eastAsia="瀹嬩綋"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Mn</w:t>
            </w:r>
            <w:r>
              <w:rPr>
                <w:rFonts w:hint="default" w:ascii="Times New Roman" w:hAnsi="Times New Roman" w:eastAsia="瀹嬩綋"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Fe</w:t>
            </w:r>
            <w:r>
              <w:rPr>
                <w:rFonts w:hint="default" w:ascii="Times New Roman" w:hAnsi="Times New Roman" w:eastAsia="瀹嬩綋" w:cs="Times New Roman"/>
                <w:color w:val="000000"/>
                <w:kern w:val="0"/>
                <w:sz w:val="24"/>
                <w:szCs w:val="24"/>
                <w:lang w:val="en-US" w:eastAsia="zh-CN" w:bidi="ar"/>
              </w:rPr>
              <w:t>等矿物质，此外还含有维他命</w:t>
            </w:r>
            <w:r>
              <w:rPr>
                <w:rFonts w:hint="default" w:ascii="Times New Roman" w:hAnsi="Times New Roman" w:eastAsia="宋体" w:cs="Times New Roman"/>
                <w:color w:val="000000"/>
                <w:kern w:val="0"/>
                <w:sz w:val="24"/>
                <w:szCs w:val="24"/>
                <w:lang w:val="en-US" w:eastAsia="zh-CN" w:bidi="ar"/>
              </w:rPr>
              <w:t>B1</w:t>
            </w:r>
            <w:r>
              <w:rPr>
                <w:rFonts w:hint="default" w:ascii="Times New Roman" w:hAnsi="Times New Roman" w:eastAsia="瀹嬩綋" w:cs="Times New Roman"/>
                <w:color w:val="000000"/>
                <w:kern w:val="0"/>
                <w:sz w:val="24"/>
                <w:szCs w:val="24"/>
                <w:lang w:val="en-US" w:eastAsia="zh-CN" w:bidi="ar"/>
              </w:rPr>
              <w:t>和</w:t>
            </w:r>
            <w:r>
              <w:rPr>
                <w:rFonts w:hint="default" w:ascii="Times New Roman" w:hAnsi="Times New Roman" w:eastAsia="宋体" w:cs="Times New Roman"/>
                <w:color w:val="000000"/>
                <w:kern w:val="0"/>
                <w:sz w:val="24"/>
                <w:szCs w:val="24"/>
                <w:lang w:val="en-US" w:eastAsia="zh-CN" w:bidi="ar"/>
              </w:rPr>
              <w:t>B2</w:t>
            </w:r>
            <w:r>
              <w:rPr>
                <w:rFonts w:hint="default" w:ascii="Times New Roman" w:hAnsi="Times New Roman" w:eastAsia="瀹嬩綋" w:cs="Times New Roman"/>
                <w:color w:val="000000"/>
                <w:kern w:val="0"/>
                <w:sz w:val="24"/>
                <w:szCs w:val="24"/>
                <w:lang w:val="en-US" w:eastAsia="zh-CN" w:bidi="ar"/>
              </w:rPr>
              <w:t xml:space="preserve">。 </w:t>
            </w:r>
          </w:p>
          <w:p w14:paraId="22606D0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cs="Times New Roman"/>
              </w:rPr>
            </w:pPr>
            <w:r>
              <w:rPr>
                <w:rFonts w:hint="default" w:ascii="Times New Roman" w:hAnsi="Times New Roman" w:eastAsia="瀹嬩綋" w:cs="Times New Roman"/>
                <w:color w:val="000000"/>
                <w:kern w:val="0"/>
                <w:sz w:val="24"/>
                <w:szCs w:val="24"/>
                <w:lang w:val="en-US" w:eastAsia="zh-CN" w:bidi="ar"/>
              </w:rPr>
              <w:t xml:space="preserve">主要用途： </w:t>
            </w:r>
          </w:p>
          <w:p w14:paraId="6B1367F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cs="Times New Roman"/>
              </w:rPr>
            </w:pPr>
            <w:r>
              <w:rPr>
                <w:rFonts w:hint="default" w:ascii="Times New Roman" w:hAnsi="Times New Roman" w:eastAsia="宋体" w:cs="Times New Roman"/>
                <w:color w:val="000000"/>
                <w:kern w:val="0"/>
                <w:sz w:val="24"/>
                <w:szCs w:val="24"/>
                <w:lang w:val="en-US" w:eastAsia="zh-CN" w:bidi="ar"/>
              </w:rPr>
              <w:t>a.</w:t>
            </w:r>
            <w:r>
              <w:rPr>
                <w:rFonts w:hint="default" w:ascii="Times New Roman" w:hAnsi="Times New Roman" w:eastAsia="瀹嬩綋" w:cs="Times New Roman"/>
                <w:color w:val="000000"/>
                <w:kern w:val="0"/>
                <w:sz w:val="24"/>
                <w:szCs w:val="24"/>
                <w:lang w:val="en-US" w:eastAsia="zh-CN" w:bidi="ar"/>
              </w:rPr>
              <w:t>土壤改良：将木醋液喷洒在土壤中可以预防种子的立枯病，也可用作土壤的消毒剂。土壤中施用竹醋液能有效抑制有碍植物生长的微生物类的繁殖，并能杀死根瘤线虫等害虫。</w:t>
            </w:r>
          </w:p>
          <w:p w14:paraId="01DC2DB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cs="Times New Roman"/>
              </w:rPr>
            </w:pPr>
            <w:r>
              <w:rPr>
                <w:rFonts w:hint="default" w:ascii="Times New Roman" w:hAnsi="Times New Roman" w:eastAsia="宋体" w:cs="Times New Roman"/>
                <w:color w:val="000000"/>
                <w:kern w:val="0"/>
                <w:sz w:val="24"/>
                <w:szCs w:val="24"/>
                <w:lang w:val="en-US" w:eastAsia="zh-CN" w:bidi="ar"/>
              </w:rPr>
              <w:t>b.</w:t>
            </w:r>
            <w:r>
              <w:rPr>
                <w:rFonts w:hint="default" w:ascii="Times New Roman" w:hAnsi="Times New Roman" w:eastAsia="瀹嬩綋" w:cs="Times New Roman"/>
                <w:color w:val="000000"/>
                <w:kern w:val="0"/>
                <w:sz w:val="24"/>
                <w:szCs w:val="24"/>
                <w:lang w:val="en-US" w:eastAsia="zh-CN" w:bidi="ar"/>
              </w:rPr>
              <w:t xml:space="preserve">除臭：木醋液可用于厕所粪便处理、家畜舍及鱼市场等生鲜物品腐败时所发出的恶臭脱臭。将木醋液喷洒在卫生间等有恶臭的地方，能消除臭味，保持空气清新，喷洒一次能维持 </w:t>
            </w:r>
            <w:r>
              <w:rPr>
                <w:rFonts w:hint="default" w:ascii="Times New Roman" w:hAnsi="Times New Roman" w:eastAsia="宋体" w:cs="Times New Roman"/>
                <w:color w:val="000000"/>
                <w:kern w:val="0"/>
                <w:sz w:val="24"/>
                <w:szCs w:val="24"/>
                <w:lang w:val="en-US" w:eastAsia="zh-CN" w:bidi="ar"/>
              </w:rPr>
              <w:t>3</w:t>
            </w:r>
            <w:r>
              <w:rPr>
                <w:rFonts w:hint="default" w:ascii="Times New Roman" w:hAnsi="Times New Roman" w:eastAsia="瀹嬩綋"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 xml:space="preserve">5 </w:t>
            </w:r>
            <w:r>
              <w:rPr>
                <w:rFonts w:hint="default" w:ascii="Times New Roman" w:hAnsi="Times New Roman" w:eastAsia="瀹嬩綋" w:cs="Times New Roman"/>
                <w:color w:val="000000"/>
                <w:kern w:val="0"/>
                <w:sz w:val="24"/>
                <w:szCs w:val="24"/>
                <w:lang w:val="en-US" w:eastAsia="zh-CN" w:bidi="ar"/>
              </w:rPr>
              <w:t xml:space="preserve">天。夏天还可作为香水消除身上汗臭等七位，并使人感到凉爽。 </w:t>
            </w:r>
          </w:p>
          <w:p w14:paraId="520310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cs="Times New Roman"/>
              </w:rPr>
            </w:pPr>
            <w:r>
              <w:rPr>
                <w:rFonts w:hint="default" w:ascii="Times New Roman" w:hAnsi="Times New Roman" w:eastAsia="宋体" w:cs="Times New Roman"/>
                <w:color w:val="000000"/>
                <w:kern w:val="0"/>
                <w:sz w:val="24"/>
                <w:szCs w:val="24"/>
                <w:lang w:val="en-US" w:eastAsia="zh-CN" w:bidi="ar"/>
              </w:rPr>
              <w:t>c.</w:t>
            </w:r>
            <w:r>
              <w:rPr>
                <w:rFonts w:hint="default" w:ascii="Times New Roman" w:hAnsi="Times New Roman" w:eastAsia="瀹嬩綋" w:cs="Times New Roman"/>
                <w:color w:val="000000"/>
                <w:kern w:val="0"/>
                <w:sz w:val="24"/>
                <w:szCs w:val="24"/>
                <w:lang w:val="en-US" w:eastAsia="zh-CN" w:bidi="ar"/>
              </w:rPr>
              <w:t xml:space="preserve">植物生长调节剂：木醋液能够促进蔬菜、果树、花卉、水稻、草坪等植物的生长。此外，木醋液还可以制造肥料，抑制杂草的生长，减少农药用量，虫害的曲驱避剂等。 </w:t>
            </w:r>
          </w:p>
          <w:p w14:paraId="1838239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cs="Times New Roman"/>
              </w:rPr>
            </w:pPr>
            <w:r>
              <w:rPr>
                <w:rFonts w:hint="default" w:ascii="Times New Roman" w:hAnsi="Times New Roman" w:eastAsia="宋体" w:cs="Times New Roman"/>
                <w:color w:val="000000"/>
                <w:kern w:val="0"/>
                <w:sz w:val="24"/>
                <w:szCs w:val="24"/>
                <w:lang w:val="en-US" w:eastAsia="zh-CN" w:bidi="ar"/>
              </w:rPr>
              <w:t>d.</w:t>
            </w:r>
            <w:r>
              <w:rPr>
                <w:rFonts w:hint="default" w:ascii="Times New Roman" w:hAnsi="Times New Roman" w:eastAsia="瀹嬩綋" w:cs="Times New Roman"/>
                <w:color w:val="000000"/>
                <w:kern w:val="0"/>
                <w:sz w:val="24"/>
                <w:szCs w:val="24"/>
                <w:lang w:val="en-US" w:eastAsia="zh-CN" w:bidi="ar"/>
              </w:rPr>
              <w:t xml:space="preserve">食品的保存：木醋液常用于食品工业中的抗霉、抗菌、抗氧化性。 </w:t>
            </w:r>
          </w:p>
          <w:p w14:paraId="05F2EAC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cs="Times New Roman"/>
              </w:rPr>
            </w:pPr>
            <w:r>
              <w:rPr>
                <w:rFonts w:hint="default" w:ascii="Times New Roman" w:hAnsi="Times New Roman" w:eastAsia="宋体" w:cs="Times New Roman"/>
                <w:color w:val="000000"/>
                <w:kern w:val="0"/>
                <w:sz w:val="24"/>
                <w:szCs w:val="24"/>
                <w:lang w:val="en-US" w:eastAsia="zh-CN" w:bidi="ar"/>
              </w:rPr>
              <w:t>e.</w:t>
            </w:r>
            <w:r>
              <w:rPr>
                <w:rFonts w:hint="default" w:ascii="Times New Roman" w:hAnsi="Times New Roman" w:eastAsia="瀹嬩綋" w:cs="Times New Roman"/>
                <w:color w:val="000000"/>
                <w:kern w:val="0"/>
                <w:sz w:val="24"/>
                <w:szCs w:val="24"/>
                <w:lang w:val="en-US" w:eastAsia="zh-CN" w:bidi="ar"/>
              </w:rPr>
              <w:t xml:space="preserve">饮料添加剂：木醋液原液经过精致处理，除去甲醇、甲醛等有害物质，可作为健康饮料添加剂。 </w:t>
            </w:r>
          </w:p>
          <w:p w14:paraId="17E0E3E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瀹嬩綋"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f.</w:t>
            </w:r>
            <w:r>
              <w:rPr>
                <w:rFonts w:hint="default" w:ascii="Times New Roman" w:hAnsi="Times New Roman" w:eastAsia="瀹嬩綋" w:cs="Times New Roman"/>
                <w:color w:val="000000"/>
                <w:kern w:val="0"/>
                <w:sz w:val="24"/>
                <w:szCs w:val="24"/>
                <w:lang w:val="en-US" w:eastAsia="zh-CN" w:bidi="ar"/>
              </w:rPr>
              <w:t>饲料添加剂：木醋液作为饲料添加剂，可以改善家畜、养殖鱼类的肉质，改善鱼蛋白等品质和提高营养。</w:t>
            </w:r>
          </w:p>
          <w:p w14:paraId="6146E57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2" w:firstLineChars="200"/>
              <w:jc w:val="left"/>
              <w:textAlignment w:val="auto"/>
              <w:rPr>
                <w:rFonts w:hint="default" w:ascii="Times New Roman" w:hAnsi="Times New Roman" w:eastAsia="宋体" w:cs="Times New Roman"/>
                <w:b/>
                <w:color w:val="000000" w:themeColor="text1"/>
                <w:sz w:val="24"/>
                <w:szCs w:val="24"/>
                <w:highlight w:val="none"/>
                <w:u w:val="none" w:color="auto"/>
                <w14:textFill>
                  <w14:solidFill>
                    <w14:schemeClr w14:val="tx1"/>
                  </w14:solidFill>
                </w14:textFill>
              </w:rPr>
            </w:pPr>
            <w:r>
              <w:rPr>
                <w:rFonts w:hint="eastAsia" w:ascii="Times New Roman" w:hAnsi="Times New Roman" w:eastAsia="宋体" w:cs="Times New Roman"/>
                <w:b/>
                <w:color w:val="000000" w:themeColor="text1"/>
                <w:sz w:val="24"/>
                <w:szCs w:val="24"/>
                <w:highlight w:val="none"/>
                <w:u w:val="none" w:color="auto"/>
                <w:lang w:val="en-US" w:eastAsia="zh-CN"/>
                <w14:textFill>
                  <w14:solidFill>
                    <w14:schemeClr w14:val="tx1"/>
                  </w14:solidFill>
                </w14:textFill>
              </w:rPr>
              <w:t>5</w:t>
            </w:r>
            <w:r>
              <w:rPr>
                <w:rFonts w:hint="default" w:ascii="Times New Roman" w:hAnsi="Times New Roman" w:eastAsia="宋体" w:cs="Times New Roman"/>
                <w:b/>
                <w:color w:val="000000" w:themeColor="text1"/>
                <w:sz w:val="24"/>
                <w:szCs w:val="24"/>
                <w:highlight w:val="none"/>
                <w:u w:val="none" w:color="auto"/>
                <w14:textFill>
                  <w14:solidFill>
                    <w14:schemeClr w14:val="tx1"/>
                  </w14:solidFill>
                </w14:textFill>
              </w:rPr>
              <w:t>、主要生产设施及设施参数</w:t>
            </w:r>
          </w:p>
          <w:p w14:paraId="01BA44A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left"/>
              <w:textAlignment w:val="auto"/>
              <w:rPr>
                <w:rFonts w:hint="default" w:ascii="Times New Roman" w:hAnsi="Times New Roman" w:eastAsia="宋体" w:cs="Times New Roman"/>
                <w:b w:val="0"/>
                <w:bCs/>
                <w:color w:val="000000" w:themeColor="text1"/>
                <w:sz w:val="24"/>
                <w:szCs w:val="24"/>
                <w:highlight w:val="none"/>
                <w:u w:val="none" w:color="auto"/>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u w:val="none" w:color="auto"/>
                <w14:textFill>
                  <w14:solidFill>
                    <w14:schemeClr w14:val="tx1"/>
                  </w14:solidFill>
                </w14:textFill>
              </w:rPr>
              <w:t>本项目主要生产设施及设施参数见</w:t>
            </w:r>
            <w:r>
              <w:rPr>
                <w:rFonts w:hint="default" w:ascii="Times New Roman" w:hAnsi="Times New Roman" w:eastAsia="宋体" w:cs="Times New Roman"/>
                <w:b w:val="0"/>
                <w:bCs/>
                <w:color w:val="000000" w:themeColor="text1"/>
                <w:sz w:val="24"/>
                <w:szCs w:val="24"/>
                <w:highlight w:val="none"/>
                <w:u w:val="none" w:color="auto"/>
                <w:lang w:eastAsia="zh-CN"/>
                <w14:textFill>
                  <w14:solidFill>
                    <w14:schemeClr w14:val="tx1"/>
                  </w14:solidFill>
                </w14:textFill>
              </w:rPr>
              <w:t>下表</w:t>
            </w:r>
            <w:r>
              <w:rPr>
                <w:rFonts w:hint="default" w:ascii="Times New Roman" w:hAnsi="Times New Roman" w:eastAsia="宋体" w:cs="Times New Roman"/>
                <w:b w:val="0"/>
                <w:bCs/>
                <w:color w:val="000000" w:themeColor="text1"/>
                <w:sz w:val="24"/>
                <w:szCs w:val="24"/>
                <w:highlight w:val="none"/>
                <w:u w:val="none" w:color="auto"/>
                <w14:textFill>
                  <w14:solidFill>
                    <w14:schemeClr w14:val="tx1"/>
                  </w14:solidFill>
                </w14:textFill>
              </w:rPr>
              <w:t>。</w:t>
            </w:r>
          </w:p>
          <w:p w14:paraId="55DB2EA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default" w:ascii="Times New Roman" w:hAnsi="Times New Roman" w:eastAsia="宋体" w:cs="Times New Roman"/>
                <w:b/>
                <w:color w:val="000000" w:themeColor="text1"/>
                <w:kern w:val="2"/>
                <w:sz w:val="24"/>
                <w:szCs w:val="24"/>
                <w:highlight w:val="none"/>
                <w:u w:val="none" w:color="auto"/>
                <w:lang w:val="en-US" w:eastAsia="zh-CN" w:bidi="ar-SA"/>
                <w14:textFill>
                  <w14:solidFill>
                    <w14:schemeClr w14:val="tx1"/>
                  </w14:solidFill>
                </w14:textFill>
              </w:rPr>
            </w:pPr>
            <w:r>
              <w:rPr>
                <w:rFonts w:hint="default" w:ascii="Times New Roman" w:hAnsi="Times New Roman" w:eastAsia="宋体" w:cs="Times New Roman"/>
                <w:b/>
                <w:color w:val="000000" w:themeColor="text1"/>
                <w:kern w:val="2"/>
                <w:sz w:val="24"/>
                <w:szCs w:val="24"/>
                <w:highlight w:val="none"/>
                <w:u w:val="none" w:color="auto"/>
                <w:lang w:val="en-US" w:eastAsia="zh-CN" w:bidi="ar-SA"/>
                <w14:textFill>
                  <w14:solidFill>
                    <w14:schemeClr w14:val="tx1"/>
                  </w14:solidFill>
                </w14:textFill>
              </w:rPr>
              <w:t>表2-</w:t>
            </w:r>
            <w:r>
              <w:rPr>
                <w:rFonts w:hint="eastAsia" w:cs="Times New Roman"/>
                <w:b/>
                <w:color w:val="000000" w:themeColor="text1"/>
                <w:kern w:val="2"/>
                <w:sz w:val="24"/>
                <w:szCs w:val="24"/>
                <w:highlight w:val="none"/>
                <w:u w:val="none" w:color="auto"/>
                <w:lang w:val="en-US" w:eastAsia="zh-CN" w:bidi="ar-SA"/>
                <w14:textFill>
                  <w14:solidFill>
                    <w14:schemeClr w14:val="tx1"/>
                  </w14:solidFill>
                </w14:textFill>
              </w:rPr>
              <w:t>7</w:t>
            </w:r>
            <w:r>
              <w:rPr>
                <w:rFonts w:hint="default" w:ascii="Times New Roman" w:hAnsi="Times New Roman" w:eastAsia="宋体" w:cs="Times New Roman"/>
                <w:b/>
                <w:color w:val="000000" w:themeColor="text1"/>
                <w:kern w:val="2"/>
                <w:sz w:val="24"/>
                <w:szCs w:val="24"/>
                <w:highlight w:val="none"/>
                <w:u w:val="none" w:color="auto"/>
                <w:lang w:val="en-US" w:eastAsia="zh-CN" w:bidi="ar-SA"/>
                <w14:textFill>
                  <w14:solidFill>
                    <w14:schemeClr w14:val="tx1"/>
                  </w14:solidFill>
                </w14:textFill>
              </w:rPr>
              <w:t xml:space="preserve">   本项目主要生产设施及设施参数</w:t>
            </w:r>
          </w:p>
          <w:tbl>
            <w:tblPr>
              <w:tblStyle w:val="29"/>
              <w:tblW w:w="5000" w:type="pct"/>
              <w:jc w:val="center"/>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Layout w:type="autofit"/>
              <w:tblCellMar>
                <w:top w:w="0" w:type="dxa"/>
                <w:left w:w="108" w:type="dxa"/>
                <w:bottom w:w="0" w:type="dxa"/>
                <w:right w:w="108" w:type="dxa"/>
              </w:tblCellMar>
            </w:tblPr>
            <w:tblGrid>
              <w:gridCol w:w="748"/>
              <w:gridCol w:w="749"/>
              <w:gridCol w:w="1730"/>
              <w:gridCol w:w="1919"/>
              <w:gridCol w:w="909"/>
              <w:gridCol w:w="1172"/>
              <w:gridCol w:w="2057"/>
            </w:tblGrid>
            <w:tr w14:paraId="5F4A31EB">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454" w:hRule="atLeast"/>
                <w:jc w:val="center"/>
              </w:trPr>
              <w:tc>
                <w:tcPr>
                  <w:tcW w:w="403" w:type="pct"/>
                  <w:tcBorders>
                    <w:top w:val="single" w:color="auto" w:sz="4" w:space="0"/>
                    <w:left w:val="single" w:color="auto" w:sz="0" w:space="0"/>
                    <w:bottom w:val="single" w:color="auto" w:sz="4" w:space="0"/>
                    <w:right w:val="single" w:color="auto" w:sz="4" w:space="0"/>
                  </w:tcBorders>
                  <w:shd w:val="clear" w:color="auto" w:fill="FFFFFF"/>
                  <w:noWrap w:val="0"/>
                  <w:vAlign w:val="center"/>
                </w:tcPr>
                <w:p w14:paraId="33FA1010">
                  <w:pPr>
                    <w:pStyle w:val="36"/>
                    <w:bidi w:val="0"/>
                    <w:rPr>
                      <w:rFonts w:hint="default"/>
                      <w:b w:val="0"/>
                      <w:bCs/>
                      <w:lang w:val="en-US" w:eastAsia="zh-CN"/>
                    </w:rPr>
                  </w:pPr>
                  <w:r>
                    <w:rPr>
                      <w:rFonts w:hint="default"/>
                      <w:b w:val="0"/>
                      <w:bCs/>
                      <w:lang w:val="en-US" w:eastAsia="zh-CN"/>
                    </w:rPr>
                    <w:t>生产线</w:t>
                  </w:r>
                </w:p>
              </w:tc>
              <w:tc>
                <w:tcPr>
                  <w:tcW w:w="403" w:type="pct"/>
                  <w:tcBorders>
                    <w:top w:val="single" w:color="auto" w:sz="4" w:space="0"/>
                    <w:left w:val="single" w:color="auto" w:sz="4" w:space="0"/>
                    <w:bottom w:val="single" w:color="auto" w:sz="4" w:space="0"/>
                    <w:right w:val="single" w:color="auto" w:sz="4" w:space="0"/>
                  </w:tcBorders>
                  <w:shd w:val="clear" w:color="auto" w:fill="FFFFFF"/>
                  <w:noWrap w:val="0"/>
                  <w:vAlign w:val="center"/>
                </w:tcPr>
                <w:p w14:paraId="72867CEC">
                  <w:pPr>
                    <w:pStyle w:val="36"/>
                    <w:bidi w:val="0"/>
                    <w:rPr>
                      <w:rFonts w:hint="default"/>
                      <w:b w:val="0"/>
                      <w:bCs/>
                    </w:rPr>
                  </w:pPr>
                  <w:r>
                    <w:rPr>
                      <w:rFonts w:hint="default"/>
                      <w:b w:val="0"/>
                      <w:bCs/>
                    </w:rPr>
                    <w:t>序号</w:t>
                  </w:r>
                </w:p>
              </w:tc>
              <w:tc>
                <w:tcPr>
                  <w:tcW w:w="931" w:type="pct"/>
                  <w:tcBorders>
                    <w:top w:val="single" w:color="auto" w:sz="4" w:space="0"/>
                    <w:left w:val="single" w:color="auto" w:sz="4" w:space="0"/>
                    <w:bottom w:val="single" w:color="auto" w:sz="4" w:space="0"/>
                    <w:right w:val="single" w:color="auto" w:sz="4" w:space="0"/>
                  </w:tcBorders>
                  <w:shd w:val="clear" w:color="auto" w:fill="FFFFFF"/>
                  <w:noWrap w:val="0"/>
                  <w:vAlign w:val="center"/>
                </w:tcPr>
                <w:p w14:paraId="5944516E">
                  <w:pPr>
                    <w:pStyle w:val="36"/>
                    <w:bidi w:val="0"/>
                    <w:rPr>
                      <w:rFonts w:hint="default"/>
                      <w:b w:val="0"/>
                      <w:bCs/>
                    </w:rPr>
                  </w:pPr>
                  <w:r>
                    <w:rPr>
                      <w:rFonts w:hint="default"/>
                      <w:b w:val="0"/>
                      <w:bCs/>
                    </w:rPr>
                    <w:t>设备名称</w:t>
                  </w:r>
                </w:p>
              </w:tc>
              <w:tc>
                <w:tcPr>
                  <w:tcW w:w="1033" w:type="pct"/>
                  <w:tcBorders>
                    <w:top w:val="single" w:color="auto" w:sz="4" w:space="0"/>
                    <w:left w:val="single" w:color="auto" w:sz="4" w:space="0"/>
                    <w:bottom w:val="single" w:color="auto" w:sz="4" w:space="0"/>
                    <w:right w:val="single" w:color="auto" w:sz="4" w:space="0"/>
                  </w:tcBorders>
                  <w:shd w:val="clear" w:color="auto" w:fill="FFFFFF"/>
                  <w:noWrap w:val="0"/>
                  <w:vAlign w:val="center"/>
                </w:tcPr>
                <w:p w14:paraId="4B56B6D4">
                  <w:pPr>
                    <w:pStyle w:val="36"/>
                    <w:bidi w:val="0"/>
                    <w:rPr>
                      <w:rFonts w:hint="default"/>
                      <w:b w:val="0"/>
                      <w:bCs/>
                    </w:rPr>
                  </w:pPr>
                  <w:r>
                    <w:rPr>
                      <w:rFonts w:hint="default"/>
                      <w:b w:val="0"/>
                      <w:bCs/>
                    </w:rPr>
                    <w:t>设备参数</w:t>
                  </w:r>
                </w:p>
              </w:tc>
              <w:tc>
                <w:tcPr>
                  <w:tcW w:w="489" w:type="pct"/>
                  <w:tcBorders>
                    <w:top w:val="single" w:color="auto" w:sz="4" w:space="0"/>
                    <w:left w:val="single" w:color="auto" w:sz="4" w:space="0"/>
                    <w:bottom w:val="single" w:color="auto" w:sz="4" w:space="0"/>
                    <w:right w:val="single" w:color="auto" w:sz="4" w:space="0"/>
                  </w:tcBorders>
                  <w:shd w:val="clear" w:color="auto" w:fill="FFFFFF"/>
                  <w:noWrap w:val="0"/>
                  <w:vAlign w:val="center"/>
                </w:tcPr>
                <w:p w14:paraId="43A3707A">
                  <w:pPr>
                    <w:pStyle w:val="36"/>
                    <w:bidi w:val="0"/>
                    <w:rPr>
                      <w:rFonts w:hint="default"/>
                      <w:b w:val="0"/>
                      <w:bCs/>
                    </w:rPr>
                  </w:pPr>
                  <w:r>
                    <w:rPr>
                      <w:rFonts w:hint="default"/>
                      <w:b w:val="0"/>
                      <w:bCs/>
                    </w:rPr>
                    <w:t>数量</w:t>
                  </w:r>
                </w:p>
              </w:tc>
              <w:tc>
                <w:tcPr>
                  <w:tcW w:w="631" w:type="pct"/>
                  <w:tcBorders>
                    <w:top w:val="single" w:color="auto" w:sz="4" w:space="0"/>
                    <w:left w:val="single" w:color="auto" w:sz="4" w:space="0"/>
                    <w:bottom w:val="single" w:color="auto" w:sz="4" w:space="0"/>
                    <w:right w:val="single" w:color="auto" w:sz="4" w:space="0"/>
                  </w:tcBorders>
                  <w:shd w:val="clear" w:color="auto" w:fill="FFFFFF"/>
                  <w:noWrap w:val="0"/>
                  <w:vAlign w:val="center"/>
                </w:tcPr>
                <w:p w14:paraId="429F4290">
                  <w:pPr>
                    <w:pStyle w:val="36"/>
                    <w:bidi w:val="0"/>
                    <w:rPr>
                      <w:rFonts w:hint="default"/>
                      <w:b w:val="0"/>
                      <w:bCs/>
                    </w:rPr>
                  </w:pPr>
                  <w:r>
                    <w:rPr>
                      <w:rFonts w:hint="default"/>
                      <w:b w:val="0"/>
                      <w:bCs/>
                    </w:rPr>
                    <w:t>单位</w:t>
                  </w:r>
                </w:p>
              </w:tc>
              <w:tc>
                <w:tcPr>
                  <w:tcW w:w="1107" w:type="pct"/>
                  <w:tcBorders>
                    <w:top w:val="single" w:color="auto" w:sz="4" w:space="0"/>
                    <w:left w:val="single" w:color="auto" w:sz="4" w:space="0"/>
                    <w:bottom w:val="single" w:color="auto" w:sz="4" w:space="0"/>
                    <w:right w:val="single" w:color="auto" w:sz="4" w:space="0"/>
                  </w:tcBorders>
                  <w:shd w:val="clear" w:color="auto" w:fill="FFFFFF"/>
                  <w:noWrap w:val="0"/>
                  <w:vAlign w:val="center"/>
                </w:tcPr>
                <w:p w14:paraId="31CFA403">
                  <w:pPr>
                    <w:pStyle w:val="36"/>
                    <w:bidi w:val="0"/>
                    <w:rPr>
                      <w:rFonts w:hint="default"/>
                      <w:b w:val="0"/>
                      <w:bCs/>
                      <w:lang w:eastAsia="zh-CN"/>
                    </w:rPr>
                  </w:pPr>
                  <w:r>
                    <w:rPr>
                      <w:rFonts w:hint="default"/>
                      <w:b w:val="0"/>
                      <w:bCs/>
                      <w:lang w:val="en-US" w:eastAsia="zh-CN"/>
                    </w:rPr>
                    <w:t>备注</w:t>
                  </w:r>
                </w:p>
              </w:tc>
            </w:tr>
            <w:tr w14:paraId="13BF0F4E">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454" w:hRule="atLeast"/>
                <w:jc w:val="center"/>
              </w:trPr>
              <w:tc>
                <w:tcPr>
                  <w:tcW w:w="403" w:type="pct"/>
                  <w:vMerge w:val="restart"/>
                  <w:tcBorders>
                    <w:top w:val="single" w:color="auto" w:sz="4" w:space="0"/>
                    <w:left w:val="single" w:color="auto" w:sz="4" w:space="0"/>
                    <w:bottom w:val="single" w:color="auto" w:sz="4" w:space="0"/>
                    <w:right w:val="single" w:color="auto" w:sz="4" w:space="0"/>
                  </w:tcBorders>
                  <w:shd w:val="clear" w:color="auto" w:fill="FFFFFF"/>
                  <w:noWrap w:val="0"/>
                  <w:vAlign w:val="center"/>
                </w:tcPr>
                <w:p w14:paraId="30C31095">
                  <w:pPr>
                    <w:pStyle w:val="36"/>
                    <w:bidi w:val="0"/>
                    <w:rPr>
                      <w:rFonts w:hint="default"/>
                      <w:b w:val="0"/>
                      <w:bCs/>
                      <w:lang w:val="en-US" w:eastAsia="zh-CN"/>
                    </w:rPr>
                  </w:pPr>
                  <w:r>
                    <w:rPr>
                      <w:rFonts w:hint="default"/>
                      <w:b w:val="0"/>
                      <w:bCs/>
                      <w:lang w:val="en-US" w:eastAsia="zh-CN"/>
                    </w:rPr>
                    <w:t>生物质颗粒生产线</w:t>
                  </w:r>
                </w:p>
              </w:tc>
              <w:tc>
                <w:tcPr>
                  <w:tcW w:w="403" w:type="pct"/>
                  <w:tcBorders>
                    <w:top w:val="single" w:color="auto" w:sz="4" w:space="0"/>
                    <w:left w:val="single" w:color="auto" w:sz="4" w:space="0"/>
                    <w:bottom w:val="single" w:color="auto" w:sz="4" w:space="0"/>
                    <w:right w:val="single" w:color="auto" w:sz="4" w:space="0"/>
                  </w:tcBorders>
                  <w:shd w:val="clear" w:color="auto" w:fill="FFFFFF"/>
                  <w:noWrap w:val="0"/>
                  <w:vAlign w:val="center"/>
                </w:tcPr>
                <w:p w14:paraId="049BB0B8">
                  <w:pPr>
                    <w:pStyle w:val="36"/>
                    <w:bidi w:val="0"/>
                    <w:rPr>
                      <w:rFonts w:hint="default"/>
                      <w:b w:val="0"/>
                      <w:bCs/>
                    </w:rPr>
                  </w:pPr>
                  <w:r>
                    <w:rPr>
                      <w:rFonts w:hint="default"/>
                      <w:b w:val="0"/>
                      <w:bCs/>
                    </w:rPr>
                    <w:t>1</w:t>
                  </w:r>
                </w:p>
              </w:tc>
              <w:tc>
                <w:tcPr>
                  <w:tcW w:w="931" w:type="pct"/>
                  <w:tcBorders>
                    <w:top w:val="single" w:color="auto" w:sz="4" w:space="0"/>
                    <w:left w:val="single" w:color="auto" w:sz="4" w:space="0"/>
                    <w:bottom w:val="single" w:color="auto" w:sz="4" w:space="0"/>
                    <w:right w:val="single" w:color="auto" w:sz="4" w:space="0"/>
                  </w:tcBorders>
                  <w:shd w:val="clear" w:color="auto" w:fill="FFFFFF"/>
                  <w:noWrap w:val="0"/>
                  <w:vAlign w:val="center"/>
                </w:tcPr>
                <w:p w14:paraId="2AD1808A">
                  <w:pPr>
                    <w:pStyle w:val="36"/>
                    <w:bidi w:val="0"/>
                    <w:rPr>
                      <w:rFonts w:hint="default"/>
                      <w:b w:val="0"/>
                      <w:bCs/>
                      <w:lang w:val="en-US" w:eastAsia="zh-CN"/>
                    </w:rPr>
                  </w:pPr>
                  <w:r>
                    <w:rPr>
                      <w:rFonts w:hint="default"/>
                      <w:b w:val="0"/>
                      <w:bCs/>
                    </w:rPr>
                    <w:t>破碎机</w:t>
                  </w:r>
                </w:p>
              </w:tc>
              <w:tc>
                <w:tcPr>
                  <w:tcW w:w="1033" w:type="pct"/>
                  <w:tcBorders>
                    <w:top w:val="single" w:color="auto" w:sz="4" w:space="0"/>
                    <w:left w:val="single" w:color="auto" w:sz="4" w:space="0"/>
                    <w:bottom w:val="single" w:color="auto" w:sz="4" w:space="0"/>
                    <w:right w:val="single" w:color="auto" w:sz="4" w:space="0"/>
                  </w:tcBorders>
                  <w:shd w:val="clear" w:color="auto" w:fill="FFFFFF"/>
                  <w:noWrap w:val="0"/>
                  <w:vAlign w:val="center"/>
                </w:tcPr>
                <w:p w14:paraId="0728E90E">
                  <w:pPr>
                    <w:pStyle w:val="36"/>
                    <w:bidi w:val="0"/>
                    <w:rPr>
                      <w:rFonts w:hint="default"/>
                      <w:b w:val="0"/>
                      <w:bCs/>
                      <w:lang w:val="en-US" w:eastAsia="zh-CN"/>
                    </w:rPr>
                  </w:pPr>
                  <w:r>
                    <w:rPr>
                      <w:rFonts w:hint="default"/>
                      <w:b w:val="0"/>
                      <w:bCs/>
                      <w:lang w:val="en-US" w:eastAsia="zh-CN"/>
                    </w:rPr>
                    <w:t>/</w:t>
                  </w:r>
                </w:p>
              </w:tc>
              <w:tc>
                <w:tcPr>
                  <w:tcW w:w="489" w:type="pct"/>
                  <w:tcBorders>
                    <w:top w:val="single" w:color="auto" w:sz="4" w:space="0"/>
                    <w:left w:val="single" w:color="auto" w:sz="4" w:space="0"/>
                    <w:bottom w:val="single" w:color="auto" w:sz="4" w:space="0"/>
                    <w:right w:val="single" w:color="auto" w:sz="4" w:space="0"/>
                  </w:tcBorders>
                  <w:shd w:val="clear" w:color="auto" w:fill="FFFFFF"/>
                  <w:noWrap w:val="0"/>
                  <w:vAlign w:val="center"/>
                </w:tcPr>
                <w:p w14:paraId="15C1D0FE">
                  <w:pPr>
                    <w:pStyle w:val="36"/>
                    <w:bidi w:val="0"/>
                    <w:rPr>
                      <w:rFonts w:hint="default"/>
                      <w:b w:val="0"/>
                      <w:bCs/>
                      <w:lang w:val="en-US" w:eastAsia="zh-CN"/>
                    </w:rPr>
                  </w:pPr>
                  <w:r>
                    <w:rPr>
                      <w:rFonts w:hint="default"/>
                      <w:b w:val="0"/>
                      <w:bCs/>
                    </w:rPr>
                    <w:t>1</w:t>
                  </w:r>
                </w:p>
              </w:tc>
              <w:tc>
                <w:tcPr>
                  <w:tcW w:w="631" w:type="pct"/>
                  <w:tcBorders>
                    <w:top w:val="single" w:color="auto" w:sz="4" w:space="0"/>
                    <w:left w:val="single" w:color="auto" w:sz="4" w:space="0"/>
                    <w:bottom w:val="single" w:color="auto" w:sz="4" w:space="0"/>
                    <w:right w:val="single" w:color="auto" w:sz="4" w:space="0"/>
                  </w:tcBorders>
                  <w:shd w:val="clear" w:color="auto" w:fill="FFFFFF"/>
                  <w:noWrap w:val="0"/>
                  <w:vAlign w:val="center"/>
                </w:tcPr>
                <w:p w14:paraId="0DBA5C53">
                  <w:pPr>
                    <w:pStyle w:val="36"/>
                    <w:bidi w:val="0"/>
                    <w:rPr>
                      <w:rFonts w:hint="default"/>
                      <w:b w:val="0"/>
                      <w:bCs/>
                      <w:lang w:val="en-US" w:eastAsia="zh-CN"/>
                    </w:rPr>
                  </w:pPr>
                  <w:r>
                    <w:rPr>
                      <w:rFonts w:hint="default"/>
                      <w:b w:val="0"/>
                      <w:bCs/>
                    </w:rPr>
                    <w:t>台</w:t>
                  </w:r>
                </w:p>
              </w:tc>
              <w:tc>
                <w:tcPr>
                  <w:tcW w:w="1107" w:type="pct"/>
                  <w:tcBorders>
                    <w:top w:val="single" w:color="auto" w:sz="4" w:space="0"/>
                    <w:left w:val="single" w:color="auto" w:sz="4" w:space="0"/>
                    <w:bottom w:val="single" w:color="auto" w:sz="4" w:space="0"/>
                    <w:right w:val="single" w:color="auto" w:sz="4" w:space="0"/>
                  </w:tcBorders>
                  <w:shd w:val="clear" w:color="auto" w:fill="FFFFFF"/>
                  <w:noWrap w:val="0"/>
                  <w:vAlign w:val="center"/>
                </w:tcPr>
                <w:p w14:paraId="0345FD39">
                  <w:pPr>
                    <w:pStyle w:val="36"/>
                    <w:bidi w:val="0"/>
                    <w:rPr>
                      <w:rFonts w:hint="default"/>
                      <w:b w:val="0"/>
                      <w:bCs/>
                      <w:lang w:val="en-US" w:eastAsia="zh-CN"/>
                    </w:rPr>
                  </w:pPr>
                  <w:r>
                    <w:rPr>
                      <w:rFonts w:hint="default"/>
                      <w:b w:val="0"/>
                      <w:bCs/>
                      <w:lang w:val="en-US" w:eastAsia="zh-CN"/>
                    </w:rPr>
                    <w:t>/</w:t>
                  </w:r>
                </w:p>
              </w:tc>
            </w:tr>
            <w:tr w14:paraId="441B6A60">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454" w:hRule="atLeast"/>
                <w:jc w:val="center"/>
              </w:trPr>
              <w:tc>
                <w:tcPr>
                  <w:tcW w:w="403" w:type="pct"/>
                  <w:vMerge w:val="continue"/>
                  <w:tcBorders>
                    <w:top w:val="single" w:color="auto" w:sz="4" w:space="0"/>
                    <w:left w:val="single" w:color="auto" w:sz="4" w:space="0"/>
                    <w:bottom w:val="single" w:color="auto" w:sz="4" w:space="0"/>
                    <w:right w:val="single" w:color="auto" w:sz="4" w:space="0"/>
                  </w:tcBorders>
                  <w:shd w:val="clear" w:color="auto" w:fill="FFFFFF"/>
                  <w:noWrap w:val="0"/>
                  <w:vAlign w:val="center"/>
                </w:tcPr>
                <w:p w14:paraId="3E12FB25">
                  <w:pPr>
                    <w:pStyle w:val="36"/>
                    <w:bidi w:val="0"/>
                    <w:rPr>
                      <w:rFonts w:hint="default"/>
                      <w:b w:val="0"/>
                      <w:bCs/>
                    </w:rPr>
                  </w:pPr>
                </w:p>
              </w:tc>
              <w:tc>
                <w:tcPr>
                  <w:tcW w:w="403" w:type="pct"/>
                  <w:tcBorders>
                    <w:top w:val="single" w:color="auto" w:sz="4" w:space="0"/>
                    <w:left w:val="single" w:color="auto" w:sz="4" w:space="0"/>
                    <w:bottom w:val="single" w:color="auto" w:sz="4" w:space="0"/>
                    <w:right w:val="single" w:color="auto" w:sz="4" w:space="0"/>
                  </w:tcBorders>
                  <w:shd w:val="clear" w:color="auto" w:fill="FFFFFF"/>
                  <w:noWrap w:val="0"/>
                  <w:vAlign w:val="center"/>
                </w:tcPr>
                <w:p w14:paraId="54723904">
                  <w:pPr>
                    <w:pStyle w:val="36"/>
                    <w:bidi w:val="0"/>
                    <w:rPr>
                      <w:rFonts w:hint="default"/>
                      <w:b w:val="0"/>
                      <w:bCs/>
                    </w:rPr>
                  </w:pPr>
                  <w:r>
                    <w:rPr>
                      <w:rFonts w:hint="default"/>
                      <w:b w:val="0"/>
                      <w:bCs/>
                    </w:rPr>
                    <w:t>2</w:t>
                  </w:r>
                </w:p>
              </w:tc>
              <w:tc>
                <w:tcPr>
                  <w:tcW w:w="931" w:type="pct"/>
                  <w:tcBorders>
                    <w:top w:val="single" w:color="auto" w:sz="4" w:space="0"/>
                    <w:left w:val="single" w:color="auto" w:sz="4" w:space="0"/>
                    <w:bottom w:val="single" w:color="auto" w:sz="4" w:space="0"/>
                    <w:right w:val="single" w:color="auto" w:sz="4" w:space="0"/>
                  </w:tcBorders>
                  <w:shd w:val="clear" w:color="auto" w:fill="FFFFFF"/>
                  <w:noWrap w:val="0"/>
                  <w:vAlign w:val="center"/>
                </w:tcPr>
                <w:p w14:paraId="10FA68EF">
                  <w:pPr>
                    <w:pStyle w:val="36"/>
                    <w:bidi w:val="0"/>
                    <w:rPr>
                      <w:rFonts w:hint="default"/>
                      <w:b w:val="0"/>
                      <w:bCs/>
                      <w:lang w:val="en-US" w:eastAsia="zh-CN"/>
                    </w:rPr>
                  </w:pPr>
                  <w:r>
                    <w:rPr>
                      <w:rFonts w:hint="default"/>
                      <w:b w:val="0"/>
                      <w:bCs/>
                      <w:lang w:val="en-US" w:eastAsia="zh-CN"/>
                    </w:rPr>
                    <w:t>筛分</w:t>
                  </w:r>
                  <w:r>
                    <w:rPr>
                      <w:rFonts w:hint="default"/>
                      <w:b w:val="0"/>
                      <w:bCs/>
                    </w:rPr>
                    <w:t>机</w:t>
                  </w:r>
                </w:p>
              </w:tc>
              <w:tc>
                <w:tcPr>
                  <w:tcW w:w="1033" w:type="pct"/>
                  <w:tcBorders>
                    <w:top w:val="single" w:color="auto" w:sz="4" w:space="0"/>
                    <w:left w:val="single" w:color="auto" w:sz="4" w:space="0"/>
                    <w:bottom w:val="single" w:color="auto" w:sz="4" w:space="0"/>
                    <w:right w:val="single" w:color="auto" w:sz="4" w:space="0"/>
                  </w:tcBorders>
                  <w:shd w:val="clear" w:color="auto" w:fill="FFFFFF"/>
                  <w:noWrap w:val="0"/>
                  <w:vAlign w:val="center"/>
                </w:tcPr>
                <w:p w14:paraId="08923EBC">
                  <w:pPr>
                    <w:pStyle w:val="36"/>
                    <w:bidi w:val="0"/>
                    <w:rPr>
                      <w:rFonts w:hint="default"/>
                      <w:b w:val="0"/>
                      <w:bCs/>
                      <w:lang w:val="en-US" w:eastAsia="zh-CN"/>
                    </w:rPr>
                  </w:pPr>
                  <w:r>
                    <w:rPr>
                      <w:rFonts w:hint="default"/>
                      <w:b w:val="0"/>
                      <w:bCs/>
                      <w:lang w:val="en-US" w:eastAsia="zh-CN"/>
                    </w:rPr>
                    <w:t>/</w:t>
                  </w:r>
                </w:p>
              </w:tc>
              <w:tc>
                <w:tcPr>
                  <w:tcW w:w="489" w:type="pct"/>
                  <w:tcBorders>
                    <w:top w:val="single" w:color="auto" w:sz="4" w:space="0"/>
                    <w:left w:val="single" w:color="auto" w:sz="4" w:space="0"/>
                    <w:bottom w:val="single" w:color="auto" w:sz="4" w:space="0"/>
                    <w:right w:val="single" w:color="auto" w:sz="4" w:space="0"/>
                  </w:tcBorders>
                  <w:shd w:val="clear" w:color="auto" w:fill="FFFFFF"/>
                  <w:noWrap w:val="0"/>
                  <w:vAlign w:val="center"/>
                </w:tcPr>
                <w:p w14:paraId="7D0524A2">
                  <w:pPr>
                    <w:pStyle w:val="36"/>
                    <w:bidi w:val="0"/>
                    <w:rPr>
                      <w:rFonts w:hint="default"/>
                      <w:b w:val="0"/>
                      <w:bCs/>
                      <w:lang w:val="en-US" w:eastAsia="zh-CN"/>
                    </w:rPr>
                  </w:pPr>
                  <w:r>
                    <w:rPr>
                      <w:rFonts w:hint="default"/>
                      <w:b w:val="0"/>
                      <w:bCs/>
                    </w:rPr>
                    <w:t>1</w:t>
                  </w:r>
                </w:p>
              </w:tc>
              <w:tc>
                <w:tcPr>
                  <w:tcW w:w="631" w:type="pct"/>
                  <w:tcBorders>
                    <w:top w:val="single" w:color="auto" w:sz="4" w:space="0"/>
                    <w:left w:val="single" w:color="auto" w:sz="4" w:space="0"/>
                    <w:bottom w:val="single" w:color="auto" w:sz="4" w:space="0"/>
                    <w:right w:val="single" w:color="auto" w:sz="4" w:space="0"/>
                  </w:tcBorders>
                  <w:shd w:val="clear" w:color="auto" w:fill="FFFFFF"/>
                  <w:noWrap w:val="0"/>
                  <w:vAlign w:val="center"/>
                </w:tcPr>
                <w:p w14:paraId="3DD80EDC">
                  <w:pPr>
                    <w:pStyle w:val="36"/>
                    <w:bidi w:val="0"/>
                    <w:rPr>
                      <w:rFonts w:hint="default"/>
                      <w:b w:val="0"/>
                      <w:bCs/>
                      <w:lang w:val="en-US" w:eastAsia="zh-CN"/>
                    </w:rPr>
                  </w:pPr>
                  <w:r>
                    <w:rPr>
                      <w:rFonts w:hint="default"/>
                      <w:b w:val="0"/>
                      <w:bCs/>
                    </w:rPr>
                    <w:t>台</w:t>
                  </w:r>
                </w:p>
              </w:tc>
              <w:tc>
                <w:tcPr>
                  <w:tcW w:w="1107" w:type="pct"/>
                  <w:tcBorders>
                    <w:top w:val="single" w:color="auto" w:sz="4" w:space="0"/>
                    <w:left w:val="single" w:color="auto" w:sz="4" w:space="0"/>
                    <w:bottom w:val="single" w:color="auto" w:sz="4" w:space="0"/>
                    <w:right w:val="single" w:color="auto" w:sz="4" w:space="0"/>
                  </w:tcBorders>
                  <w:shd w:val="clear" w:color="auto" w:fill="FFFFFF"/>
                  <w:noWrap w:val="0"/>
                  <w:vAlign w:val="center"/>
                </w:tcPr>
                <w:p w14:paraId="5D19AC28">
                  <w:pPr>
                    <w:pStyle w:val="36"/>
                    <w:bidi w:val="0"/>
                    <w:rPr>
                      <w:rFonts w:hint="default"/>
                      <w:b w:val="0"/>
                      <w:bCs/>
                      <w:lang w:val="en-US" w:eastAsia="zh-CN"/>
                    </w:rPr>
                  </w:pPr>
                  <w:r>
                    <w:rPr>
                      <w:rFonts w:hint="default"/>
                      <w:b w:val="0"/>
                      <w:bCs/>
                      <w:lang w:val="en-US" w:eastAsia="zh-CN"/>
                    </w:rPr>
                    <w:t>/</w:t>
                  </w:r>
                </w:p>
              </w:tc>
            </w:tr>
            <w:tr w14:paraId="2305C0B7">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454" w:hRule="atLeast"/>
                <w:jc w:val="center"/>
              </w:trPr>
              <w:tc>
                <w:tcPr>
                  <w:tcW w:w="403" w:type="pct"/>
                  <w:vMerge w:val="continue"/>
                  <w:tcBorders>
                    <w:top w:val="single" w:color="auto" w:sz="4" w:space="0"/>
                    <w:left w:val="single" w:color="auto" w:sz="4" w:space="0"/>
                    <w:bottom w:val="single" w:color="auto" w:sz="4" w:space="0"/>
                    <w:right w:val="single" w:color="auto" w:sz="4" w:space="0"/>
                  </w:tcBorders>
                  <w:shd w:val="clear" w:color="auto" w:fill="FFFFFF"/>
                  <w:noWrap w:val="0"/>
                  <w:vAlign w:val="center"/>
                </w:tcPr>
                <w:p w14:paraId="6DEB3C54">
                  <w:pPr>
                    <w:pStyle w:val="36"/>
                    <w:bidi w:val="0"/>
                    <w:rPr>
                      <w:rFonts w:hint="default"/>
                      <w:b w:val="0"/>
                      <w:bCs/>
                    </w:rPr>
                  </w:pPr>
                </w:p>
              </w:tc>
              <w:tc>
                <w:tcPr>
                  <w:tcW w:w="403" w:type="pct"/>
                  <w:tcBorders>
                    <w:top w:val="single" w:color="auto" w:sz="4" w:space="0"/>
                    <w:left w:val="single" w:color="auto" w:sz="4" w:space="0"/>
                    <w:bottom w:val="single" w:color="auto" w:sz="4" w:space="0"/>
                    <w:right w:val="single" w:color="auto" w:sz="4" w:space="0"/>
                  </w:tcBorders>
                  <w:shd w:val="clear" w:color="auto" w:fill="FFFFFF"/>
                  <w:noWrap w:val="0"/>
                  <w:vAlign w:val="center"/>
                </w:tcPr>
                <w:p w14:paraId="3C595C79">
                  <w:pPr>
                    <w:pStyle w:val="36"/>
                    <w:bidi w:val="0"/>
                    <w:rPr>
                      <w:rFonts w:hint="default"/>
                      <w:b w:val="0"/>
                      <w:bCs/>
                    </w:rPr>
                  </w:pPr>
                  <w:r>
                    <w:rPr>
                      <w:rFonts w:hint="default"/>
                      <w:b w:val="0"/>
                      <w:bCs/>
                    </w:rPr>
                    <w:t>3</w:t>
                  </w:r>
                </w:p>
              </w:tc>
              <w:tc>
                <w:tcPr>
                  <w:tcW w:w="931" w:type="pct"/>
                  <w:tcBorders>
                    <w:top w:val="single" w:color="auto" w:sz="4" w:space="0"/>
                    <w:left w:val="single" w:color="auto" w:sz="4" w:space="0"/>
                    <w:bottom w:val="single" w:color="auto" w:sz="4" w:space="0"/>
                    <w:right w:val="single" w:color="auto" w:sz="4" w:space="0"/>
                  </w:tcBorders>
                  <w:shd w:val="clear" w:color="auto" w:fill="FFFFFF"/>
                  <w:noWrap w:val="0"/>
                  <w:vAlign w:val="center"/>
                </w:tcPr>
                <w:p w14:paraId="5332D3A4">
                  <w:pPr>
                    <w:pStyle w:val="36"/>
                    <w:bidi w:val="0"/>
                    <w:rPr>
                      <w:rFonts w:hint="default"/>
                      <w:b w:val="0"/>
                      <w:bCs/>
                      <w:lang w:val="en-US" w:eastAsia="zh-CN"/>
                    </w:rPr>
                  </w:pPr>
                  <w:r>
                    <w:rPr>
                      <w:rFonts w:hint="default"/>
                      <w:b w:val="0"/>
                      <w:bCs/>
                    </w:rPr>
                    <w:t>造粒机</w:t>
                  </w:r>
                </w:p>
              </w:tc>
              <w:tc>
                <w:tcPr>
                  <w:tcW w:w="1033" w:type="pct"/>
                  <w:tcBorders>
                    <w:top w:val="single" w:color="auto" w:sz="4" w:space="0"/>
                    <w:left w:val="single" w:color="auto" w:sz="4" w:space="0"/>
                    <w:bottom w:val="single" w:color="auto" w:sz="4" w:space="0"/>
                    <w:right w:val="single" w:color="auto" w:sz="4" w:space="0"/>
                  </w:tcBorders>
                  <w:shd w:val="clear" w:color="auto" w:fill="FFFFFF"/>
                  <w:noWrap w:val="0"/>
                  <w:vAlign w:val="center"/>
                </w:tcPr>
                <w:p w14:paraId="07A1DE44">
                  <w:pPr>
                    <w:pStyle w:val="36"/>
                    <w:bidi w:val="0"/>
                    <w:rPr>
                      <w:rFonts w:hint="default"/>
                      <w:b w:val="0"/>
                      <w:bCs/>
                      <w:lang w:val="en-US" w:eastAsia="zh-CN"/>
                    </w:rPr>
                  </w:pPr>
                  <w:r>
                    <w:rPr>
                      <w:rFonts w:hint="default"/>
                      <w:b w:val="0"/>
                      <w:bCs/>
                      <w:lang w:val="en-US" w:eastAsia="zh-CN"/>
                    </w:rPr>
                    <w:t>1</w:t>
                  </w:r>
                  <w:r>
                    <w:rPr>
                      <w:rFonts w:hint="default"/>
                      <w:b w:val="0"/>
                      <w:bCs/>
                    </w:rPr>
                    <w:t>t/</w:t>
                  </w:r>
                  <w:r>
                    <w:rPr>
                      <w:rFonts w:hint="default"/>
                      <w:b w:val="0"/>
                      <w:bCs/>
                      <w:lang w:val="en-US" w:eastAsia="zh-CN"/>
                    </w:rPr>
                    <w:t>h</w:t>
                  </w:r>
                </w:p>
              </w:tc>
              <w:tc>
                <w:tcPr>
                  <w:tcW w:w="489" w:type="pct"/>
                  <w:tcBorders>
                    <w:top w:val="single" w:color="auto" w:sz="4" w:space="0"/>
                    <w:left w:val="single" w:color="auto" w:sz="4" w:space="0"/>
                    <w:bottom w:val="single" w:color="auto" w:sz="4" w:space="0"/>
                    <w:right w:val="single" w:color="auto" w:sz="4" w:space="0"/>
                  </w:tcBorders>
                  <w:shd w:val="clear" w:color="auto" w:fill="FFFFFF"/>
                  <w:noWrap w:val="0"/>
                  <w:vAlign w:val="center"/>
                </w:tcPr>
                <w:p w14:paraId="48AB227D">
                  <w:pPr>
                    <w:pStyle w:val="36"/>
                    <w:bidi w:val="0"/>
                    <w:rPr>
                      <w:rFonts w:hint="default"/>
                      <w:b w:val="0"/>
                      <w:bCs/>
                      <w:lang w:val="en-US" w:eastAsia="zh-CN"/>
                    </w:rPr>
                  </w:pPr>
                  <w:r>
                    <w:rPr>
                      <w:rFonts w:hint="default"/>
                      <w:b w:val="0"/>
                      <w:bCs/>
                      <w:lang w:val="en-US" w:eastAsia="zh-CN"/>
                    </w:rPr>
                    <w:t>1</w:t>
                  </w:r>
                </w:p>
              </w:tc>
              <w:tc>
                <w:tcPr>
                  <w:tcW w:w="631" w:type="pct"/>
                  <w:tcBorders>
                    <w:top w:val="single" w:color="auto" w:sz="4" w:space="0"/>
                    <w:left w:val="single" w:color="auto" w:sz="4" w:space="0"/>
                    <w:bottom w:val="single" w:color="auto" w:sz="4" w:space="0"/>
                    <w:right w:val="single" w:color="auto" w:sz="4" w:space="0"/>
                  </w:tcBorders>
                  <w:shd w:val="clear" w:color="auto" w:fill="FFFFFF"/>
                  <w:noWrap w:val="0"/>
                  <w:vAlign w:val="center"/>
                </w:tcPr>
                <w:p w14:paraId="66027913">
                  <w:pPr>
                    <w:pStyle w:val="36"/>
                    <w:bidi w:val="0"/>
                    <w:rPr>
                      <w:rFonts w:hint="default"/>
                      <w:b w:val="0"/>
                      <w:bCs/>
                      <w:lang w:val="en-US" w:eastAsia="zh-CN"/>
                    </w:rPr>
                  </w:pPr>
                  <w:r>
                    <w:rPr>
                      <w:rFonts w:hint="default"/>
                      <w:b w:val="0"/>
                      <w:bCs/>
                    </w:rPr>
                    <w:t>台</w:t>
                  </w:r>
                </w:p>
              </w:tc>
              <w:tc>
                <w:tcPr>
                  <w:tcW w:w="1107" w:type="pct"/>
                  <w:tcBorders>
                    <w:top w:val="single" w:color="auto" w:sz="4" w:space="0"/>
                    <w:left w:val="single" w:color="auto" w:sz="4" w:space="0"/>
                    <w:bottom w:val="single" w:color="auto" w:sz="4" w:space="0"/>
                    <w:right w:val="single" w:color="auto" w:sz="4" w:space="0"/>
                  </w:tcBorders>
                  <w:shd w:val="clear" w:color="auto" w:fill="FFFFFF"/>
                  <w:noWrap w:val="0"/>
                  <w:vAlign w:val="center"/>
                </w:tcPr>
                <w:p w14:paraId="556FC694">
                  <w:pPr>
                    <w:pStyle w:val="36"/>
                    <w:bidi w:val="0"/>
                    <w:rPr>
                      <w:rFonts w:hint="default"/>
                      <w:b w:val="0"/>
                      <w:bCs/>
                      <w:lang w:val="en-US" w:eastAsia="zh-CN"/>
                    </w:rPr>
                  </w:pPr>
                  <w:r>
                    <w:rPr>
                      <w:rFonts w:hint="default"/>
                      <w:b w:val="0"/>
                      <w:bCs/>
                      <w:lang w:val="en-US" w:eastAsia="zh-CN"/>
                    </w:rPr>
                    <w:t>/</w:t>
                  </w:r>
                </w:p>
              </w:tc>
            </w:tr>
            <w:tr w14:paraId="65B2751D">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454" w:hRule="atLeast"/>
                <w:jc w:val="center"/>
              </w:trPr>
              <w:tc>
                <w:tcPr>
                  <w:tcW w:w="403" w:type="pct"/>
                  <w:vMerge w:val="restart"/>
                  <w:tcBorders>
                    <w:top w:val="single" w:color="auto" w:sz="4" w:space="0"/>
                    <w:left w:val="single" w:color="auto" w:sz="4" w:space="0"/>
                    <w:bottom w:val="single" w:color="auto" w:sz="4" w:space="0"/>
                    <w:right w:val="single" w:color="auto" w:sz="4" w:space="0"/>
                  </w:tcBorders>
                  <w:shd w:val="clear" w:color="auto" w:fill="FFFFFF"/>
                  <w:noWrap w:val="0"/>
                  <w:vAlign w:val="center"/>
                </w:tcPr>
                <w:p w14:paraId="13319AFB">
                  <w:pPr>
                    <w:pStyle w:val="36"/>
                    <w:bidi w:val="0"/>
                    <w:rPr>
                      <w:rFonts w:hint="default"/>
                      <w:b w:val="0"/>
                      <w:bCs/>
                      <w:lang w:val="en-US" w:eastAsia="zh-CN"/>
                    </w:rPr>
                  </w:pPr>
                  <w:r>
                    <w:rPr>
                      <w:rFonts w:hint="default"/>
                      <w:b w:val="0"/>
                      <w:bCs/>
                      <w:lang w:val="en-US" w:eastAsia="zh-CN"/>
                    </w:rPr>
                    <w:t>机制炭生产线</w:t>
                  </w:r>
                </w:p>
              </w:tc>
              <w:tc>
                <w:tcPr>
                  <w:tcW w:w="403" w:type="pct"/>
                  <w:tcBorders>
                    <w:top w:val="single" w:color="auto" w:sz="4" w:space="0"/>
                    <w:left w:val="single" w:color="auto" w:sz="4" w:space="0"/>
                    <w:bottom w:val="single" w:color="auto" w:sz="4" w:space="0"/>
                    <w:right w:val="single" w:color="auto" w:sz="4" w:space="0"/>
                  </w:tcBorders>
                  <w:shd w:val="clear" w:color="auto" w:fill="FFFFFF"/>
                  <w:noWrap w:val="0"/>
                  <w:vAlign w:val="center"/>
                </w:tcPr>
                <w:p w14:paraId="0DE2C67E">
                  <w:pPr>
                    <w:pStyle w:val="36"/>
                    <w:bidi w:val="0"/>
                    <w:rPr>
                      <w:rFonts w:hint="default"/>
                      <w:b w:val="0"/>
                      <w:bCs/>
                      <w:lang w:val="en-US" w:eastAsia="zh-CN"/>
                    </w:rPr>
                  </w:pPr>
                  <w:r>
                    <w:rPr>
                      <w:rFonts w:hint="default"/>
                      <w:b w:val="0"/>
                      <w:bCs/>
                    </w:rPr>
                    <w:t>1</w:t>
                  </w:r>
                </w:p>
              </w:tc>
              <w:tc>
                <w:tcPr>
                  <w:tcW w:w="931"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0EF9F481">
                  <w:pPr>
                    <w:pStyle w:val="36"/>
                    <w:bidi w:val="0"/>
                    <w:rPr>
                      <w:rFonts w:hint="default"/>
                      <w:b w:val="0"/>
                      <w:bCs/>
                    </w:rPr>
                  </w:pPr>
                  <w:r>
                    <w:rPr>
                      <w:rFonts w:hint="default"/>
                      <w:b w:val="0"/>
                      <w:bCs/>
                      <w:lang w:val="en-US" w:eastAsia="zh-CN"/>
                    </w:rPr>
                    <w:t>粉碎机</w:t>
                  </w:r>
                </w:p>
              </w:tc>
              <w:tc>
                <w:tcPr>
                  <w:tcW w:w="1033" w:type="pct"/>
                  <w:tcBorders>
                    <w:top w:val="single" w:color="auto" w:sz="4" w:space="0"/>
                    <w:left w:val="single" w:color="auto" w:sz="4" w:space="0"/>
                    <w:bottom w:val="single" w:color="auto" w:sz="4" w:space="0"/>
                    <w:right w:val="single" w:color="auto" w:sz="4" w:space="0"/>
                  </w:tcBorders>
                  <w:shd w:val="clear" w:color="auto" w:fill="FFFFFF"/>
                  <w:noWrap w:val="0"/>
                  <w:vAlign w:val="center"/>
                </w:tcPr>
                <w:p w14:paraId="432A45C4">
                  <w:pPr>
                    <w:pStyle w:val="36"/>
                    <w:bidi w:val="0"/>
                    <w:rPr>
                      <w:rFonts w:hint="default"/>
                      <w:b w:val="0"/>
                      <w:bCs/>
                      <w:lang w:val="en-US" w:eastAsia="zh-CN"/>
                    </w:rPr>
                  </w:pPr>
                  <w:r>
                    <w:rPr>
                      <w:rFonts w:hint="default"/>
                      <w:b w:val="0"/>
                      <w:bCs/>
                      <w:lang w:val="en-US" w:eastAsia="zh-CN"/>
                    </w:rPr>
                    <w:t>/</w:t>
                  </w:r>
                </w:p>
              </w:tc>
              <w:tc>
                <w:tcPr>
                  <w:tcW w:w="489" w:type="pct"/>
                  <w:tcBorders>
                    <w:top w:val="single" w:color="auto" w:sz="4" w:space="0"/>
                    <w:left w:val="single" w:color="auto" w:sz="4" w:space="0"/>
                    <w:bottom w:val="single" w:color="auto" w:sz="4" w:space="0"/>
                    <w:right w:val="single" w:color="auto" w:sz="4" w:space="0"/>
                  </w:tcBorders>
                  <w:shd w:val="clear" w:color="auto" w:fill="FFFFFF"/>
                  <w:noWrap w:val="0"/>
                  <w:vAlign w:val="center"/>
                </w:tcPr>
                <w:p w14:paraId="29F6CC59">
                  <w:pPr>
                    <w:pStyle w:val="36"/>
                    <w:bidi w:val="0"/>
                    <w:rPr>
                      <w:rFonts w:hint="default"/>
                      <w:b w:val="0"/>
                      <w:bCs/>
                      <w:lang w:val="en-US" w:eastAsia="zh-CN"/>
                    </w:rPr>
                  </w:pPr>
                  <w:r>
                    <w:rPr>
                      <w:rFonts w:hint="eastAsia"/>
                      <w:b w:val="0"/>
                      <w:bCs/>
                      <w:lang w:val="en-US" w:eastAsia="zh-CN"/>
                    </w:rPr>
                    <w:t>2</w:t>
                  </w:r>
                </w:p>
              </w:tc>
              <w:tc>
                <w:tcPr>
                  <w:tcW w:w="631" w:type="pct"/>
                  <w:tcBorders>
                    <w:top w:val="single" w:color="auto" w:sz="4" w:space="0"/>
                    <w:left w:val="single" w:color="auto" w:sz="4" w:space="0"/>
                    <w:bottom w:val="single" w:color="auto" w:sz="4" w:space="0"/>
                    <w:right w:val="single" w:color="auto" w:sz="4" w:space="0"/>
                  </w:tcBorders>
                  <w:shd w:val="clear" w:color="auto" w:fill="FFFFFF"/>
                  <w:noWrap w:val="0"/>
                  <w:vAlign w:val="center"/>
                </w:tcPr>
                <w:p w14:paraId="25ECA8DA">
                  <w:pPr>
                    <w:pStyle w:val="36"/>
                    <w:bidi w:val="0"/>
                    <w:rPr>
                      <w:rFonts w:hint="default"/>
                      <w:b w:val="0"/>
                      <w:bCs/>
                      <w:lang w:val="en-US" w:eastAsia="zh-CN"/>
                    </w:rPr>
                  </w:pPr>
                  <w:r>
                    <w:rPr>
                      <w:rFonts w:hint="default"/>
                      <w:b w:val="0"/>
                      <w:bCs/>
                    </w:rPr>
                    <w:t>台</w:t>
                  </w:r>
                </w:p>
              </w:tc>
              <w:tc>
                <w:tcPr>
                  <w:tcW w:w="1107" w:type="pct"/>
                  <w:tcBorders>
                    <w:top w:val="single" w:color="auto" w:sz="4" w:space="0"/>
                    <w:left w:val="single" w:color="auto" w:sz="4" w:space="0"/>
                    <w:bottom w:val="single" w:color="auto" w:sz="4" w:space="0"/>
                    <w:right w:val="single" w:color="auto" w:sz="4" w:space="0"/>
                  </w:tcBorders>
                  <w:shd w:val="clear" w:color="auto" w:fill="FFFFFF"/>
                  <w:noWrap w:val="0"/>
                  <w:vAlign w:val="center"/>
                </w:tcPr>
                <w:p w14:paraId="25E5348B">
                  <w:pPr>
                    <w:pStyle w:val="36"/>
                    <w:bidi w:val="0"/>
                    <w:rPr>
                      <w:rFonts w:hint="default"/>
                      <w:b w:val="0"/>
                      <w:bCs/>
                      <w:lang w:val="en-US" w:eastAsia="zh-CN"/>
                    </w:rPr>
                  </w:pPr>
                  <w:r>
                    <w:rPr>
                      <w:rFonts w:hint="default"/>
                      <w:b w:val="0"/>
                      <w:bCs/>
                      <w:lang w:val="en-US" w:eastAsia="zh-CN"/>
                    </w:rPr>
                    <w:t>/</w:t>
                  </w:r>
                </w:p>
              </w:tc>
            </w:tr>
            <w:tr w14:paraId="327C33FD">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454" w:hRule="atLeast"/>
                <w:jc w:val="center"/>
              </w:trPr>
              <w:tc>
                <w:tcPr>
                  <w:tcW w:w="403" w:type="pct"/>
                  <w:vMerge w:val="continue"/>
                  <w:tcBorders>
                    <w:top w:val="single" w:color="auto" w:sz="4" w:space="0"/>
                    <w:left w:val="single" w:color="auto" w:sz="4" w:space="0"/>
                    <w:bottom w:val="single" w:color="auto" w:sz="4" w:space="0"/>
                    <w:right w:val="single" w:color="auto" w:sz="4" w:space="0"/>
                  </w:tcBorders>
                  <w:shd w:val="clear" w:color="auto" w:fill="FFFFFF"/>
                  <w:noWrap w:val="0"/>
                  <w:vAlign w:val="center"/>
                </w:tcPr>
                <w:p w14:paraId="78FC967B">
                  <w:pPr>
                    <w:pStyle w:val="36"/>
                    <w:bidi w:val="0"/>
                    <w:rPr>
                      <w:rFonts w:hint="default"/>
                      <w:b w:val="0"/>
                      <w:bCs/>
                    </w:rPr>
                  </w:pPr>
                </w:p>
              </w:tc>
              <w:tc>
                <w:tcPr>
                  <w:tcW w:w="403" w:type="pct"/>
                  <w:tcBorders>
                    <w:top w:val="single" w:color="auto" w:sz="4" w:space="0"/>
                    <w:left w:val="single" w:color="auto" w:sz="4" w:space="0"/>
                    <w:bottom w:val="single" w:color="auto" w:sz="4" w:space="0"/>
                    <w:right w:val="single" w:color="auto" w:sz="4" w:space="0"/>
                  </w:tcBorders>
                  <w:shd w:val="clear" w:color="auto" w:fill="FFFFFF"/>
                  <w:noWrap w:val="0"/>
                  <w:vAlign w:val="center"/>
                </w:tcPr>
                <w:p w14:paraId="4679A38E">
                  <w:pPr>
                    <w:pStyle w:val="36"/>
                    <w:bidi w:val="0"/>
                    <w:rPr>
                      <w:rFonts w:hint="default"/>
                      <w:b w:val="0"/>
                      <w:bCs/>
                      <w:lang w:val="en-US" w:eastAsia="zh-CN"/>
                    </w:rPr>
                  </w:pPr>
                  <w:r>
                    <w:rPr>
                      <w:rFonts w:hint="default"/>
                      <w:b w:val="0"/>
                      <w:bCs/>
                    </w:rPr>
                    <w:t>2</w:t>
                  </w:r>
                </w:p>
              </w:tc>
              <w:tc>
                <w:tcPr>
                  <w:tcW w:w="931"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4699DF96">
                  <w:pPr>
                    <w:pStyle w:val="36"/>
                    <w:bidi w:val="0"/>
                    <w:rPr>
                      <w:rFonts w:hint="default"/>
                      <w:b w:val="0"/>
                      <w:bCs/>
                      <w:lang w:val="en-US" w:eastAsia="zh-CN"/>
                    </w:rPr>
                  </w:pPr>
                  <w:r>
                    <w:rPr>
                      <w:rFonts w:hint="default"/>
                      <w:b w:val="0"/>
                      <w:bCs/>
                      <w:lang w:val="en-US" w:eastAsia="zh-CN"/>
                    </w:rPr>
                    <w:t>筛分机</w:t>
                  </w:r>
                </w:p>
              </w:tc>
              <w:tc>
                <w:tcPr>
                  <w:tcW w:w="1033" w:type="pct"/>
                  <w:tcBorders>
                    <w:top w:val="single" w:color="auto" w:sz="4" w:space="0"/>
                    <w:left w:val="single" w:color="auto" w:sz="4" w:space="0"/>
                    <w:bottom w:val="single" w:color="auto" w:sz="4" w:space="0"/>
                    <w:right w:val="single" w:color="auto" w:sz="4" w:space="0"/>
                  </w:tcBorders>
                  <w:shd w:val="clear" w:color="auto" w:fill="FFFFFF"/>
                  <w:noWrap w:val="0"/>
                  <w:vAlign w:val="center"/>
                </w:tcPr>
                <w:p w14:paraId="7105028D">
                  <w:pPr>
                    <w:pStyle w:val="36"/>
                    <w:bidi w:val="0"/>
                    <w:rPr>
                      <w:rFonts w:hint="default"/>
                      <w:b w:val="0"/>
                      <w:bCs/>
                      <w:lang w:val="en-US" w:eastAsia="zh-CN"/>
                    </w:rPr>
                  </w:pPr>
                  <w:r>
                    <w:rPr>
                      <w:rFonts w:hint="default"/>
                      <w:b w:val="0"/>
                      <w:bCs/>
                      <w:lang w:val="en-US" w:eastAsia="zh-CN"/>
                    </w:rPr>
                    <w:t>/</w:t>
                  </w:r>
                </w:p>
              </w:tc>
              <w:tc>
                <w:tcPr>
                  <w:tcW w:w="489" w:type="pct"/>
                  <w:tcBorders>
                    <w:top w:val="single" w:color="auto" w:sz="4" w:space="0"/>
                    <w:left w:val="single" w:color="auto" w:sz="4" w:space="0"/>
                    <w:bottom w:val="single" w:color="auto" w:sz="4" w:space="0"/>
                    <w:right w:val="single" w:color="auto" w:sz="4" w:space="0"/>
                  </w:tcBorders>
                  <w:shd w:val="clear" w:color="auto" w:fill="FFFFFF"/>
                  <w:noWrap w:val="0"/>
                  <w:vAlign w:val="center"/>
                </w:tcPr>
                <w:p w14:paraId="5E01F3F8">
                  <w:pPr>
                    <w:pStyle w:val="36"/>
                    <w:bidi w:val="0"/>
                    <w:rPr>
                      <w:rFonts w:hint="default"/>
                      <w:b w:val="0"/>
                      <w:bCs/>
                      <w:lang w:val="en-US" w:eastAsia="zh-CN"/>
                    </w:rPr>
                  </w:pPr>
                  <w:r>
                    <w:rPr>
                      <w:rFonts w:hint="eastAsia"/>
                      <w:b w:val="0"/>
                      <w:bCs/>
                      <w:lang w:val="en-US" w:eastAsia="zh-CN"/>
                    </w:rPr>
                    <w:t>2</w:t>
                  </w:r>
                </w:p>
              </w:tc>
              <w:tc>
                <w:tcPr>
                  <w:tcW w:w="631" w:type="pct"/>
                  <w:tcBorders>
                    <w:top w:val="single" w:color="auto" w:sz="4" w:space="0"/>
                    <w:left w:val="single" w:color="auto" w:sz="4" w:space="0"/>
                    <w:bottom w:val="single" w:color="auto" w:sz="4" w:space="0"/>
                    <w:right w:val="single" w:color="auto" w:sz="4" w:space="0"/>
                  </w:tcBorders>
                  <w:shd w:val="clear" w:color="auto" w:fill="FFFFFF"/>
                  <w:noWrap w:val="0"/>
                  <w:vAlign w:val="center"/>
                </w:tcPr>
                <w:p w14:paraId="02AB8304">
                  <w:pPr>
                    <w:pStyle w:val="36"/>
                    <w:bidi w:val="0"/>
                    <w:rPr>
                      <w:rFonts w:hint="default"/>
                      <w:b w:val="0"/>
                      <w:bCs/>
                      <w:lang w:val="en-US" w:eastAsia="zh-CN"/>
                    </w:rPr>
                  </w:pPr>
                  <w:r>
                    <w:rPr>
                      <w:rFonts w:hint="default"/>
                      <w:b w:val="0"/>
                      <w:bCs/>
                    </w:rPr>
                    <w:t>台</w:t>
                  </w:r>
                </w:p>
              </w:tc>
              <w:tc>
                <w:tcPr>
                  <w:tcW w:w="1107" w:type="pct"/>
                  <w:tcBorders>
                    <w:top w:val="single" w:color="auto" w:sz="4" w:space="0"/>
                    <w:left w:val="single" w:color="auto" w:sz="4" w:space="0"/>
                    <w:bottom w:val="single" w:color="auto" w:sz="4" w:space="0"/>
                    <w:right w:val="single" w:color="auto" w:sz="4" w:space="0"/>
                  </w:tcBorders>
                  <w:shd w:val="clear" w:color="auto" w:fill="FFFFFF"/>
                  <w:noWrap w:val="0"/>
                  <w:vAlign w:val="center"/>
                </w:tcPr>
                <w:p w14:paraId="540E8780">
                  <w:pPr>
                    <w:pStyle w:val="36"/>
                    <w:bidi w:val="0"/>
                    <w:rPr>
                      <w:rFonts w:hint="default"/>
                      <w:b w:val="0"/>
                      <w:bCs/>
                      <w:lang w:val="en-US" w:eastAsia="zh-CN"/>
                    </w:rPr>
                  </w:pPr>
                  <w:r>
                    <w:rPr>
                      <w:rFonts w:hint="default"/>
                      <w:b w:val="0"/>
                      <w:bCs/>
                      <w:lang w:val="en-US" w:eastAsia="zh-CN"/>
                    </w:rPr>
                    <w:t>/</w:t>
                  </w:r>
                </w:p>
              </w:tc>
            </w:tr>
            <w:tr w14:paraId="4B6A589A">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454" w:hRule="atLeast"/>
                <w:jc w:val="center"/>
              </w:trPr>
              <w:tc>
                <w:tcPr>
                  <w:tcW w:w="403" w:type="pct"/>
                  <w:vMerge w:val="continue"/>
                  <w:tcBorders>
                    <w:top w:val="single" w:color="auto" w:sz="4" w:space="0"/>
                    <w:left w:val="single" w:color="auto" w:sz="4" w:space="0"/>
                    <w:bottom w:val="single" w:color="auto" w:sz="4" w:space="0"/>
                    <w:right w:val="single" w:color="auto" w:sz="4" w:space="0"/>
                  </w:tcBorders>
                  <w:shd w:val="clear" w:color="auto" w:fill="FFFFFF"/>
                  <w:noWrap w:val="0"/>
                  <w:vAlign w:val="center"/>
                </w:tcPr>
                <w:p w14:paraId="722A3D18">
                  <w:pPr>
                    <w:pStyle w:val="36"/>
                    <w:bidi w:val="0"/>
                    <w:rPr>
                      <w:rFonts w:hint="default"/>
                      <w:b w:val="0"/>
                      <w:bCs/>
                    </w:rPr>
                  </w:pPr>
                </w:p>
              </w:tc>
              <w:tc>
                <w:tcPr>
                  <w:tcW w:w="403" w:type="pct"/>
                  <w:tcBorders>
                    <w:top w:val="single" w:color="auto" w:sz="4" w:space="0"/>
                    <w:left w:val="single" w:color="auto" w:sz="4" w:space="0"/>
                    <w:bottom w:val="single" w:color="auto" w:sz="4" w:space="0"/>
                    <w:right w:val="single" w:color="auto" w:sz="4" w:space="0"/>
                  </w:tcBorders>
                  <w:shd w:val="clear" w:color="auto" w:fill="FFFFFF"/>
                  <w:noWrap w:val="0"/>
                  <w:vAlign w:val="center"/>
                </w:tcPr>
                <w:p w14:paraId="558C51DD">
                  <w:pPr>
                    <w:pStyle w:val="36"/>
                    <w:bidi w:val="0"/>
                    <w:rPr>
                      <w:rFonts w:hint="default"/>
                      <w:b w:val="0"/>
                      <w:bCs/>
                      <w:lang w:val="en-US" w:eastAsia="zh-CN"/>
                    </w:rPr>
                  </w:pPr>
                  <w:r>
                    <w:rPr>
                      <w:rFonts w:hint="default"/>
                      <w:b w:val="0"/>
                      <w:bCs/>
                    </w:rPr>
                    <w:t>3</w:t>
                  </w:r>
                </w:p>
              </w:tc>
              <w:tc>
                <w:tcPr>
                  <w:tcW w:w="931"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0A10FA0B">
                  <w:pPr>
                    <w:pStyle w:val="36"/>
                    <w:bidi w:val="0"/>
                    <w:rPr>
                      <w:rFonts w:hint="default"/>
                      <w:b w:val="0"/>
                      <w:bCs/>
                      <w:lang w:val="en-US" w:eastAsia="zh-CN"/>
                    </w:rPr>
                  </w:pPr>
                  <w:r>
                    <w:rPr>
                      <w:rFonts w:hint="default"/>
                      <w:b w:val="0"/>
                      <w:bCs/>
                    </w:rPr>
                    <w:t>烘干机</w:t>
                  </w:r>
                </w:p>
              </w:tc>
              <w:tc>
                <w:tcPr>
                  <w:tcW w:w="1033" w:type="pct"/>
                  <w:tcBorders>
                    <w:top w:val="single" w:color="auto" w:sz="4" w:space="0"/>
                    <w:left w:val="single" w:color="auto" w:sz="4" w:space="0"/>
                    <w:bottom w:val="single" w:color="auto" w:sz="4" w:space="0"/>
                    <w:right w:val="single" w:color="auto" w:sz="4" w:space="0"/>
                  </w:tcBorders>
                  <w:shd w:val="clear" w:color="auto" w:fill="FFFFFF"/>
                  <w:noWrap w:val="0"/>
                  <w:vAlign w:val="center"/>
                </w:tcPr>
                <w:p w14:paraId="40B340AE">
                  <w:pPr>
                    <w:pStyle w:val="36"/>
                    <w:bidi w:val="0"/>
                    <w:rPr>
                      <w:rFonts w:hint="default"/>
                      <w:b w:val="0"/>
                      <w:bCs/>
                      <w:lang w:val="en-US" w:eastAsia="zh-CN"/>
                    </w:rPr>
                  </w:pPr>
                  <w:r>
                    <w:rPr>
                      <w:rFonts w:hint="default"/>
                      <w:b w:val="0"/>
                      <w:bCs/>
                      <w:lang w:val="en-US" w:eastAsia="zh-CN"/>
                    </w:rPr>
                    <w:t>/</w:t>
                  </w:r>
                </w:p>
              </w:tc>
              <w:tc>
                <w:tcPr>
                  <w:tcW w:w="489" w:type="pct"/>
                  <w:tcBorders>
                    <w:top w:val="single" w:color="auto" w:sz="4" w:space="0"/>
                    <w:left w:val="single" w:color="auto" w:sz="4" w:space="0"/>
                    <w:bottom w:val="single" w:color="auto" w:sz="4" w:space="0"/>
                    <w:right w:val="single" w:color="auto" w:sz="4" w:space="0"/>
                  </w:tcBorders>
                  <w:shd w:val="clear" w:color="auto" w:fill="FFFFFF"/>
                  <w:noWrap w:val="0"/>
                  <w:vAlign w:val="center"/>
                </w:tcPr>
                <w:p w14:paraId="615D75D3">
                  <w:pPr>
                    <w:pStyle w:val="36"/>
                    <w:bidi w:val="0"/>
                    <w:rPr>
                      <w:rFonts w:hint="default"/>
                      <w:b w:val="0"/>
                      <w:bCs/>
                      <w:lang w:val="en-US" w:eastAsia="zh-CN"/>
                    </w:rPr>
                  </w:pPr>
                  <w:r>
                    <w:rPr>
                      <w:rFonts w:hint="eastAsia"/>
                      <w:b w:val="0"/>
                      <w:bCs/>
                      <w:lang w:val="en-US" w:eastAsia="zh-CN"/>
                    </w:rPr>
                    <w:t>2</w:t>
                  </w:r>
                </w:p>
              </w:tc>
              <w:tc>
                <w:tcPr>
                  <w:tcW w:w="631" w:type="pct"/>
                  <w:tcBorders>
                    <w:top w:val="single" w:color="auto" w:sz="4" w:space="0"/>
                    <w:left w:val="single" w:color="auto" w:sz="4" w:space="0"/>
                    <w:bottom w:val="single" w:color="auto" w:sz="4" w:space="0"/>
                    <w:right w:val="single" w:color="auto" w:sz="4" w:space="0"/>
                  </w:tcBorders>
                  <w:shd w:val="clear" w:color="auto" w:fill="FFFFFF"/>
                  <w:noWrap w:val="0"/>
                  <w:vAlign w:val="center"/>
                </w:tcPr>
                <w:p w14:paraId="41746920">
                  <w:pPr>
                    <w:pStyle w:val="36"/>
                    <w:bidi w:val="0"/>
                    <w:rPr>
                      <w:rFonts w:hint="default"/>
                      <w:b w:val="0"/>
                      <w:bCs/>
                      <w:lang w:val="en-US" w:eastAsia="zh-CN"/>
                    </w:rPr>
                  </w:pPr>
                  <w:r>
                    <w:rPr>
                      <w:rFonts w:hint="default"/>
                      <w:b w:val="0"/>
                      <w:bCs/>
                    </w:rPr>
                    <w:t>台</w:t>
                  </w:r>
                </w:p>
              </w:tc>
              <w:tc>
                <w:tcPr>
                  <w:tcW w:w="1107" w:type="pct"/>
                  <w:tcBorders>
                    <w:top w:val="single" w:color="auto" w:sz="4" w:space="0"/>
                    <w:left w:val="single" w:color="auto" w:sz="4" w:space="0"/>
                    <w:bottom w:val="single" w:color="auto" w:sz="4" w:space="0"/>
                    <w:right w:val="single" w:color="auto" w:sz="4" w:space="0"/>
                  </w:tcBorders>
                  <w:shd w:val="clear" w:color="auto" w:fill="FFFFFF"/>
                  <w:noWrap w:val="0"/>
                  <w:vAlign w:val="center"/>
                </w:tcPr>
                <w:p w14:paraId="4F76713D">
                  <w:pPr>
                    <w:pStyle w:val="36"/>
                    <w:bidi w:val="0"/>
                    <w:rPr>
                      <w:rFonts w:hint="default"/>
                      <w:b w:val="0"/>
                      <w:bCs/>
                      <w:lang w:val="en-US" w:eastAsia="zh-CN"/>
                    </w:rPr>
                  </w:pPr>
                  <w:r>
                    <w:rPr>
                      <w:rFonts w:hint="default"/>
                      <w:b w:val="0"/>
                      <w:bCs/>
                      <w:lang w:val="en-US" w:eastAsia="zh-CN"/>
                    </w:rPr>
                    <w:t>/</w:t>
                  </w:r>
                </w:p>
              </w:tc>
            </w:tr>
            <w:tr w14:paraId="14385131">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454" w:hRule="atLeast"/>
                <w:jc w:val="center"/>
              </w:trPr>
              <w:tc>
                <w:tcPr>
                  <w:tcW w:w="403" w:type="pct"/>
                  <w:vMerge w:val="continue"/>
                  <w:tcBorders>
                    <w:top w:val="single" w:color="auto" w:sz="4" w:space="0"/>
                    <w:left w:val="single" w:color="auto" w:sz="4" w:space="0"/>
                    <w:bottom w:val="single" w:color="auto" w:sz="4" w:space="0"/>
                    <w:right w:val="single" w:color="auto" w:sz="4" w:space="0"/>
                  </w:tcBorders>
                  <w:shd w:val="clear" w:color="auto" w:fill="FFFFFF"/>
                  <w:noWrap w:val="0"/>
                  <w:vAlign w:val="center"/>
                </w:tcPr>
                <w:p w14:paraId="3A3E4390">
                  <w:pPr>
                    <w:pStyle w:val="36"/>
                    <w:bidi w:val="0"/>
                    <w:rPr>
                      <w:rFonts w:hint="default"/>
                      <w:b w:val="0"/>
                      <w:bCs/>
                    </w:rPr>
                  </w:pPr>
                </w:p>
              </w:tc>
              <w:tc>
                <w:tcPr>
                  <w:tcW w:w="403" w:type="pct"/>
                  <w:tcBorders>
                    <w:top w:val="single" w:color="auto" w:sz="4" w:space="0"/>
                    <w:left w:val="single" w:color="auto" w:sz="4" w:space="0"/>
                    <w:bottom w:val="single" w:color="auto" w:sz="4" w:space="0"/>
                    <w:right w:val="single" w:color="auto" w:sz="4" w:space="0"/>
                  </w:tcBorders>
                  <w:shd w:val="clear" w:color="auto" w:fill="FFFFFF"/>
                  <w:noWrap w:val="0"/>
                  <w:vAlign w:val="center"/>
                </w:tcPr>
                <w:p w14:paraId="7957F6C4">
                  <w:pPr>
                    <w:pStyle w:val="36"/>
                    <w:bidi w:val="0"/>
                    <w:rPr>
                      <w:rFonts w:hint="default"/>
                      <w:b w:val="0"/>
                      <w:bCs/>
                      <w:lang w:val="en-US" w:eastAsia="zh-CN"/>
                    </w:rPr>
                  </w:pPr>
                  <w:r>
                    <w:rPr>
                      <w:rFonts w:hint="default"/>
                      <w:b w:val="0"/>
                      <w:bCs/>
                    </w:rPr>
                    <w:t>4</w:t>
                  </w:r>
                </w:p>
              </w:tc>
              <w:tc>
                <w:tcPr>
                  <w:tcW w:w="931"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28A853FA">
                  <w:pPr>
                    <w:pStyle w:val="36"/>
                    <w:bidi w:val="0"/>
                    <w:rPr>
                      <w:rFonts w:hint="default"/>
                      <w:b w:val="0"/>
                      <w:bCs/>
                    </w:rPr>
                  </w:pPr>
                  <w:r>
                    <w:rPr>
                      <w:rFonts w:hint="default"/>
                      <w:b w:val="0"/>
                      <w:bCs/>
                    </w:rPr>
                    <w:t>制棒机</w:t>
                  </w:r>
                </w:p>
              </w:tc>
              <w:tc>
                <w:tcPr>
                  <w:tcW w:w="1033" w:type="pct"/>
                  <w:tcBorders>
                    <w:top w:val="single" w:color="auto" w:sz="4" w:space="0"/>
                    <w:left w:val="single" w:color="auto" w:sz="4" w:space="0"/>
                    <w:bottom w:val="single" w:color="auto" w:sz="4" w:space="0"/>
                    <w:right w:val="single" w:color="auto" w:sz="4" w:space="0"/>
                  </w:tcBorders>
                  <w:shd w:val="clear" w:color="auto" w:fill="FFFFFF"/>
                  <w:noWrap w:val="0"/>
                  <w:vAlign w:val="center"/>
                </w:tcPr>
                <w:p w14:paraId="385F4FA4">
                  <w:pPr>
                    <w:pStyle w:val="36"/>
                    <w:bidi w:val="0"/>
                    <w:rPr>
                      <w:rFonts w:hint="default"/>
                      <w:b w:val="0"/>
                      <w:bCs/>
                      <w:lang w:val="en-US" w:eastAsia="zh-CN"/>
                    </w:rPr>
                  </w:pPr>
                  <w:r>
                    <w:rPr>
                      <w:rFonts w:hint="default"/>
                      <w:b w:val="0"/>
                      <w:bCs/>
                      <w:lang w:val="en-US" w:eastAsia="zh-CN"/>
                    </w:rPr>
                    <w:t>/</w:t>
                  </w:r>
                </w:p>
              </w:tc>
              <w:tc>
                <w:tcPr>
                  <w:tcW w:w="489" w:type="pct"/>
                  <w:tcBorders>
                    <w:top w:val="single" w:color="auto" w:sz="4" w:space="0"/>
                    <w:left w:val="single" w:color="auto" w:sz="4" w:space="0"/>
                    <w:bottom w:val="single" w:color="auto" w:sz="4" w:space="0"/>
                    <w:right w:val="single" w:color="auto" w:sz="4" w:space="0"/>
                  </w:tcBorders>
                  <w:shd w:val="clear" w:color="auto" w:fill="FFFFFF"/>
                  <w:noWrap w:val="0"/>
                  <w:vAlign w:val="center"/>
                </w:tcPr>
                <w:p w14:paraId="62F521A2">
                  <w:pPr>
                    <w:pStyle w:val="36"/>
                    <w:bidi w:val="0"/>
                    <w:rPr>
                      <w:rFonts w:hint="default"/>
                      <w:b w:val="0"/>
                      <w:bCs/>
                      <w:lang w:val="en-US" w:eastAsia="zh-CN"/>
                    </w:rPr>
                  </w:pPr>
                  <w:r>
                    <w:rPr>
                      <w:rFonts w:hint="eastAsia"/>
                      <w:b w:val="0"/>
                      <w:bCs/>
                      <w:lang w:val="en-US" w:eastAsia="zh-CN"/>
                    </w:rPr>
                    <w:t>2</w:t>
                  </w:r>
                </w:p>
              </w:tc>
              <w:tc>
                <w:tcPr>
                  <w:tcW w:w="631" w:type="pct"/>
                  <w:tcBorders>
                    <w:top w:val="single" w:color="auto" w:sz="4" w:space="0"/>
                    <w:left w:val="single" w:color="auto" w:sz="4" w:space="0"/>
                    <w:bottom w:val="single" w:color="auto" w:sz="4" w:space="0"/>
                    <w:right w:val="single" w:color="auto" w:sz="4" w:space="0"/>
                  </w:tcBorders>
                  <w:shd w:val="clear" w:color="auto" w:fill="FFFFFF"/>
                  <w:noWrap w:val="0"/>
                  <w:vAlign w:val="center"/>
                </w:tcPr>
                <w:p w14:paraId="48268909">
                  <w:pPr>
                    <w:pStyle w:val="36"/>
                    <w:bidi w:val="0"/>
                    <w:rPr>
                      <w:rFonts w:hint="default"/>
                      <w:b w:val="0"/>
                      <w:bCs/>
                      <w:lang w:val="en-US" w:eastAsia="zh-CN"/>
                    </w:rPr>
                  </w:pPr>
                  <w:r>
                    <w:rPr>
                      <w:rFonts w:hint="default"/>
                      <w:b w:val="0"/>
                      <w:bCs/>
                    </w:rPr>
                    <w:t>台</w:t>
                  </w:r>
                </w:p>
              </w:tc>
              <w:tc>
                <w:tcPr>
                  <w:tcW w:w="1107" w:type="pct"/>
                  <w:tcBorders>
                    <w:top w:val="single" w:color="auto" w:sz="4" w:space="0"/>
                    <w:left w:val="single" w:color="auto" w:sz="4" w:space="0"/>
                    <w:bottom w:val="single" w:color="auto" w:sz="4" w:space="0"/>
                    <w:right w:val="single" w:color="auto" w:sz="4" w:space="0"/>
                  </w:tcBorders>
                  <w:shd w:val="clear" w:color="auto" w:fill="FFFFFF"/>
                  <w:noWrap w:val="0"/>
                  <w:vAlign w:val="center"/>
                </w:tcPr>
                <w:p w14:paraId="3C958985">
                  <w:pPr>
                    <w:pStyle w:val="36"/>
                    <w:bidi w:val="0"/>
                    <w:rPr>
                      <w:rFonts w:hint="default"/>
                      <w:b w:val="0"/>
                      <w:bCs/>
                      <w:lang w:val="en-US" w:eastAsia="zh-CN"/>
                    </w:rPr>
                  </w:pPr>
                  <w:r>
                    <w:rPr>
                      <w:rFonts w:hint="default"/>
                      <w:b w:val="0"/>
                      <w:bCs/>
                      <w:lang w:val="en-US" w:eastAsia="zh-CN"/>
                    </w:rPr>
                    <w:t>/</w:t>
                  </w:r>
                </w:p>
              </w:tc>
            </w:tr>
            <w:tr w14:paraId="5C3A10A9">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454" w:hRule="atLeast"/>
                <w:jc w:val="center"/>
              </w:trPr>
              <w:tc>
                <w:tcPr>
                  <w:tcW w:w="403" w:type="pct"/>
                  <w:vMerge w:val="continue"/>
                  <w:tcBorders>
                    <w:top w:val="single" w:color="auto" w:sz="4" w:space="0"/>
                    <w:left w:val="single" w:color="auto" w:sz="4" w:space="0"/>
                    <w:bottom w:val="single" w:color="auto" w:sz="4" w:space="0"/>
                    <w:right w:val="single" w:color="auto" w:sz="4" w:space="0"/>
                  </w:tcBorders>
                  <w:shd w:val="clear" w:color="auto" w:fill="FFFFFF"/>
                  <w:noWrap w:val="0"/>
                  <w:vAlign w:val="center"/>
                </w:tcPr>
                <w:p w14:paraId="4302F820">
                  <w:pPr>
                    <w:pStyle w:val="36"/>
                    <w:bidi w:val="0"/>
                    <w:rPr>
                      <w:rFonts w:hint="default"/>
                      <w:b w:val="0"/>
                      <w:bCs/>
                    </w:rPr>
                  </w:pPr>
                </w:p>
              </w:tc>
              <w:tc>
                <w:tcPr>
                  <w:tcW w:w="403" w:type="pct"/>
                  <w:tcBorders>
                    <w:top w:val="single" w:color="auto" w:sz="4" w:space="0"/>
                    <w:left w:val="single" w:color="auto" w:sz="4" w:space="0"/>
                    <w:bottom w:val="single" w:color="auto" w:sz="4" w:space="0"/>
                    <w:right w:val="single" w:color="auto" w:sz="4" w:space="0"/>
                  </w:tcBorders>
                  <w:shd w:val="clear" w:color="auto" w:fill="FFFFFF"/>
                  <w:noWrap w:val="0"/>
                  <w:vAlign w:val="center"/>
                </w:tcPr>
                <w:p w14:paraId="4198491E">
                  <w:pPr>
                    <w:pStyle w:val="36"/>
                    <w:bidi w:val="0"/>
                    <w:rPr>
                      <w:rFonts w:hint="default"/>
                      <w:b w:val="0"/>
                      <w:bCs/>
                      <w:lang w:val="en-US" w:eastAsia="zh-CN"/>
                    </w:rPr>
                  </w:pPr>
                  <w:r>
                    <w:rPr>
                      <w:rFonts w:hint="default"/>
                      <w:b w:val="0"/>
                      <w:bCs/>
                    </w:rPr>
                    <w:t>5</w:t>
                  </w:r>
                </w:p>
              </w:tc>
              <w:tc>
                <w:tcPr>
                  <w:tcW w:w="931"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06494E8D">
                  <w:pPr>
                    <w:pStyle w:val="36"/>
                    <w:bidi w:val="0"/>
                    <w:rPr>
                      <w:rFonts w:hint="default"/>
                      <w:b w:val="0"/>
                      <w:bCs/>
                      <w:lang w:val="en-US" w:eastAsia="zh-CN"/>
                    </w:rPr>
                  </w:pPr>
                  <w:r>
                    <w:rPr>
                      <w:rFonts w:hint="default"/>
                      <w:b w:val="0"/>
                      <w:bCs/>
                      <w:lang w:val="en-US" w:eastAsia="zh-CN"/>
                    </w:rPr>
                    <w:t>热风炉</w:t>
                  </w:r>
                </w:p>
              </w:tc>
              <w:tc>
                <w:tcPr>
                  <w:tcW w:w="1033" w:type="pct"/>
                  <w:tcBorders>
                    <w:top w:val="single" w:color="auto" w:sz="4" w:space="0"/>
                    <w:left w:val="single" w:color="auto" w:sz="4" w:space="0"/>
                    <w:bottom w:val="single" w:color="auto" w:sz="4" w:space="0"/>
                    <w:right w:val="single" w:color="auto" w:sz="4" w:space="0"/>
                  </w:tcBorders>
                  <w:shd w:val="clear" w:color="auto" w:fill="FFFFFF"/>
                  <w:noWrap w:val="0"/>
                  <w:vAlign w:val="center"/>
                </w:tcPr>
                <w:p w14:paraId="20F38502">
                  <w:pPr>
                    <w:pStyle w:val="36"/>
                    <w:bidi w:val="0"/>
                    <w:rPr>
                      <w:rFonts w:hint="default"/>
                      <w:b w:val="0"/>
                      <w:bCs/>
                      <w:lang w:val="en-US" w:eastAsia="zh-CN"/>
                    </w:rPr>
                  </w:pPr>
                  <w:r>
                    <w:rPr>
                      <w:rFonts w:hint="default"/>
                      <w:b w:val="0"/>
                      <w:bCs/>
                      <w:lang w:val="en-US" w:eastAsia="zh-CN"/>
                    </w:rPr>
                    <w:t>/</w:t>
                  </w:r>
                </w:p>
              </w:tc>
              <w:tc>
                <w:tcPr>
                  <w:tcW w:w="489" w:type="pct"/>
                  <w:tcBorders>
                    <w:top w:val="single" w:color="auto" w:sz="4" w:space="0"/>
                    <w:left w:val="single" w:color="auto" w:sz="4" w:space="0"/>
                    <w:bottom w:val="single" w:color="auto" w:sz="4" w:space="0"/>
                    <w:right w:val="single" w:color="auto" w:sz="4" w:space="0"/>
                  </w:tcBorders>
                  <w:shd w:val="clear" w:color="auto" w:fill="FFFFFF"/>
                  <w:noWrap w:val="0"/>
                  <w:vAlign w:val="center"/>
                </w:tcPr>
                <w:p w14:paraId="427CA053">
                  <w:pPr>
                    <w:pStyle w:val="36"/>
                    <w:bidi w:val="0"/>
                    <w:rPr>
                      <w:rFonts w:hint="default"/>
                      <w:b w:val="0"/>
                      <w:bCs/>
                      <w:lang w:val="en-US" w:eastAsia="zh-CN"/>
                    </w:rPr>
                  </w:pPr>
                  <w:r>
                    <w:rPr>
                      <w:rFonts w:hint="default"/>
                      <w:b w:val="0"/>
                      <w:bCs/>
                      <w:lang w:val="en-US" w:eastAsia="zh-CN"/>
                    </w:rPr>
                    <w:t>1</w:t>
                  </w:r>
                </w:p>
              </w:tc>
              <w:tc>
                <w:tcPr>
                  <w:tcW w:w="631" w:type="pct"/>
                  <w:tcBorders>
                    <w:top w:val="single" w:color="auto" w:sz="4" w:space="0"/>
                    <w:left w:val="single" w:color="auto" w:sz="4" w:space="0"/>
                    <w:bottom w:val="single" w:color="auto" w:sz="4" w:space="0"/>
                    <w:right w:val="single" w:color="auto" w:sz="4" w:space="0"/>
                  </w:tcBorders>
                  <w:shd w:val="clear" w:color="auto" w:fill="FFFFFF"/>
                  <w:noWrap w:val="0"/>
                  <w:vAlign w:val="center"/>
                </w:tcPr>
                <w:p w14:paraId="73E34747">
                  <w:pPr>
                    <w:pStyle w:val="36"/>
                    <w:bidi w:val="0"/>
                    <w:rPr>
                      <w:rFonts w:hint="default"/>
                      <w:b w:val="0"/>
                      <w:bCs/>
                      <w:lang w:val="en-US" w:eastAsia="zh-CN"/>
                    </w:rPr>
                  </w:pPr>
                  <w:r>
                    <w:rPr>
                      <w:rFonts w:hint="default"/>
                      <w:b w:val="0"/>
                      <w:bCs/>
                    </w:rPr>
                    <w:t>台</w:t>
                  </w:r>
                </w:p>
              </w:tc>
              <w:tc>
                <w:tcPr>
                  <w:tcW w:w="1107" w:type="pct"/>
                  <w:tcBorders>
                    <w:top w:val="single" w:color="auto" w:sz="4" w:space="0"/>
                    <w:left w:val="single" w:color="auto" w:sz="4" w:space="0"/>
                    <w:bottom w:val="single" w:color="auto" w:sz="4" w:space="0"/>
                    <w:right w:val="single" w:color="auto" w:sz="4" w:space="0"/>
                  </w:tcBorders>
                  <w:shd w:val="clear" w:color="auto" w:fill="FFFFFF"/>
                  <w:noWrap w:val="0"/>
                  <w:vAlign w:val="center"/>
                </w:tcPr>
                <w:p w14:paraId="052F758A">
                  <w:pPr>
                    <w:pStyle w:val="36"/>
                    <w:bidi w:val="0"/>
                    <w:rPr>
                      <w:rFonts w:hint="default"/>
                      <w:b w:val="0"/>
                      <w:bCs/>
                      <w:lang w:val="en-US" w:eastAsia="zh-CN"/>
                    </w:rPr>
                  </w:pPr>
                  <w:r>
                    <w:rPr>
                      <w:rFonts w:hint="default"/>
                      <w:b w:val="0"/>
                      <w:bCs/>
                      <w:lang w:val="en-US" w:eastAsia="zh-CN"/>
                    </w:rPr>
                    <w:t>/</w:t>
                  </w:r>
                </w:p>
              </w:tc>
            </w:tr>
            <w:tr w14:paraId="1034D4F6">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454" w:hRule="atLeast"/>
                <w:jc w:val="center"/>
              </w:trPr>
              <w:tc>
                <w:tcPr>
                  <w:tcW w:w="403" w:type="pct"/>
                  <w:vMerge w:val="continue"/>
                  <w:tcBorders>
                    <w:top w:val="single" w:color="auto" w:sz="4" w:space="0"/>
                    <w:left w:val="single" w:color="auto" w:sz="4" w:space="0"/>
                    <w:bottom w:val="single" w:color="auto" w:sz="4" w:space="0"/>
                    <w:right w:val="single" w:color="auto" w:sz="4" w:space="0"/>
                  </w:tcBorders>
                  <w:vAlign w:val="center"/>
                </w:tcPr>
                <w:p w14:paraId="363CA23B">
                  <w:pPr>
                    <w:pStyle w:val="36"/>
                    <w:bidi w:val="0"/>
                    <w:rPr>
                      <w:rFonts w:hint="default"/>
                      <w:b w:val="0"/>
                      <w:bCs/>
                    </w:rPr>
                  </w:pPr>
                </w:p>
              </w:tc>
              <w:tc>
                <w:tcPr>
                  <w:tcW w:w="403" w:type="pct"/>
                  <w:tcBorders>
                    <w:top w:val="single" w:color="auto" w:sz="4" w:space="0"/>
                    <w:left w:val="single" w:color="auto" w:sz="4" w:space="0"/>
                    <w:bottom w:val="single" w:color="auto" w:sz="4" w:space="0"/>
                    <w:right w:val="single" w:color="auto" w:sz="4" w:space="0"/>
                  </w:tcBorders>
                  <w:shd w:val="clear" w:color="auto" w:fill="FFFFFF"/>
                  <w:vAlign w:val="center"/>
                </w:tcPr>
                <w:p w14:paraId="1EA1710B">
                  <w:pPr>
                    <w:pStyle w:val="36"/>
                    <w:bidi w:val="0"/>
                    <w:rPr>
                      <w:rFonts w:hint="default"/>
                      <w:b w:val="0"/>
                      <w:bCs/>
                      <w:lang w:val="en-US" w:eastAsia="zh-CN"/>
                    </w:rPr>
                  </w:pPr>
                  <w:r>
                    <w:rPr>
                      <w:rFonts w:hint="default"/>
                      <w:b w:val="0"/>
                      <w:bCs/>
                    </w:rPr>
                    <w:t>6</w:t>
                  </w:r>
                </w:p>
              </w:tc>
              <w:tc>
                <w:tcPr>
                  <w:tcW w:w="931" w:type="pct"/>
                  <w:tcBorders>
                    <w:top w:val="single" w:color="auto" w:sz="4" w:space="0"/>
                    <w:left w:val="single" w:color="auto" w:sz="4" w:space="0"/>
                    <w:bottom w:val="single" w:color="auto" w:sz="4" w:space="0"/>
                    <w:right w:val="single" w:color="auto" w:sz="4" w:space="0"/>
                  </w:tcBorders>
                  <w:shd w:val="clear" w:color="auto" w:fill="auto"/>
                  <w:vAlign w:val="center"/>
                </w:tcPr>
                <w:p w14:paraId="043674C9">
                  <w:pPr>
                    <w:pStyle w:val="36"/>
                    <w:bidi w:val="0"/>
                    <w:rPr>
                      <w:rFonts w:hint="default"/>
                      <w:b w:val="0"/>
                      <w:bCs/>
                      <w:lang w:val="en-US" w:eastAsia="zh-CN"/>
                    </w:rPr>
                  </w:pPr>
                  <w:r>
                    <w:rPr>
                      <w:rFonts w:hint="default"/>
                      <w:b w:val="0"/>
                      <w:bCs/>
                    </w:rPr>
                    <w:t>炭化</w:t>
                  </w:r>
                  <w:r>
                    <w:rPr>
                      <w:rFonts w:hint="default"/>
                      <w:b w:val="0"/>
                      <w:bCs/>
                      <w:lang w:eastAsia="zh-CN"/>
                    </w:rPr>
                    <w:t>炉</w:t>
                  </w:r>
                </w:p>
              </w:tc>
              <w:tc>
                <w:tcPr>
                  <w:tcW w:w="1033" w:type="pct"/>
                  <w:tcBorders>
                    <w:top w:val="single" w:color="auto" w:sz="4" w:space="0"/>
                    <w:left w:val="single" w:color="auto" w:sz="4" w:space="0"/>
                    <w:bottom w:val="single" w:color="auto" w:sz="4" w:space="0"/>
                    <w:right w:val="single" w:color="auto" w:sz="4" w:space="0"/>
                  </w:tcBorders>
                  <w:vAlign w:val="center"/>
                </w:tcPr>
                <w:p w14:paraId="018C16F2">
                  <w:pPr>
                    <w:pStyle w:val="36"/>
                    <w:bidi w:val="0"/>
                    <w:rPr>
                      <w:rFonts w:hint="default"/>
                      <w:b w:val="0"/>
                      <w:bCs/>
                      <w:lang w:val="en-US" w:eastAsia="zh-CN"/>
                    </w:rPr>
                  </w:pPr>
                  <w:r>
                    <w:rPr>
                      <w:rFonts w:hint="eastAsia"/>
                      <w:b w:val="0"/>
                      <w:bCs/>
                      <w:lang w:val="en-US" w:eastAsia="zh-CN"/>
                    </w:rPr>
                    <w:t>1.2t产品/炉·批次；平均：48h/ 批次</w:t>
                  </w:r>
                </w:p>
              </w:tc>
              <w:tc>
                <w:tcPr>
                  <w:tcW w:w="489" w:type="pct"/>
                  <w:tcBorders>
                    <w:top w:val="single" w:color="auto" w:sz="4" w:space="0"/>
                    <w:left w:val="single" w:color="auto" w:sz="4" w:space="0"/>
                    <w:bottom w:val="single" w:color="auto" w:sz="4" w:space="0"/>
                    <w:right w:val="single" w:color="auto" w:sz="4" w:space="0"/>
                  </w:tcBorders>
                  <w:vAlign w:val="center"/>
                </w:tcPr>
                <w:p w14:paraId="795145F0">
                  <w:pPr>
                    <w:pStyle w:val="36"/>
                    <w:bidi w:val="0"/>
                    <w:rPr>
                      <w:rFonts w:hint="default"/>
                      <w:b w:val="0"/>
                      <w:bCs/>
                      <w:lang w:val="en-US" w:eastAsia="zh-CN"/>
                    </w:rPr>
                  </w:pPr>
                  <w:r>
                    <w:rPr>
                      <w:rFonts w:hint="eastAsia"/>
                      <w:b w:val="0"/>
                      <w:bCs/>
                      <w:lang w:val="en-US" w:eastAsia="zh-CN"/>
                    </w:rPr>
                    <w:t>20</w:t>
                  </w:r>
                </w:p>
              </w:tc>
              <w:tc>
                <w:tcPr>
                  <w:tcW w:w="631" w:type="pct"/>
                  <w:tcBorders>
                    <w:top w:val="single" w:color="auto" w:sz="4" w:space="0"/>
                    <w:left w:val="single" w:color="auto" w:sz="4" w:space="0"/>
                    <w:bottom w:val="single" w:color="auto" w:sz="4" w:space="0"/>
                    <w:right w:val="single" w:color="auto" w:sz="4" w:space="0"/>
                  </w:tcBorders>
                  <w:shd w:val="clear" w:color="auto" w:fill="FFFFFF"/>
                  <w:vAlign w:val="center"/>
                </w:tcPr>
                <w:p w14:paraId="04EAF14A">
                  <w:pPr>
                    <w:pStyle w:val="36"/>
                    <w:bidi w:val="0"/>
                    <w:rPr>
                      <w:rFonts w:hint="default"/>
                      <w:b w:val="0"/>
                      <w:bCs/>
                      <w:lang w:val="en-US" w:eastAsia="zh-CN"/>
                    </w:rPr>
                  </w:pPr>
                  <w:r>
                    <w:rPr>
                      <w:rFonts w:hint="default"/>
                      <w:b w:val="0"/>
                      <w:bCs/>
                    </w:rPr>
                    <w:t>台</w:t>
                  </w:r>
                </w:p>
              </w:tc>
              <w:tc>
                <w:tcPr>
                  <w:tcW w:w="1107" w:type="pct"/>
                  <w:tcBorders>
                    <w:top w:val="single" w:color="auto" w:sz="4" w:space="0"/>
                    <w:left w:val="single" w:color="auto" w:sz="4" w:space="0"/>
                    <w:bottom w:val="single" w:color="auto" w:sz="4" w:space="0"/>
                    <w:right w:val="single" w:color="auto" w:sz="4" w:space="0"/>
                  </w:tcBorders>
                  <w:shd w:val="clear" w:color="auto" w:fill="FFFFFF"/>
                  <w:vAlign w:val="center"/>
                </w:tcPr>
                <w:p w14:paraId="6A6BE276">
                  <w:pPr>
                    <w:pStyle w:val="36"/>
                    <w:bidi w:val="0"/>
                    <w:rPr>
                      <w:rFonts w:hint="default"/>
                      <w:b w:val="0"/>
                      <w:bCs/>
                      <w:lang w:val="en-US" w:eastAsia="zh-CN"/>
                    </w:rPr>
                  </w:pPr>
                  <w:r>
                    <w:rPr>
                      <w:rFonts w:hint="default"/>
                      <w:b w:val="0"/>
                      <w:bCs/>
                      <w:lang w:val="en-US" w:eastAsia="zh-CN"/>
                    </w:rPr>
                    <w:t>/</w:t>
                  </w:r>
                </w:p>
              </w:tc>
            </w:tr>
            <w:tr w14:paraId="68321A1C">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454" w:hRule="atLeast"/>
                <w:jc w:val="center"/>
              </w:trPr>
              <w:tc>
                <w:tcPr>
                  <w:tcW w:w="403" w:type="pct"/>
                  <w:vMerge w:val="continue"/>
                  <w:tcBorders>
                    <w:top w:val="single" w:color="auto" w:sz="4" w:space="0"/>
                    <w:left w:val="single" w:color="auto" w:sz="4" w:space="0"/>
                    <w:bottom w:val="single" w:color="auto" w:sz="4" w:space="0"/>
                    <w:right w:val="single" w:color="auto" w:sz="4" w:space="0"/>
                  </w:tcBorders>
                  <w:vAlign w:val="center"/>
                </w:tcPr>
                <w:p w14:paraId="1A564332">
                  <w:pPr>
                    <w:pStyle w:val="36"/>
                    <w:bidi w:val="0"/>
                    <w:rPr>
                      <w:rFonts w:hint="default"/>
                      <w:b w:val="0"/>
                      <w:bCs/>
                    </w:rPr>
                  </w:pPr>
                </w:p>
              </w:tc>
              <w:tc>
                <w:tcPr>
                  <w:tcW w:w="403" w:type="pct"/>
                  <w:tcBorders>
                    <w:top w:val="single" w:color="auto" w:sz="4" w:space="0"/>
                    <w:left w:val="single" w:color="auto" w:sz="4" w:space="0"/>
                    <w:bottom w:val="single" w:color="auto" w:sz="4" w:space="0"/>
                    <w:right w:val="single" w:color="auto" w:sz="4" w:space="0"/>
                  </w:tcBorders>
                  <w:shd w:val="clear" w:color="auto" w:fill="auto"/>
                  <w:vAlign w:val="center"/>
                </w:tcPr>
                <w:p w14:paraId="5789B680">
                  <w:pPr>
                    <w:pStyle w:val="36"/>
                    <w:bidi w:val="0"/>
                    <w:rPr>
                      <w:rFonts w:hint="default"/>
                      <w:b w:val="0"/>
                      <w:bCs/>
                      <w:lang w:val="en-US" w:eastAsia="zh-CN"/>
                    </w:rPr>
                  </w:pPr>
                  <w:r>
                    <w:rPr>
                      <w:rFonts w:hint="default"/>
                      <w:b w:val="0"/>
                      <w:bCs/>
                      <w:lang w:val="en-US" w:eastAsia="zh-CN"/>
                    </w:rPr>
                    <w:t>7</w:t>
                  </w:r>
                </w:p>
              </w:tc>
              <w:tc>
                <w:tcPr>
                  <w:tcW w:w="931" w:type="pct"/>
                  <w:tcBorders>
                    <w:top w:val="single" w:color="auto" w:sz="4" w:space="0"/>
                    <w:left w:val="single" w:color="auto" w:sz="4" w:space="0"/>
                    <w:bottom w:val="single" w:color="auto" w:sz="4" w:space="0"/>
                    <w:right w:val="single" w:color="auto" w:sz="4" w:space="0"/>
                  </w:tcBorders>
                  <w:shd w:val="clear" w:color="auto" w:fill="auto"/>
                  <w:vAlign w:val="center"/>
                </w:tcPr>
                <w:p w14:paraId="21D6BB47">
                  <w:pPr>
                    <w:pStyle w:val="36"/>
                    <w:bidi w:val="0"/>
                    <w:rPr>
                      <w:rFonts w:hint="default"/>
                      <w:b w:val="0"/>
                      <w:bCs/>
                    </w:rPr>
                  </w:pPr>
                  <w:r>
                    <w:rPr>
                      <w:rFonts w:hint="default"/>
                      <w:b w:val="0"/>
                      <w:bCs/>
                      <w:lang w:val="en-US" w:eastAsia="zh-CN"/>
                    </w:rPr>
                    <w:t>锯切机</w:t>
                  </w:r>
                </w:p>
              </w:tc>
              <w:tc>
                <w:tcPr>
                  <w:tcW w:w="1033" w:type="pct"/>
                  <w:tcBorders>
                    <w:top w:val="single" w:color="auto" w:sz="4" w:space="0"/>
                    <w:left w:val="single" w:color="auto" w:sz="4" w:space="0"/>
                    <w:bottom w:val="single" w:color="auto" w:sz="4" w:space="0"/>
                    <w:right w:val="single" w:color="auto" w:sz="4" w:space="0"/>
                  </w:tcBorders>
                  <w:vAlign w:val="center"/>
                </w:tcPr>
                <w:p w14:paraId="4A609BDA">
                  <w:pPr>
                    <w:pStyle w:val="36"/>
                    <w:bidi w:val="0"/>
                    <w:rPr>
                      <w:rFonts w:hint="default"/>
                      <w:b w:val="0"/>
                      <w:bCs/>
                      <w:lang w:val="en-US" w:eastAsia="zh-CN"/>
                    </w:rPr>
                  </w:pPr>
                  <w:r>
                    <w:rPr>
                      <w:rFonts w:hint="default"/>
                      <w:b w:val="0"/>
                      <w:bCs/>
                      <w:lang w:val="en-US" w:eastAsia="zh-CN"/>
                    </w:rPr>
                    <w:t>/</w:t>
                  </w:r>
                </w:p>
              </w:tc>
              <w:tc>
                <w:tcPr>
                  <w:tcW w:w="489" w:type="pct"/>
                  <w:tcBorders>
                    <w:top w:val="single" w:color="auto" w:sz="4" w:space="0"/>
                    <w:left w:val="single" w:color="auto" w:sz="4" w:space="0"/>
                    <w:bottom w:val="single" w:color="auto" w:sz="4" w:space="0"/>
                    <w:right w:val="single" w:color="auto" w:sz="4" w:space="0"/>
                  </w:tcBorders>
                  <w:vAlign w:val="center"/>
                </w:tcPr>
                <w:p w14:paraId="4DFB6303">
                  <w:pPr>
                    <w:pStyle w:val="36"/>
                    <w:bidi w:val="0"/>
                    <w:rPr>
                      <w:rFonts w:hint="default"/>
                      <w:b w:val="0"/>
                      <w:bCs/>
                      <w:lang w:val="en-US" w:eastAsia="zh-CN"/>
                    </w:rPr>
                  </w:pPr>
                  <w:r>
                    <w:rPr>
                      <w:rFonts w:hint="default"/>
                      <w:b w:val="0"/>
                      <w:bCs/>
                      <w:lang w:val="en-US" w:eastAsia="zh-CN"/>
                    </w:rPr>
                    <w:t>1</w:t>
                  </w:r>
                  <w:r>
                    <w:rPr>
                      <w:rFonts w:hint="eastAsia"/>
                      <w:b w:val="0"/>
                      <w:bCs/>
                      <w:lang w:val="en-US" w:eastAsia="zh-CN"/>
                    </w:rPr>
                    <w:t>0</w:t>
                  </w:r>
                </w:p>
              </w:tc>
              <w:tc>
                <w:tcPr>
                  <w:tcW w:w="631" w:type="pct"/>
                  <w:tcBorders>
                    <w:top w:val="single" w:color="auto" w:sz="4" w:space="0"/>
                    <w:left w:val="single" w:color="auto" w:sz="4" w:space="0"/>
                    <w:bottom w:val="single" w:color="auto" w:sz="4" w:space="0"/>
                    <w:right w:val="single" w:color="auto" w:sz="4" w:space="0"/>
                  </w:tcBorders>
                  <w:shd w:val="clear" w:color="auto" w:fill="FFFFFF"/>
                  <w:vAlign w:val="center"/>
                </w:tcPr>
                <w:p w14:paraId="1C83494C">
                  <w:pPr>
                    <w:pStyle w:val="36"/>
                    <w:bidi w:val="0"/>
                    <w:ind w:left="0" w:leftChars="0" w:firstLine="0" w:firstLineChars="0"/>
                    <w:rPr>
                      <w:rFonts w:hint="default"/>
                      <w:b w:val="0"/>
                      <w:bCs/>
                    </w:rPr>
                  </w:pPr>
                  <w:r>
                    <w:rPr>
                      <w:rFonts w:hint="default"/>
                      <w:b w:val="0"/>
                      <w:bCs/>
                    </w:rPr>
                    <w:t>台</w:t>
                  </w:r>
                </w:p>
              </w:tc>
              <w:tc>
                <w:tcPr>
                  <w:tcW w:w="1107" w:type="pct"/>
                  <w:tcBorders>
                    <w:top w:val="single" w:color="auto" w:sz="4" w:space="0"/>
                    <w:left w:val="single" w:color="auto" w:sz="4" w:space="0"/>
                    <w:bottom w:val="single" w:color="auto" w:sz="4" w:space="0"/>
                    <w:right w:val="single" w:color="auto" w:sz="4" w:space="0"/>
                  </w:tcBorders>
                  <w:shd w:val="clear" w:color="auto" w:fill="FFFFFF"/>
                  <w:vAlign w:val="center"/>
                </w:tcPr>
                <w:p w14:paraId="4D34BBE7">
                  <w:pPr>
                    <w:pStyle w:val="36"/>
                    <w:bidi w:val="0"/>
                    <w:rPr>
                      <w:rFonts w:hint="default"/>
                      <w:b w:val="0"/>
                      <w:bCs/>
                      <w:lang w:val="en-US" w:eastAsia="zh-CN"/>
                    </w:rPr>
                  </w:pPr>
                  <w:r>
                    <w:rPr>
                      <w:rFonts w:hint="default"/>
                      <w:b w:val="0"/>
                      <w:bCs/>
                      <w:lang w:val="en-US" w:eastAsia="zh-CN"/>
                    </w:rPr>
                    <w:t>/</w:t>
                  </w:r>
                </w:p>
              </w:tc>
            </w:tr>
            <w:tr w14:paraId="5BE0F22E">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454" w:hRule="atLeast"/>
                <w:jc w:val="center"/>
              </w:trPr>
              <w:tc>
                <w:tcPr>
                  <w:tcW w:w="403" w:type="pct"/>
                  <w:vMerge w:val="continue"/>
                  <w:tcBorders>
                    <w:top w:val="single" w:color="auto" w:sz="4" w:space="0"/>
                    <w:left w:val="single" w:color="auto" w:sz="4" w:space="0"/>
                    <w:bottom w:val="single" w:color="auto" w:sz="4" w:space="0"/>
                    <w:right w:val="single" w:color="auto" w:sz="4" w:space="0"/>
                  </w:tcBorders>
                  <w:vAlign w:val="center"/>
                </w:tcPr>
                <w:p w14:paraId="51D33E44">
                  <w:pPr>
                    <w:pStyle w:val="36"/>
                    <w:bidi w:val="0"/>
                    <w:rPr>
                      <w:rFonts w:hint="default"/>
                      <w:b w:val="0"/>
                      <w:bCs/>
                    </w:rPr>
                  </w:pPr>
                </w:p>
              </w:tc>
              <w:tc>
                <w:tcPr>
                  <w:tcW w:w="403" w:type="pct"/>
                  <w:tcBorders>
                    <w:top w:val="single" w:color="auto" w:sz="4" w:space="0"/>
                    <w:left w:val="single" w:color="auto" w:sz="4" w:space="0"/>
                    <w:bottom w:val="single" w:color="auto" w:sz="4" w:space="0"/>
                    <w:right w:val="single" w:color="auto" w:sz="4" w:space="0"/>
                  </w:tcBorders>
                  <w:shd w:val="clear" w:color="auto" w:fill="auto"/>
                  <w:vAlign w:val="center"/>
                </w:tcPr>
                <w:p w14:paraId="64414F9F">
                  <w:pPr>
                    <w:pStyle w:val="36"/>
                    <w:bidi w:val="0"/>
                    <w:rPr>
                      <w:rFonts w:hint="default"/>
                      <w:b w:val="0"/>
                      <w:bCs/>
                      <w:lang w:val="en-US" w:eastAsia="zh-CN"/>
                    </w:rPr>
                  </w:pPr>
                  <w:r>
                    <w:rPr>
                      <w:rFonts w:hint="default"/>
                      <w:b w:val="0"/>
                      <w:bCs/>
                      <w:lang w:val="en-US" w:eastAsia="zh-CN"/>
                    </w:rPr>
                    <w:t>8</w:t>
                  </w:r>
                </w:p>
              </w:tc>
              <w:tc>
                <w:tcPr>
                  <w:tcW w:w="931" w:type="pct"/>
                  <w:tcBorders>
                    <w:top w:val="single" w:color="auto" w:sz="4" w:space="0"/>
                    <w:left w:val="single" w:color="auto" w:sz="4" w:space="0"/>
                    <w:bottom w:val="single" w:color="auto" w:sz="4" w:space="0"/>
                    <w:right w:val="single" w:color="auto" w:sz="4" w:space="0"/>
                  </w:tcBorders>
                  <w:shd w:val="clear" w:color="auto" w:fill="auto"/>
                  <w:vAlign w:val="center"/>
                </w:tcPr>
                <w:p w14:paraId="6AA6AA27">
                  <w:pPr>
                    <w:pStyle w:val="36"/>
                    <w:bidi w:val="0"/>
                    <w:rPr>
                      <w:rFonts w:hint="default"/>
                      <w:b w:val="0"/>
                      <w:bCs/>
                      <w:lang w:val="en-US" w:eastAsia="zh-CN"/>
                    </w:rPr>
                  </w:pPr>
                  <w:r>
                    <w:rPr>
                      <w:rFonts w:hint="eastAsia"/>
                      <w:b w:val="0"/>
                      <w:bCs/>
                      <w:lang w:val="en-US" w:eastAsia="zh-CN"/>
                    </w:rPr>
                    <w:t>包装机</w:t>
                  </w:r>
                </w:p>
              </w:tc>
              <w:tc>
                <w:tcPr>
                  <w:tcW w:w="1033" w:type="pct"/>
                  <w:tcBorders>
                    <w:top w:val="single" w:color="auto" w:sz="4" w:space="0"/>
                    <w:left w:val="single" w:color="auto" w:sz="4" w:space="0"/>
                    <w:bottom w:val="single" w:color="auto" w:sz="4" w:space="0"/>
                    <w:right w:val="single" w:color="auto" w:sz="4" w:space="0"/>
                  </w:tcBorders>
                  <w:vAlign w:val="center"/>
                </w:tcPr>
                <w:p w14:paraId="0B03E846">
                  <w:pPr>
                    <w:pStyle w:val="36"/>
                    <w:bidi w:val="0"/>
                    <w:rPr>
                      <w:rFonts w:hint="default"/>
                      <w:b w:val="0"/>
                      <w:bCs/>
                      <w:lang w:eastAsia="zh-CN"/>
                    </w:rPr>
                  </w:pPr>
                  <w:r>
                    <w:rPr>
                      <w:rFonts w:hint="default"/>
                      <w:b w:val="0"/>
                      <w:bCs/>
                      <w:lang w:val="en-US" w:eastAsia="zh-CN"/>
                    </w:rPr>
                    <w:t>/</w:t>
                  </w:r>
                </w:p>
              </w:tc>
              <w:tc>
                <w:tcPr>
                  <w:tcW w:w="489" w:type="pct"/>
                  <w:tcBorders>
                    <w:top w:val="single" w:color="auto" w:sz="4" w:space="0"/>
                    <w:left w:val="single" w:color="auto" w:sz="4" w:space="0"/>
                    <w:bottom w:val="single" w:color="auto" w:sz="4" w:space="0"/>
                    <w:right w:val="single" w:color="auto" w:sz="4" w:space="0"/>
                  </w:tcBorders>
                  <w:vAlign w:val="center"/>
                </w:tcPr>
                <w:p w14:paraId="76E7BF59">
                  <w:pPr>
                    <w:pStyle w:val="36"/>
                    <w:bidi w:val="0"/>
                    <w:rPr>
                      <w:rFonts w:hint="default"/>
                      <w:b w:val="0"/>
                      <w:bCs/>
                      <w:lang w:val="en-US" w:eastAsia="zh-CN"/>
                    </w:rPr>
                  </w:pPr>
                  <w:r>
                    <w:rPr>
                      <w:rFonts w:hint="eastAsia"/>
                      <w:b w:val="0"/>
                      <w:bCs/>
                      <w:lang w:val="en-US" w:eastAsia="zh-CN"/>
                    </w:rPr>
                    <w:t>1</w:t>
                  </w:r>
                </w:p>
              </w:tc>
              <w:tc>
                <w:tcPr>
                  <w:tcW w:w="631" w:type="pct"/>
                  <w:tcBorders>
                    <w:top w:val="single" w:color="auto" w:sz="4" w:space="0"/>
                    <w:left w:val="single" w:color="auto" w:sz="4" w:space="0"/>
                    <w:bottom w:val="single" w:color="auto" w:sz="4" w:space="0"/>
                    <w:right w:val="single" w:color="auto" w:sz="4" w:space="0"/>
                  </w:tcBorders>
                  <w:shd w:val="clear" w:color="auto" w:fill="FFFFFF"/>
                  <w:vAlign w:val="center"/>
                </w:tcPr>
                <w:p w14:paraId="14C2BC4E">
                  <w:pPr>
                    <w:pStyle w:val="36"/>
                    <w:bidi w:val="0"/>
                    <w:ind w:left="0" w:leftChars="0" w:firstLine="0" w:firstLineChars="0"/>
                    <w:rPr>
                      <w:rFonts w:hint="default"/>
                      <w:b w:val="0"/>
                      <w:bCs/>
                      <w:lang w:val="en-US" w:eastAsia="zh-CN"/>
                    </w:rPr>
                  </w:pPr>
                  <w:r>
                    <w:rPr>
                      <w:rFonts w:hint="default"/>
                      <w:b w:val="0"/>
                      <w:bCs/>
                    </w:rPr>
                    <w:t>台</w:t>
                  </w:r>
                </w:p>
              </w:tc>
              <w:tc>
                <w:tcPr>
                  <w:tcW w:w="1107" w:type="pct"/>
                  <w:tcBorders>
                    <w:top w:val="single" w:color="auto" w:sz="4" w:space="0"/>
                    <w:left w:val="single" w:color="auto" w:sz="4" w:space="0"/>
                    <w:bottom w:val="single" w:color="auto" w:sz="4" w:space="0"/>
                    <w:right w:val="single" w:color="auto" w:sz="4" w:space="0"/>
                  </w:tcBorders>
                  <w:shd w:val="clear" w:color="auto" w:fill="FFFFFF"/>
                  <w:vAlign w:val="center"/>
                </w:tcPr>
                <w:p w14:paraId="66CCFC35">
                  <w:pPr>
                    <w:pStyle w:val="36"/>
                    <w:bidi w:val="0"/>
                    <w:rPr>
                      <w:rFonts w:hint="default"/>
                      <w:b w:val="0"/>
                      <w:bCs/>
                      <w:lang w:val="en-US" w:eastAsia="zh-CN"/>
                    </w:rPr>
                  </w:pPr>
                  <w:r>
                    <w:rPr>
                      <w:rFonts w:hint="default"/>
                      <w:b w:val="0"/>
                      <w:bCs/>
                      <w:lang w:val="en-US" w:eastAsia="zh-CN"/>
                    </w:rPr>
                    <w:t>/</w:t>
                  </w:r>
                </w:p>
              </w:tc>
            </w:tr>
          </w:tbl>
          <w:p w14:paraId="15EB9314">
            <w:pPr>
              <w:pStyle w:val="3"/>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522" w:firstLineChars="200"/>
              <w:jc w:val="both"/>
              <w:textAlignment w:val="auto"/>
              <w:outlineLvl w:val="1"/>
              <w:rPr>
                <w:b/>
                <w:bCs/>
                <w:kern w:val="0"/>
                <w:sz w:val="26"/>
                <w:szCs w:val="26"/>
              </w:rPr>
            </w:pPr>
            <w:r>
              <w:rPr>
                <w:rFonts w:hint="eastAsia"/>
                <w:b/>
                <w:bCs/>
                <w:kern w:val="0"/>
                <w:sz w:val="26"/>
                <w:szCs w:val="26"/>
              </w:rPr>
              <w:t>6.</w:t>
            </w:r>
            <w:r>
              <w:rPr>
                <w:b/>
                <w:bCs/>
                <w:kern w:val="0"/>
                <w:sz w:val="26"/>
                <w:szCs w:val="26"/>
              </w:rPr>
              <w:t>主要原辅材料及燃料</w:t>
            </w:r>
          </w:p>
          <w:p w14:paraId="204CC534">
            <w:pPr>
              <w:tabs>
                <w:tab w:val="left" w:pos="1081"/>
              </w:tabs>
              <w:adjustRightInd w:val="0"/>
              <w:snapToGrid w:val="0"/>
              <w:spacing w:line="360" w:lineRule="auto"/>
              <w:ind w:firstLine="452" w:firstLineChars="200"/>
              <w:jc w:val="both"/>
              <w:rPr>
                <w:rFonts w:hint="default" w:ascii="Times New Roman" w:hAnsi="Times New Roman" w:eastAsia="宋体" w:cs="Times New Roman"/>
                <w:color w:val="000000" w:themeColor="text1"/>
                <w:spacing w:val="-2"/>
                <w:sz w:val="24"/>
                <w:szCs w:val="24"/>
                <w:highlight w:val="none"/>
                <w:u w:val="none" w:color="auto"/>
                <w14:textFill>
                  <w14:solidFill>
                    <w14:schemeClr w14:val="tx1"/>
                  </w14:solidFill>
                </w14:textFill>
              </w:rPr>
            </w:pPr>
            <w:r>
              <w:rPr>
                <w:rFonts w:hint="default" w:ascii="Times New Roman" w:hAnsi="Times New Roman" w:eastAsia="宋体" w:cs="Times New Roman"/>
                <w:color w:val="000000" w:themeColor="text1"/>
                <w:spacing w:val="-7"/>
                <w:sz w:val="24"/>
                <w:szCs w:val="24"/>
                <w:highlight w:val="none"/>
                <w:u w:val="none" w:color="auto"/>
                <w14:textFill>
                  <w14:solidFill>
                    <w14:schemeClr w14:val="tx1"/>
                  </w14:solidFill>
                </w14:textFill>
              </w:rPr>
              <w:t>项目主要原辅材料消耗及能</w:t>
            </w:r>
            <w:r>
              <w:rPr>
                <w:rFonts w:hint="default" w:ascii="Times New Roman" w:hAnsi="Times New Roman" w:eastAsia="宋体" w:cs="Times New Roman"/>
                <w:color w:val="000000" w:themeColor="text1"/>
                <w:spacing w:val="-2"/>
                <w:sz w:val="24"/>
                <w:szCs w:val="24"/>
                <w:highlight w:val="none"/>
                <w:u w:val="none" w:color="auto"/>
                <w14:textFill>
                  <w14:solidFill>
                    <w14:schemeClr w14:val="tx1"/>
                  </w14:solidFill>
                </w14:textFill>
              </w:rPr>
              <w:t>耗情况见</w:t>
            </w:r>
            <w:r>
              <w:rPr>
                <w:rFonts w:hint="default" w:ascii="Times New Roman" w:hAnsi="Times New Roman" w:eastAsia="宋体" w:cs="Times New Roman"/>
                <w:color w:val="000000" w:themeColor="text1"/>
                <w:spacing w:val="-2"/>
                <w:sz w:val="24"/>
                <w:szCs w:val="24"/>
                <w:highlight w:val="none"/>
                <w:u w:val="none" w:color="auto"/>
                <w:lang w:eastAsia="zh-CN"/>
                <w14:textFill>
                  <w14:solidFill>
                    <w14:schemeClr w14:val="tx1"/>
                  </w14:solidFill>
                </w14:textFill>
              </w:rPr>
              <w:t>下表</w:t>
            </w:r>
            <w:r>
              <w:rPr>
                <w:rFonts w:hint="default" w:ascii="Times New Roman" w:hAnsi="Times New Roman" w:eastAsia="宋体" w:cs="Times New Roman"/>
                <w:color w:val="000000" w:themeColor="text1"/>
                <w:spacing w:val="-2"/>
                <w:sz w:val="24"/>
                <w:szCs w:val="24"/>
                <w:highlight w:val="none"/>
                <w:u w:val="none" w:color="auto"/>
                <w14:textFill>
                  <w14:solidFill>
                    <w14:schemeClr w14:val="tx1"/>
                  </w14:solidFill>
                </w14:textFill>
              </w:rPr>
              <w:t>。</w:t>
            </w:r>
          </w:p>
          <w:p w14:paraId="350CB1B7">
            <w:pPr>
              <w:tabs>
                <w:tab w:val="left" w:pos="1081"/>
              </w:tabs>
              <w:adjustRightInd w:val="0"/>
              <w:snapToGrid w:val="0"/>
              <w:spacing w:line="360" w:lineRule="auto"/>
              <w:ind w:firstLine="482" w:firstLineChars="200"/>
              <w:jc w:val="center"/>
              <w:rPr>
                <w:b/>
                <w:bCs/>
                <w:color w:val="000000"/>
                <w:sz w:val="24"/>
              </w:rPr>
            </w:pPr>
            <w:r>
              <w:rPr>
                <w:b/>
                <w:bCs/>
                <w:color w:val="000000"/>
                <w:sz w:val="24"/>
              </w:rPr>
              <w:t>表2-</w:t>
            </w:r>
            <w:r>
              <w:rPr>
                <w:rFonts w:hint="eastAsia"/>
                <w:b/>
                <w:bCs/>
                <w:color w:val="000000"/>
                <w:sz w:val="24"/>
                <w:lang w:val="en-US" w:eastAsia="zh-CN"/>
              </w:rPr>
              <w:t>8</w:t>
            </w:r>
            <w:r>
              <w:rPr>
                <w:rFonts w:hint="eastAsia"/>
                <w:b/>
                <w:bCs/>
                <w:color w:val="000000"/>
                <w:sz w:val="24"/>
              </w:rPr>
              <w:t xml:space="preserve">  </w:t>
            </w:r>
            <w:r>
              <w:rPr>
                <w:b/>
                <w:bCs/>
                <w:color w:val="000000"/>
                <w:sz w:val="24"/>
              </w:rPr>
              <w:t>项目主要原辅材料及能源消耗一览表</w:t>
            </w:r>
          </w:p>
          <w:tbl>
            <w:tblPr>
              <w:tblStyle w:val="30"/>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03"/>
              <w:gridCol w:w="1139"/>
              <w:gridCol w:w="1337"/>
              <w:gridCol w:w="1404"/>
              <w:gridCol w:w="1623"/>
              <w:gridCol w:w="985"/>
              <w:gridCol w:w="1976"/>
            </w:tblGrid>
            <w:tr w14:paraId="1939DE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33" w:type="pct"/>
                  <w:vAlign w:val="center"/>
                </w:tcPr>
                <w:p w14:paraId="3A6B7427">
                  <w:pPr>
                    <w:pStyle w:val="36"/>
                    <w:bidi w:val="0"/>
                    <w:jc w:val="center"/>
                    <w:rPr>
                      <w:rFonts w:hint="default"/>
                      <w:b w:val="0"/>
                      <w:bCs/>
                      <w:lang w:val="en-US" w:eastAsia="zh-CN"/>
                    </w:rPr>
                  </w:pPr>
                  <w:r>
                    <w:rPr>
                      <w:rFonts w:hint="default"/>
                      <w:b w:val="0"/>
                      <w:bCs/>
                      <w:lang w:val="en-US" w:eastAsia="zh-CN"/>
                    </w:rPr>
                    <w:t>序号</w:t>
                  </w:r>
                </w:p>
              </w:tc>
              <w:tc>
                <w:tcPr>
                  <w:tcW w:w="614" w:type="pct"/>
                  <w:vAlign w:val="center"/>
                </w:tcPr>
                <w:p w14:paraId="6C23DE6E">
                  <w:pPr>
                    <w:pStyle w:val="36"/>
                    <w:bidi w:val="0"/>
                    <w:jc w:val="center"/>
                    <w:rPr>
                      <w:rFonts w:hint="default"/>
                      <w:b w:val="0"/>
                      <w:bCs/>
                      <w:lang w:val="en-US" w:eastAsia="zh-CN"/>
                    </w:rPr>
                  </w:pPr>
                  <w:r>
                    <w:rPr>
                      <w:rFonts w:hint="default"/>
                      <w:b w:val="0"/>
                      <w:bCs/>
                      <w:lang w:val="en-US" w:eastAsia="zh-CN"/>
                    </w:rPr>
                    <w:t>类型</w:t>
                  </w:r>
                </w:p>
              </w:tc>
              <w:tc>
                <w:tcPr>
                  <w:tcW w:w="721" w:type="pct"/>
                  <w:vAlign w:val="center"/>
                </w:tcPr>
                <w:p w14:paraId="392CF533">
                  <w:pPr>
                    <w:pStyle w:val="36"/>
                    <w:bidi w:val="0"/>
                    <w:jc w:val="center"/>
                    <w:rPr>
                      <w:rFonts w:hint="default"/>
                      <w:b w:val="0"/>
                      <w:bCs/>
                      <w:lang w:val="en-US" w:eastAsia="zh-CN"/>
                    </w:rPr>
                  </w:pPr>
                  <w:r>
                    <w:rPr>
                      <w:rFonts w:hint="default"/>
                      <w:b w:val="0"/>
                      <w:bCs/>
                      <w:lang w:val="en-US" w:eastAsia="zh-CN"/>
                    </w:rPr>
                    <w:t>名称</w:t>
                  </w:r>
                </w:p>
              </w:tc>
              <w:tc>
                <w:tcPr>
                  <w:tcW w:w="757" w:type="pct"/>
                  <w:vAlign w:val="center"/>
                </w:tcPr>
                <w:p w14:paraId="3553C02C">
                  <w:pPr>
                    <w:pStyle w:val="36"/>
                    <w:bidi w:val="0"/>
                    <w:jc w:val="center"/>
                    <w:rPr>
                      <w:rFonts w:hint="default"/>
                      <w:b w:val="0"/>
                      <w:bCs/>
                      <w:lang w:val="en-US" w:eastAsia="zh-CN"/>
                    </w:rPr>
                  </w:pPr>
                  <w:r>
                    <w:rPr>
                      <w:rFonts w:hint="default"/>
                      <w:b w:val="0"/>
                      <w:bCs/>
                      <w:lang w:val="en-US" w:eastAsia="zh-CN"/>
                    </w:rPr>
                    <w:t>年用量（t/a）</w:t>
                  </w:r>
                </w:p>
              </w:tc>
              <w:tc>
                <w:tcPr>
                  <w:tcW w:w="875" w:type="pct"/>
                  <w:vAlign w:val="center"/>
                </w:tcPr>
                <w:p w14:paraId="45FD6276">
                  <w:pPr>
                    <w:pStyle w:val="36"/>
                    <w:bidi w:val="0"/>
                    <w:jc w:val="center"/>
                    <w:rPr>
                      <w:rFonts w:hint="default"/>
                      <w:b w:val="0"/>
                      <w:bCs/>
                      <w:lang w:val="en-US" w:eastAsia="zh-CN"/>
                    </w:rPr>
                  </w:pPr>
                  <w:r>
                    <w:rPr>
                      <w:rFonts w:hint="default"/>
                      <w:b w:val="0"/>
                      <w:bCs/>
                      <w:lang w:val="en-US" w:eastAsia="zh-CN"/>
                    </w:rPr>
                    <w:t>最大储存量（t）</w:t>
                  </w:r>
                </w:p>
              </w:tc>
              <w:tc>
                <w:tcPr>
                  <w:tcW w:w="531" w:type="pct"/>
                  <w:vAlign w:val="center"/>
                </w:tcPr>
                <w:p w14:paraId="632FEE40">
                  <w:pPr>
                    <w:pStyle w:val="36"/>
                    <w:bidi w:val="0"/>
                    <w:jc w:val="center"/>
                    <w:rPr>
                      <w:rFonts w:hint="default"/>
                      <w:b w:val="0"/>
                      <w:bCs/>
                      <w:lang w:val="en-US" w:eastAsia="zh-CN"/>
                    </w:rPr>
                  </w:pPr>
                  <w:r>
                    <w:rPr>
                      <w:rFonts w:hint="default"/>
                      <w:b w:val="0"/>
                      <w:bCs/>
                      <w:lang w:val="en-US" w:eastAsia="zh-CN"/>
                    </w:rPr>
                    <w:t>状态</w:t>
                  </w:r>
                </w:p>
              </w:tc>
              <w:tc>
                <w:tcPr>
                  <w:tcW w:w="1065" w:type="pct"/>
                  <w:vAlign w:val="center"/>
                </w:tcPr>
                <w:p w14:paraId="206D7E6B">
                  <w:pPr>
                    <w:pStyle w:val="36"/>
                    <w:bidi w:val="0"/>
                    <w:jc w:val="center"/>
                    <w:rPr>
                      <w:rFonts w:hint="default"/>
                      <w:b w:val="0"/>
                      <w:bCs/>
                      <w:lang w:val="en-US" w:eastAsia="zh-CN"/>
                    </w:rPr>
                  </w:pPr>
                  <w:r>
                    <w:rPr>
                      <w:rFonts w:hint="default"/>
                      <w:b w:val="0"/>
                      <w:bCs/>
                      <w:lang w:val="en-US" w:eastAsia="zh-CN"/>
                    </w:rPr>
                    <w:t>质量控制指标</w:t>
                  </w:r>
                </w:p>
              </w:tc>
            </w:tr>
            <w:tr w14:paraId="506D52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33" w:type="pct"/>
                  <w:vAlign w:val="center"/>
                </w:tcPr>
                <w:p w14:paraId="6386D72F">
                  <w:pPr>
                    <w:pStyle w:val="36"/>
                    <w:bidi w:val="0"/>
                    <w:jc w:val="center"/>
                    <w:rPr>
                      <w:rFonts w:hint="default"/>
                      <w:b w:val="0"/>
                      <w:bCs/>
                      <w:lang w:val="en-US" w:eastAsia="zh-CN"/>
                    </w:rPr>
                  </w:pPr>
                  <w:r>
                    <w:rPr>
                      <w:rFonts w:hint="eastAsia"/>
                      <w:b w:val="0"/>
                      <w:bCs/>
                      <w:lang w:val="en-US" w:eastAsia="zh-CN"/>
                    </w:rPr>
                    <w:t>1</w:t>
                  </w:r>
                </w:p>
              </w:tc>
              <w:tc>
                <w:tcPr>
                  <w:tcW w:w="614" w:type="pct"/>
                  <w:vMerge w:val="restart"/>
                  <w:vAlign w:val="center"/>
                </w:tcPr>
                <w:p w14:paraId="2659210B">
                  <w:pPr>
                    <w:pStyle w:val="36"/>
                    <w:bidi w:val="0"/>
                    <w:jc w:val="center"/>
                    <w:rPr>
                      <w:rFonts w:hint="default"/>
                      <w:b w:val="0"/>
                      <w:bCs/>
                      <w:lang w:val="en-US" w:eastAsia="zh-CN"/>
                    </w:rPr>
                  </w:pPr>
                  <w:r>
                    <w:rPr>
                      <w:rFonts w:cs="Times New Roman"/>
                      <w:b w:val="0"/>
                      <w:bCs/>
                      <w:color w:val="000000" w:themeColor="text1"/>
                      <w14:textFill>
                        <w14:solidFill>
                          <w14:schemeClr w14:val="tx1"/>
                        </w14:solidFill>
                      </w14:textFill>
                    </w:rPr>
                    <w:t>原料</w:t>
                  </w:r>
                  <w:r>
                    <w:rPr>
                      <w:rFonts w:hint="eastAsia" w:cs="Times New Roman"/>
                      <w:b w:val="0"/>
                      <w:bCs/>
                      <w:color w:val="000000" w:themeColor="text1"/>
                      <w:lang w:eastAsia="zh-CN"/>
                      <w14:textFill>
                        <w14:solidFill>
                          <w14:schemeClr w14:val="tx1"/>
                        </w14:solidFill>
                      </w14:textFill>
                    </w:rPr>
                    <w:t>（</w:t>
                  </w:r>
                  <w:r>
                    <w:rPr>
                      <w:rFonts w:hint="eastAsia" w:cs="Times New Roman"/>
                      <w:b w:val="0"/>
                      <w:bCs/>
                      <w:color w:val="000000" w:themeColor="text1"/>
                      <w:lang w:val="en-US" w:eastAsia="zh-CN"/>
                      <w14:textFill>
                        <w14:solidFill>
                          <w14:schemeClr w14:val="tx1"/>
                        </w14:solidFill>
                      </w14:textFill>
                    </w:rPr>
                    <w:t>机制炭生产线</w:t>
                  </w:r>
                  <w:r>
                    <w:rPr>
                      <w:rFonts w:hint="eastAsia" w:cs="Times New Roman"/>
                      <w:b w:val="0"/>
                      <w:bCs/>
                      <w:color w:val="000000" w:themeColor="text1"/>
                      <w:lang w:eastAsia="zh-CN"/>
                      <w14:textFill>
                        <w14:solidFill>
                          <w14:schemeClr w14:val="tx1"/>
                        </w14:solidFill>
                      </w14:textFill>
                    </w:rPr>
                    <w:t>）</w:t>
                  </w:r>
                </w:p>
              </w:tc>
              <w:tc>
                <w:tcPr>
                  <w:tcW w:w="721" w:type="pct"/>
                  <w:vAlign w:val="center"/>
                </w:tcPr>
                <w:p w14:paraId="2C421AD4">
                  <w:pPr>
                    <w:pStyle w:val="36"/>
                    <w:bidi w:val="0"/>
                    <w:jc w:val="center"/>
                    <w:rPr>
                      <w:rFonts w:hint="default"/>
                      <w:b w:val="0"/>
                      <w:bCs/>
                      <w:lang w:val="en-US" w:eastAsia="zh-CN"/>
                    </w:rPr>
                  </w:pPr>
                  <w:r>
                    <w:rPr>
                      <w:rFonts w:hint="default"/>
                      <w:b w:val="0"/>
                      <w:bCs/>
                      <w:lang w:val="en-US" w:eastAsia="zh-CN"/>
                    </w:rPr>
                    <w:t>废木材</w:t>
                  </w:r>
                </w:p>
              </w:tc>
              <w:tc>
                <w:tcPr>
                  <w:tcW w:w="757" w:type="pct"/>
                  <w:vAlign w:val="center"/>
                </w:tcPr>
                <w:p w14:paraId="3C74B377">
                  <w:pPr>
                    <w:pStyle w:val="49"/>
                    <w:keepNext w:val="0"/>
                    <w:keepLines w:val="0"/>
                    <w:suppressLineNumbers w:val="0"/>
                    <w:spacing w:before="0" w:beforeAutospacing="0" w:after="0" w:afterAutospacing="0"/>
                    <w:ind w:left="0" w:leftChars="0" w:right="0" w:rightChars="0" w:firstLine="0" w:firstLineChars="0"/>
                    <w:jc w:val="center"/>
                    <w:rPr>
                      <w:rFonts w:hint="default"/>
                      <w:b w:val="0"/>
                      <w:bCs/>
                      <w:lang w:val="en-US" w:eastAsia="zh-CN"/>
                    </w:rPr>
                  </w:pPr>
                  <w:r>
                    <w:rPr>
                      <w:rFonts w:hint="eastAsia" w:cs="Times New Roman"/>
                      <w:b w:val="0"/>
                      <w:bCs/>
                      <w:color w:val="000000" w:themeColor="text1"/>
                      <w:kern w:val="2"/>
                      <w:sz w:val="21"/>
                      <w:szCs w:val="21"/>
                      <w:lang w:val="en-US" w:eastAsia="zh-CN" w:bidi="ar-SA"/>
                      <w14:textFill>
                        <w14:solidFill>
                          <w14:schemeClr w14:val="tx1"/>
                        </w14:solidFill>
                      </w14:textFill>
                    </w:rPr>
                    <w:t>1897.07</w:t>
                  </w:r>
                </w:p>
              </w:tc>
              <w:tc>
                <w:tcPr>
                  <w:tcW w:w="875" w:type="pct"/>
                  <w:vAlign w:val="center"/>
                </w:tcPr>
                <w:p w14:paraId="4A4EA4D1">
                  <w:pPr>
                    <w:pStyle w:val="36"/>
                    <w:bidi w:val="0"/>
                    <w:jc w:val="center"/>
                    <w:rPr>
                      <w:rFonts w:hint="default"/>
                      <w:b w:val="0"/>
                      <w:bCs/>
                      <w:lang w:val="en-US" w:eastAsia="zh-CN"/>
                    </w:rPr>
                  </w:pPr>
                  <w:r>
                    <w:rPr>
                      <w:rFonts w:hint="eastAsia"/>
                      <w:b w:val="0"/>
                      <w:bCs/>
                      <w:lang w:val="en-US" w:eastAsia="zh-CN"/>
                    </w:rPr>
                    <w:t>200</w:t>
                  </w:r>
                </w:p>
              </w:tc>
              <w:tc>
                <w:tcPr>
                  <w:tcW w:w="531" w:type="pct"/>
                  <w:vAlign w:val="center"/>
                </w:tcPr>
                <w:p w14:paraId="53DBC081">
                  <w:pPr>
                    <w:pStyle w:val="36"/>
                    <w:bidi w:val="0"/>
                    <w:jc w:val="center"/>
                    <w:rPr>
                      <w:rFonts w:hint="default"/>
                      <w:b w:val="0"/>
                      <w:bCs/>
                      <w:lang w:val="en-US" w:eastAsia="zh-CN"/>
                    </w:rPr>
                  </w:pPr>
                  <w:r>
                    <w:rPr>
                      <w:rFonts w:hint="default"/>
                      <w:b w:val="0"/>
                      <w:bCs/>
                      <w:lang w:val="en-US" w:eastAsia="zh-CN"/>
                    </w:rPr>
                    <w:t>固体</w:t>
                  </w:r>
                </w:p>
              </w:tc>
              <w:tc>
                <w:tcPr>
                  <w:tcW w:w="1065" w:type="pct"/>
                  <w:vMerge w:val="restart"/>
                  <w:vAlign w:val="center"/>
                </w:tcPr>
                <w:p w14:paraId="5B28BF37">
                  <w:pPr>
                    <w:pStyle w:val="36"/>
                    <w:bidi w:val="0"/>
                    <w:jc w:val="center"/>
                    <w:rPr>
                      <w:rFonts w:hint="default"/>
                      <w:b w:val="0"/>
                      <w:bCs/>
                      <w:lang w:val="en-US" w:eastAsia="zh-CN"/>
                    </w:rPr>
                  </w:pPr>
                  <w:r>
                    <w:rPr>
                      <w:rFonts w:hint="default"/>
                      <w:b w:val="0"/>
                      <w:bCs/>
                      <w:lang w:val="en-US" w:eastAsia="zh-CN"/>
                    </w:rPr>
                    <w:t>含水率≤25%</w:t>
                  </w:r>
                </w:p>
              </w:tc>
            </w:tr>
            <w:tr w14:paraId="3EF703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33" w:type="pct"/>
                  <w:vAlign w:val="center"/>
                </w:tcPr>
                <w:p w14:paraId="1379B526">
                  <w:pPr>
                    <w:pStyle w:val="36"/>
                    <w:bidi w:val="0"/>
                    <w:jc w:val="center"/>
                    <w:rPr>
                      <w:rFonts w:hint="default"/>
                      <w:b w:val="0"/>
                      <w:bCs/>
                      <w:lang w:val="en-US" w:eastAsia="zh-CN"/>
                    </w:rPr>
                  </w:pPr>
                  <w:r>
                    <w:rPr>
                      <w:rFonts w:hint="eastAsia"/>
                      <w:b w:val="0"/>
                      <w:bCs/>
                      <w:lang w:val="en-US" w:eastAsia="zh-CN"/>
                    </w:rPr>
                    <w:t>2</w:t>
                  </w:r>
                </w:p>
              </w:tc>
              <w:tc>
                <w:tcPr>
                  <w:tcW w:w="614" w:type="pct"/>
                  <w:vMerge w:val="continue"/>
                  <w:vAlign w:val="center"/>
                </w:tcPr>
                <w:p w14:paraId="19F8B78B">
                  <w:pPr>
                    <w:pStyle w:val="36"/>
                    <w:bidi w:val="0"/>
                    <w:jc w:val="center"/>
                    <w:rPr>
                      <w:rFonts w:hint="default"/>
                      <w:b w:val="0"/>
                      <w:bCs/>
                      <w:lang w:val="en-US" w:eastAsia="zh-CN"/>
                    </w:rPr>
                  </w:pPr>
                </w:p>
              </w:tc>
              <w:tc>
                <w:tcPr>
                  <w:tcW w:w="721" w:type="pct"/>
                  <w:vAlign w:val="center"/>
                </w:tcPr>
                <w:p w14:paraId="3A42ADC5">
                  <w:pPr>
                    <w:pStyle w:val="36"/>
                    <w:bidi w:val="0"/>
                    <w:jc w:val="center"/>
                    <w:rPr>
                      <w:rFonts w:hint="default"/>
                      <w:b w:val="0"/>
                      <w:bCs/>
                      <w:lang w:val="en-US" w:eastAsia="zh-CN"/>
                    </w:rPr>
                  </w:pPr>
                  <w:r>
                    <w:rPr>
                      <w:rFonts w:hint="eastAsia"/>
                      <w:b w:val="0"/>
                      <w:bCs/>
                      <w:lang w:val="en-US" w:eastAsia="zh-CN"/>
                    </w:rPr>
                    <w:t>次</w:t>
                  </w:r>
                  <w:r>
                    <w:rPr>
                      <w:rFonts w:hint="default"/>
                      <w:b w:val="0"/>
                      <w:bCs/>
                      <w:lang w:val="en-US" w:eastAsia="zh-CN"/>
                    </w:rPr>
                    <w:t>小薪材</w:t>
                  </w:r>
                </w:p>
              </w:tc>
              <w:tc>
                <w:tcPr>
                  <w:tcW w:w="757" w:type="pct"/>
                  <w:vAlign w:val="center"/>
                </w:tcPr>
                <w:p w14:paraId="321C46B7">
                  <w:pPr>
                    <w:pStyle w:val="49"/>
                    <w:keepNext w:val="0"/>
                    <w:keepLines w:val="0"/>
                    <w:suppressLineNumbers w:val="0"/>
                    <w:spacing w:before="0" w:beforeAutospacing="0" w:after="0" w:afterAutospacing="0"/>
                    <w:ind w:left="0" w:leftChars="0" w:right="0" w:rightChars="0" w:firstLine="0" w:firstLineChars="0"/>
                    <w:jc w:val="center"/>
                    <w:rPr>
                      <w:rFonts w:hint="default"/>
                      <w:b w:val="0"/>
                      <w:bCs/>
                      <w:lang w:val="en-US" w:eastAsia="zh-CN"/>
                    </w:rPr>
                  </w:pPr>
                  <w:r>
                    <w:rPr>
                      <w:rFonts w:hint="eastAsia" w:cs="Times New Roman"/>
                      <w:b w:val="0"/>
                      <w:bCs/>
                      <w:color w:val="000000" w:themeColor="text1"/>
                      <w:kern w:val="2"/>
                      <w:sz w:val="21"/>
                      <w:szCs w:val="21"/>
                      <w:lang w:val="en-US" w:eastAsia="zh-CN" w:bidi="ar-SA"/>
                      <w14:textFill>
                        <w14:solidFill>
                          <w14:schemeClr w14:val="tx1"/>
                        </w14:solidFill>
                      </w14:textFill>
                    </w:rPr>
                    <w:t>9485.32</w:t>
                  </w:r>
                </w:p>
              </w:tc>
              <w:tc>
                <w:tcPr>
                  <w:tcW w:w="875" w:type="pct"/>
                  <w:vAlign w:val="center"/>
                </w:tcPr>
                <w:p w14:paraId="2335BD18">
                  <w:pPr>
                    <w:pStyle w:val="36"/>
                    <w:bidi w:val="0"/>
                    <w:jc w:val="center"/>
                    <w:rPr>
                      <w:rFonts w:hint="default"/>
                      <w:b w:val="0"/>
                      <w:bCs/>
                      <w:lang w:val="en-US" w:eastAsia="zh-CN"/>
                    </w:rPr>
                  </w:pPr>
                  <w:r>
                    <w:rPr>
                      <w:rFonts w:hint="eastAsia"/>
                      <w:b w:val="0"/>
                      <w:bCs/>
                      <w:lang w:val="en-US" w:eastAsia="zh-CN"/>
                    </w:rPr>
                    <w:t>1000</w:t>
                  </w:r>
                </w:p>
              </w:tc>
              <w:tc>
                <w:tcPr>
                  <w:tcW w:w="531" w:type="pct"/>
                  <w:vAlign w:val="center"/>
                </w:tcPr>
                <w:p w14:paraId="055329ED">
                  <w:pPr>
                    <w:pStyle w:val="36"/>
                    <w:bidi w:val="0"/>
                    <w:jc w:val="center"/>
                    <w:rPr>
                      <w:rFonts w:hint="default"/>
                      <w:b w:val="0"/>
                      <w:bCs/>
                      <w:lang w:val="en-US" w:eastAsia="zh-CN"/>
                    </w:rPr>
                  </w:pPr>
                  <w:r>
                    <w:rPr>
                      <w:rFonts w:hint="default"/>
                      <w:b w:val="0"/>
                      <w:bCs/>
                      <w:lang w:val="en-US" w:eastAsia="zh-CN"/>
                    </w:rPr>
                    <w:t>固体</w:t>
                  </w:r>
                </w:p>
              </w:tc>
              <w:tc>
                <w:tcPr>
                  <w:tcW w:w="1065" w:type="pct"/>
                  <w:vMerge w:val="continue"/>
                  <w:vAlign w:val="center"/>
                </w:tcPr>
                <w:p w14:paraId="48C5311C">
                  <w:pPr>
                    <w:pStyle w:val="36"/>
                    <w:bidi w:val="0"/>
                    <w:jc w:val="center"/>
                    <w:rPr>
                      <w:rFonts w:hint="default"/>
                      <w:b w:val="0"/>
                      <w:bCs/>
                      <w:lang w:val="en-US" w:eastAsia="zh-CN"/>
                    </w:rPr>
                  </w:pPr>
                </w:p>
              </w:tc>
            </w:tr>
            <w:tr w14:paraId="1108AE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33" w:type="pct"/>
                  <w:vAlign w:val="center"/>
                </w:tcPr>
                <w:p w14:paraId="68F406B6">
                  <w:pPr>
                    <w:pStyle w:val="36"/>
                    <w:bidi w:val="0"/>
                    <w:jc w:val="center"/>
                    <w:rPr>
                      <w:rFonts w:hint="default"/>
                      <w:b w:val="0"/>
                      <w:bCs/>
                      <w:lang w:val="en-US" w:eastAsia="zh-CN"/>
                    </w:rPr>
                  </w:pPr>
                  <w:r>
                    <w:rPr>
                      <w:rFonts w:hint="eastAsia"/>
                      <w:b w:val="0"/>
                      <w:bCs/>
                      <w:lang w:val="en-US" w:eastAsia="zh-CN"/>
                    </w:rPr>
                    <w:t>3</w:t>
                  </w:r>
                </w:p>
              </w:tc>
              <w:tc>
                <w:tcPr>
                  <w:tcW w:w="614" w:type="pct"/>
                  <w:vMerge w:val="restart"/>
                  <w:vAlign w:val="center"/>
                </w:tcPr>
                <w:p w14:paraId="4EACB404">
                  <w:pPr>
                    <w:pStyle w:val="36"/>
                    <w:bidi w:val="0"/>
                    <w:jc w:val="center"/>
                    <w:rPr>
                      <w:rFonts w:hint="default"/>
                      <w:b w:val="0"/>
                      <w:bCs/>
                      <w:lang w:val="en-US" w:eastAsia="zh-CN"/>
                    </w:rPr>
                  </w:pPr>
                  <w:r>
                    <w:rPr>
                      <w:rFonts w:hint="eastAsia" w:cs="Times New Roman"/>
                      <w:b w:val="0"/>
                      <w:bCs/>
                      <w:color w:val="000000" w:themeColor="text1"/>
                      <w:kern w:val="0"/>
                      <w:szCs w:val="21"/>
                      <w:lang w:val="en-US" w:eastAsia="zh-CN"/>
                      <w14:textFill>
                        <w14:solidFill>
                          <w14:schemeClr w14:val="tx1"/>
                        </w14:solidFill>
                      </w14:textFill>
                    </w:rPr>
                    <w:t>原料（生物质颗粒生产线）</w:t>
                  </w:r>
                </w:p>
              </w:tc>
              <w:tc>
                <w:tcPr>
                  <w:tcW w:w="721" w:type="pct"/>
                  <w:vAlign w:val="center"/>
                </w:tcPr>
                <w:p w14:paraId="64DBB152">
                  <w:pPr>
                    <w:pStyle w:val="36"/>
                    <w:bidi w:val="0"/>
                    <w:jc w:val="center"/>
                    <w:rPr>
                      <w:rFonts w:hint="default"/>
                      <w:b w:val="0"/>
                      <w:bCs/>
                      <w:lang w:val="en-US" w:eastAsia="zh-CN"/>
                    </w:rPr>
                  </w:pPr>
                  <w:r>
                    <w:rPr>
                      <w:rFonts w:hint="default"/>
                      <w:b w:val="0"/>
                      <w:bCs/>
                      <w:lang w:val="en-US" w:eastAsia="zh-CN"/>
                    </w:rPr>
                    <w:t>秸秆</w:t>
                  </w:r>
                </w:p>
              </w:tc>
              <w:tc>
                <w:tcPr>
                  <w:tcW w:w="1404" w:type="dxa"/>
                  <w:vAlign w:val="center"/>
                </w:tcPr>
                <w:p w14:paraId="129679C2">
                  <w:pPr>
                    <w:keepNext w:val="0"/>
                    <w:keepLines w:val="0"/>
                    <w:suppressLineNumbers w:val="0"/>
                    <w:spacing w:before="0" w:beforeAutospacing="0" w:after="0" w:afterAutospacing="0"/>
                    <w:ind w:left="0" w:leftChars="0" w:right="0" w:rightChars="0"/>
                    <w:jc w:val="center"/>
                    <w:rPr>
                      <w:rFonts w:hint="default"/>
                      <w:b w:val="0"/>
                      <w:bCs/>
                      <w:lang w:val="en-US" w:eastAsia="zh-CN"/>
                    </w:rPr>
                  </w:pPr>
                  <w:r>
                    <w:rPr>
                      <w:rFonts w:hint="eastAsia"/>
                      <w:color w:val="000000" w:themeColor="text1"/>
                      <w:sz w:val="21"/>
                      <w:szCs w:val="21"/>
                      <w:highlight w:val="none"/>
                      <w:lang w:val="en-US" w:eastAsia="zh-CN"/>
                      <w14:textFill>
                        <w14:solidFill>
                          <w14:schemeClr w14:val="tx1"/>
                        </w14:solidFill>
                      </w14:textFill>
                    </w:rPr>
                    <w:t>250.351</w:t>
                  </w:r>
                </w:p>
              </w:tc>
              <w:tc>
                <w:tcPr>
                  <w:tcW w:w="875" w:type="pct"/>
                  <w:vAlign w:val="center"/>
                </w:tcPr>
                <w:p w14:paraId="674D4D20">
                  <w:pPr>
                    <w:pStyle w:val="36"/>
                    <w:bidi w:val="0"/>
                    <w:jc w:val="center"/>
                    <w:rPr>
                      <w:rFonts w:hint="default"/>
                      <w:b w:val="0"/>
                      <w:bCs/>
                      <w:lang w:val="en-US" w:eastAsia="zh-CN"/>
                    </w:rPr>
                  </w:pPr>
                  <w:r>
                    <w:rPr>
                      <w:rFonts w:hint="eastAsia"/>
                      <w:b w:val="0"/>
                      <w:bCs/>
                      <w:lang w:val="en-US" w:eastAsia="zh-CN"/>
                    </w:rPr>
                    <w:t>25</w:t>
                  </w:r>
                </w:p>
              </w:tc>
              <w:tc>
                <w:tcPr>
                  <w:tcW w:w="985" w:type="dxa"/>
                  <w:vAlign w:val="center"/>
                </w:tcPr>
                <w:p w14:paraId="120B3204">
                  <w:pPr>
                    <w:pStyle w:val="36"/>
                    <w:bidi w:val="0"/>
                    <w:ind w:left="0" w:leftChars="0" w:firstLine="0" w:firstLineChars="0"/>
                    <w:jc w:val="center"/>
                    <w:rPr>
                      <w:rFonts w:hint="default"/>
                      <w:b w:val="0"/>
                      <w:bCs/>
                      <w:lang w:val="en-US" w:eastAsia="zh-CN"/>
                    </w:rPr>
                  </w:pPr>
                  <w:r>
                    <w:rPr>
                      <w:rFonts w:hint="default"/>
                      <w:b w:val="0"/>
                      <w:bCs/>
                      <w:lang w:val="en-US" w:eastAsia="zh-CN"/>
                    </w:rPr>
                    <w:t>固体</w:t>
                  </w:r>
                </w:p>
              </w:tc>
              <w:tc>
                <w:tcPr>
                  <w:tcW w:w="1065" w:type="pct"/>
                  <w:vAlign w:val="center"/>
                </w:tcPr>
                <w:p w14:paraId="2AC5115D">
                  <w:pPr>
                    <w:pStyle w:val="36"/>
                    <w:bidi w:val="0"/>
                    <w:jc w:val="center"/>
                    <w:rPr>
                      <w:rFonts w:hint="default"/>
                      <w:b w:val="0"/>
                      <w:bCs/>
                      <w:lang w:val="en-US" w:eastAsia="zh-CN"/>
                    </w:rPr>
                  </w:pPr>
                  <w:r>
                    <w:rPr>
                      <w:rFonts w:hint="eastAsia"/>
                      <w:b w:val="0"/>
                      <w:bCs/>
                      <w:lang w:val="en-US" w:eastAsia="zh-CN"/>
                    </w:rPr>
                    <w:t>/</w:t>
                  </w:r>
                </w:p>
              </w:tc>
            </w:tr>
            <w:tr w14:paraId="6C3D75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33" w:type="pct"/>
                  <w:vAlign w:val="center"/>
                </w:tcPr>
                <w:p w14:paraId="49B6B339">
                  <w:pPr>
                    <w:pStyle w:val="36"/>
                    <w:bidi w:val="0"/>
                    <w:jc w:val="center"/>
                    <w:rPr>
                      <w:rFonts w:hint="default"/>
                      <w:b w:val="0"/>
                      <w:bCs/>
                      <w:lang w:val="en-US" w:eastAsia="zh-CN"/>
                    </w:rPr>
                  </w:pPr>
                  <w:r>
                    <w:rPr>
                      <w:rFonts w:hint="eastAsia"/>
                      <w:b w:val="0"/>
                      <w:bCs/>
                      <w:lang w:val="en-US" w:eastAsia="zh-CN"/>
                    </w:rPr>
                    <w:t>4</w:t>
                  </w:r>
                </w:p>
              </w:tc>
              <w:tc>
                <w:tcPr>
                  <w:tcW w:w="614" w:type="pct"/>
                  <w:vMerge w:val="continue"/>
                  <w:vAlign w:val="center"/>
                </w:tcPr>
                <w:p w14:paraId="07776C42">
                  <w:pPr>
                    <w:pStyle w:val="36"/>
                    <w:bidi w:val="0"/>
                    <w:jc w:val="center"/>
                    <w:rPr>
                      <w:rFonts w:hint="default"/>
                      <w:b w:val="0"/>
                      <w:bCs/>
                      <w:lang w:val="en-US" w:eastAsia="zh-CN"/>
                    </w:rPr>
                  </w:pPr>
                </w:p>
              </w:tc>
              <w:tc>
                <w:tcPr>
                  <w:tcW w:w="721" w:type="pct"/>
                  <w:vAlign w:val="center"/>
                </w:tcPr>
                <w:p w14:paraId="7BF15BCB">
                  <w:pPr>
                    <w:pStyle w:val="36"/>
                    <w:bidi w:val="0"/>
                    <w:jc w:val="center"/>
                    <w:rPr>
                      <w:rFonts w:hint="default"/>
                      <w:b w:val="0"/>
                      <w:bCs/>
                      <w:lang w:val="en-US" w:eastAsia="zh-CN"/>
                    </w:rPr>
                  </w:pPr>
                  <w:r>
                    <w:rPr>
                      <w:rFonts w:hint="eastAsia" w:cs="Times New Roman"/>
                      <w:b w:val="0"/>
                      <w:bCs/>
                      <w:color w:val="000000" w:themeColor="text1"/>
                      <w:kern w:val="0"/>
                      <w:szCs w:val="21"/>
                      <w:lang w:val="en-US" w:eastAsia="zh-CN"/>
                      <w14:textFill>
                        <w14:solidFill>
                          <w14:schemeClr w14:val="tx1"/>
                        </w14:solidFill>
                      </w14:textFill>
                    </w:rPr>
                    <w:t>花生壳</w:t>
                  </w:r>
                </w:p>
              </w:tc>
              <w:tc>
                <w:tcPr>
                  <w:tcW w:w="1404" w:type="dxa"/>
                  <w:vAlign w:val="center"/>
                </w:tcPr>
                <w:p w14:paraId="1897B227">
                  <w:pPr>
                    <w:keepNext w:val="0"/>
                    <w:keepLines w:val="0"/>
                    <w:suppressLineNumbers w:val="0"/>
                    <w:spacing w:before="0" w:beforeAutospacing="0" w:after="0" w:afterAutospacing="0"/>
                    <w:ind w:left="0" w:leftChars="0" w:right="0" w:rightChars="0"/>
                    <w:jc w:val="center"/>
                    <w:rPr>
                      <w:rFonts w:hint="default"/>
                      <w:b w:val="0"/>
                      <w:bCs/>
                      <w:lang w:val="en-US" w:eastAsia="zh-CN"/>
                    </w:rPr>
                  </w:pPr>
                  <w:r>
                    <w:rPr>
                      <w:rFonts w:hint="eastAsia"/>
                      <w:color w:val="000000" w:themeColor="text1"/>
                      <w:sz w:val="21"/>
                      <w:szCs w:val="21"/>
                      <w:highlight w:val="none"/>
                      <w:lang w:val="en-US" w:eastAsia="zh-CN"/>
                      <w14:textFill>
                        <w14:solidFill>
                          <w14:schemeClr w14:val="tx1"/>
                        </w14:solidFill>
                      </w14:textFill>
                    </w:rPr>
                    <w:t>250.351</w:t>
                  </w:r>
                </w:p>
              </w:tc>
              <w:tc>
                <w:tcPr>
                  <w:tcW w:w="875" w:type="pct"/>
                  <w:vAlign w:val="center"/>
                </w:tcPr>
                <w:p w14:paraId="7A3DA44B">
                  <w:pPr>
                    <w:pStyle w:val="36"/>
                    <w:bidi w:val="0"/>
                    <w:jc w:val="center"/>
                    <w:rPr>
                      <w:rFonts w:hint="default"/>
                      <w:b w:val="0"/>
                      <w:bCs/>
                      <w:lang w:val="en-US" w:eastAsia="zh-CN"/>
                    </w:rPr>
                  </w:pPr>
                  <w:r>
                    <w:rPr>
                      <w:rFonts w:hint="eastAsia"/>
                      <w:b w:val="0"/>
                      <w:bCs/>
                      <w:lang w:val="en-US" w:eastAsia="zh-CN"/>
                    </w:rPr>
                    <w:t>25</w:t>
                  </w:r>
                </w:p>
              </w:tc>
              <w:tc>
                <w:tcPr>
                  <w:tcW w:w="985" w:type="dxa"/>
                  <w:vAlign w:val="center"/>
                </w:tcPr>
                <w:p w14:paraId="00ACC0A3">
                  <w:pPr>
                    <w:pStyle w:val="36"/>
                    <w:bidi w:val="0"/>
                    <w:ind w:left="0" w:leftChars="0" w:firstLine="0" w:firstLineChars="0"/>
                    <w:jc w:val="center"/>
                    <w:rPr>
                      <w:rFonts w:hint="default"/>
                      <w:b w:val="0"/>
                      <w:bCs/>
                      <w:lang w:val="en-US" w:eastAsia="zh-CN"/>
                    </w:rPr>
                  </w:pPr>
                  <w:r>
                    <w:rPr>
                      <w:rFonts w:hint="default"/>
                      <w:b w:val="0"/>
                      <w:bCs/>
                      <w:lang w:val="en-US" w:eastAsia="zh-CN"/>
                    </w:rPr>
                    <w:t>固体</w:t>
                  </w:r>
                </w:p>
              </w:tc>
              <w:tc>
                <w:tcPr>
                  <w:tcW w:w="1065" w:type="pct"/>
                  <w:vAlign w:val="center"/>
                </w:tcPr>
                <w:p w14:paraId="36275848">
                  <w:pPr>
                    <w:pStyle w:val="36"/>
                    <w:bidi w:val="0"/>
                    <w:jc w:val="center"/>
                    <w:rPr>
                      <w:rFonts w:hint="default"/>
                      <w:b w:val="0"/>
                      <w:bCs/>
                      <w:lang w:val="en-US" w:eastAsia="zh-CN"/>
                    </w:rPr>
                  </w:pPr>
                  <w:r>
                    <w:rPr>
                      <w:rFonts w:hint="eastAsia"/>
                      <w:b w:val="0"/>
                      <w:bCs/>
                      <w:lang w:val="en-US" w:eastAsia="zh-CN"/>
                    </w:rPr>
                    <w:t>/</w:t>
                  </w:r>
                </w:p>
              </w:tc>
            </w:tr>
            <w:tr w14:paraId="4442DD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33" w:type="pct"/>
                  <w:vAlign w:val="center"/>
                </w:tcPr>
                <w:p w14:paraId="19459AC6">
                  <w:pPr>
                    <w:pStyle w:val="36"/>
                    <w:bidi w:val="0"/>
                    <w:jc w:val="center"/>
                    <w:rPr>
                      <w:rFonts w:hint="default"/>
                      <w:b w:val="0"/>
                      <w:bCs/>
                      <w:lang w:val="en-US" w:eastAsia="zh-CN"/>
                    </w:rPr>
                  </w:pPr>
                  <w:r>
                    <w:rPr>
                      <w:rFonts w:hint="eastAsia"/>
                      <w:b w:val="0"/>
                      <w:bCs/>
                      <w:lang w:val="en-US" w:eastAsia="zh-CN"/>
                    </w:rPr>
                    <w:t>5</w:t>
                  </w:r>
                </w:p>
              </w:tc>
              <w:tc>
                <w:tcPr>
                  <w:tcW w:w="614" w:type="pct"/>
                  <w:vAlign w:val="center"/>
                </w:tcPr>
                <w:p w14:paraId="1BAA522F">
                  <w:pPr>
                    <w:keepNext w:val="0"/>
                    <w:keepLines w:val="0"/>
                    <w:widowControl/>
                    <w:suppressLineNumbers w:val="0"/>
                    <w:spacing w:before="0" w:beforeAutospacing="0" w:after="0" w:afterAutospacing="0"/>
                    <w:ind w:left="0" w:leftChars="0" w:right="0" w:rightChars="0"/>
                    <w:jc w:val="center"/>
                    <w:rPr>
                      <w:rFonts w:hint="default"/>
                      <w:b w:val="0"/>
                      <w:bCs/>
                      <w:sz w:val="21"/>
                      <w:szCs w:val="21"/>
                      <w:u w:val="none"/>
                      <w:lang w:val="en-US" w:eastAsia="zh-CN"/>
                    </w:rPr>
                  </w:pPr>
                  <w:r>
                    <w:rPr>
                      <w:rFonts w:hint="eastAsia" w:cs="Times New Roman"/>
                      <w:color w:val="000000" w:themeColor="text1"/>
                      <w:kern w:val="0"/>
                      <w:sz w:val="21"/>
                      <w:szCs w:val="21"/>
                      <w:u w:val="none"/>
                      <w:lang w:val="en-US" w:eastAsia="zh-CN"/>
                      <w14:textFill>
                        <w14:solidFill>
                          <w14:schemeClr w14:val="tx1"/>
                        </w14:solidFill>
                      </w14:textFill>
                    </w:rPr>
                    <w:t>公用</w:t>
                  </w:r>
                </w:p>
              </w:tc>
              <w:tc>
                <w:tcPr>
                  <w:tcW w:w="721" w:type="pct"/>
                  <w:vAlign w:val="center"/>
                </w:tcPr>
                <w:p w14:paraId="72B5AD57">
                  <w:pPr>
                    <w:keepNext w:val="0"/>
                    <w:keepLines w:val="0"/>
                    <w:widowControl/>
                    <w:suppressLineNumbers w:val="0"/>
                    <w:spacing w:before="0" w:beforeAutospacing="0" w:after="0" w:afterAutospacing="0"/>
                    <w:ind w:left="0" w:leftChars="0" w:right="0" w:rightChars="0"/>
                    <w:jc w:val="center"/>
                    <w:rPr>
                      <w:rFonts w:hint="eastAsia" w:cs="Times New Roman"/>
                      <w:b w:val="0"/>
                      <w:bCs/>
                      <w:color w:val="000000" w:themeColor="text1"/>
                      <w:kern w:val="0"/>
                      <w:sz w:val="21"/>
                      <w:szCs w:val="21"/>
                      <w:u w:val="none"/>
                      <w:lang w:val="en-US" w:eastAsia="zh-CN"/>
                      <w14:textFill>
                        <w14:solidFill>
                          <w14:schemeClr w14:val="tx1"/>
                        </w14:solidFill>
                      </w14:textFill>
                    </w:rPr>
                  </w:pPr>
                  <w:r>
                    <w:rPr>
                      <w:rFonts w:hint="eastAsia" w:cs="Times New Roman"/>
                      <w:color w:val="000000" w:themeColor="text1"/>
                      <w:kern w:val="0"/>
                      <w:sz w:val="21"/>
                      <w:szCs w:val="21"/>
                      <w:u w:val="none"/>
                      <w:lang w:val="en-US" w:eastAsia="zh-CN"/>
                      <w14:textFill>
                        <w14:solidFill>
                          <w14:schemeClr w14:val="tx1"/>
                        </w14:solidFill>
                      </w14:textFill>
                    </w:rPr>
                    <w:t>润滑油</w:t>
                  </w:r>
                </w:p>
              </w:tc>
              <w:tc>
                <w:tcPr>
                  <w:tcW w:w="757" w:type="pct"/>
                  <w:vAlign w:val="center"/>
                </w:tcPr>
                <w:p w14:paraId="41CEB3E5">
                  <w:pPr>
                    <w:keepNext w:val="0"/>
                    <w:keepLines w:val="0"/>
                    <w:suppressLineNumbers w:val="0"/>
                    <w:spacing w:before="0" w:beforeAutospacing="0" w:after="0" w:afterAutospacing="0"/>
                    <w:ind w:left="0" w:leftChars="0" w:right="0" w:rightChars="0"/>
                    <w:jc w:val="center"/>
                    <w:rPr>
                      <w:rFonts w:hint="default"/>
                      <w:b w:val="0"/>
                      <w:bCs/>
                      <w:sz w:val="21"/>
                      <w:szCs w:val="21"/>
                      <w:u w:val="none"/>
                      <w:lang w:val="en-US" w:eastAsia="zh-CN"/>
                    </w:rPr>
                  </w:pPr>
                  <w:r>
                    <w:rPr>
                      <w:rFonts w:hint="default" w:ascii="Times New Roman" w:hAnsi="Times New Roman" w:eastAsia="宋体" w:cs="Times New Roman"/>
                      <w:color w:val="000000" w:themeColor="text1"/>
                      <w:sz w:val="21"/>
                      <w:szCs w:val="21"/>
                      <w:u w:val="none"/>
                      <w14:textFill>
                        <w14:solidFill>
                          <w14:schemeClr w14:val="tx1"/>
                        </w14:solidFill>
                      </w14:textFill>
                    </w:rPr>
                    <w:t>吨/年</w:t>
                  </w:r>
                </w:p>
              </w:tc>
              <w:tc>
                <w:tcPr>
                  <w:tcW w:w="875" w:type="pct"/>
                  <w:vAlign w:val="center"/>
                </w:tcPr>
                <w:p w14:paraId="7DCB4C68">
                  <w:pPr>
                    <w:pStyle w:val="49"/>
                    <w:keepNext w:val="0"/>
                    <w:keepLines w:val="0"/>
                    <w:suppressLineNumbers w:val="0"/>
                    <w:spacing w:before="0" w:beforeAutospacing="0" w:after="0" w:afterAutospacing="0"/>
                    <w:ind w:left="0" w:leftChars="0" w:right="0" w:rightChars="0" w:firstLine="0" w:firstLineChars="0"/>
                    <w:jc w:val="center"/>
                    <w:rPr>
                      <w:rFonts w:hint="default"/>
                      <w:b w:val="0"/>
                      <w:bCs/>
                      <w:sz w:val="21"/>
                      <w:szCs w:val="21"/>
                      <w:u w:val="none"/>
                      <w:lang w:val="en-US" w:eastAsia="zh-CN"/>
                    </w:rPr>
                  </w:pPr>
                  <w:r>
                    <w:rPr>
                      <w:rFonts w:hint="eastAsia" w:cs="Times New Roman"/>
                      <w:color w:val="000000" w:themeColor="text1"/>
                      <w:sz w:val="21"/>
                      <w:szCs w:val="21"/>
                      <w:u w:val="none"/>
                      <w:lang w:val="en-US" w:eastAsia="zh-CN"/>
                      <w14:textFill>
                        <w14:solidFill>
                          <w14:schemeClr w14:val="tx1"/>
                        </w14:solidFill>
                      </w14:textFill>
                    </w:rPr>
                    <w:t>0.4t</w:t>
                  </w:r>
                </w:p>
              </w:tc>
              <w:tc>
                <w:tcPr>
                  <w:tcW w:w="531" w:type="pct"/>
                  <w:vAlign w:val="center"/>
                </w:tcPr>
                <w:p w14:paraId="2F5A1647">
                  <w:pPr>
                    <w:pStyle w:val="49"/>
                    <w:keepNext w:val="0"/>
                    <w:keepLines w:val="0"/>
                    <w:suppressLineNumbers w:val="0"/>
                    <w:spacing w:before="0" w:beforeAutospacing="0" w:after="0" w:afterAutospacing="0"/>
                    <w:ind w:left="0" w:leftChars="0" w:right="0" w:rightChars="0" w:firstLine="0" w:firstLineChars="0"/>
                    <w:jc w:val="center"/>
                    <w:rPr>
                      <w:rFonts w:hint="default"/>
                      <w:b w:val="0"/>
                      <w:bCs/>
                      <w:sz w:val="21"/>
                      <w:szCs w:val="21"/>
                      <w:u w:val="none"/>
                      <w:lang w:val="en-US" w:eastAsia="zh-CN"/>
                    </w:rPr>
                  </w:pPr>
                  <w:r>
                    <w:rPr>
                      <w:rFonts w:hint="eastAsia" w:cs="Times New Roman"/>
                      <w:color w:val="000000" w:themeColor="text1"/>
                      <w:sz w:val="21"/>
                      <w:szCs w:val="21"/>
                      <w:u w:val="none"/>
                      <w:lang w:val="en-US" w:eastAsia="zh-CN"/>
                      <w14:textFill>
                        <w14:solidFill>
                          <w14:schemeClr w14:val="tx1"/>
                        </w14:solidFill>
                      </w14:textFill>
                    </w:rPr>
                    <w:t>液体</w:t>
                  </w:r>
                </w:p>
              </w:tc>
              <w:tc>
                <w:tcPr>
                  <w:tcW w:w="1065" w:type="pct"/>
                  <w:vAlign w:val="center"/>
                </w:tcPr>
                <w:p w14:paraId="11BC6583">
                  <w:pPr>
                    <w:pStyle w:val="49"/>
                    <w:keepNext w:val="0"/>
                    <w:keepLines w:val="0"/>
                    <w:suppressLineNumbers w:val="0"/>
                    <w:spacing w:before="0" w:beforeAutospacing="0" w:after="0" w:afterAutospacing="0"/>
                    <w:ind w:left="0" w:leftChars="0" w:right="0" w:rightChars="0" w:firstLine="0" w:firstLineChars="0"/>
                    <w:jc w:val="center"/>
                    <w:rPr>
                      <w:rFonts w:hint="default"/>
                      <w:b w:val="0"/>
                      <w:bCs/>
                      <w:sz w:val="21"/>
                      <w:szCs w:val="21"/>
                      <w:u w:val="none"/>
                      <w:lang w:val="en-US" w:eastAsia="zh-CN"/>
                    </w:rPr>
                  </w:pPr>
                  <w:r>
                    <w:rPr>
                      <w:rFonts w:hint="eastAsia" w:cs="Times New Roman"/>
                      <w:color w:val="000000" w:themeColor="text1"/>
                      <w:sz w:val="21"/>
                      <w:szCs w:val="21"/>
                      <w:u w:val="none"/>
                      <w:lang w:val="en-US" w:eastAsia="zh-CN"/>
                      <w14:textFill>
                        <w14:solidFill>
                          <w14:schemeClr w14:val="tx1"/>
                        </w14:solidFill>
                      </w14:textFill>
                    </w:rPr>
                    <w:t>桶装，50kg/桶，存放仓库</w:t>
                  </w:r>
                </w:p>
              </w:tc>
            </w:tr>
            <w:tr w14:paraId="3448AD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33" w:type="pct"/>
                  <w:vAlign w:val="center"/>
                </w:tcPr>
                <w:p w14:paraId="66552271">
                  <w:pPr>
                    <w:pStyle w:val="36"/>
                    <w:bidi w:val="0"/>
                    <w:jc w:val="center"/>
                    <w:rPr>
                      <w:rFonts w:hint="default"/>
                      <w:b w:val="0"/>
                      <w:bCs/>
                      <w:lang w:val="en-US" w:eastAsia="zh-CN"/>
                    </w:rPr>
                  </w:pPr>
                  <w:r>
                    <w:rPr>
                      <w:rFonts w:hint="eastAsia"/>
                      <w:b w:val="0"/>
                      <w:bCs/>
                      <w:lang w:val="en-US" w:eastAsia="zh-CN"/>
                    </w:rPr>
                    <w:t>6</w:t>
                  </w:r>
                </w:p>
              </w:tc>
              <w:tc>
                <w:tcPr>
                  <w:tcW w:w="614" w:type="pct"/>
                  <w:vAlign w:val="center"/>
                </w:tcPr>
                <w:p w14:paraId="28C2AA4E">
                  <w:pPr>
                    <w:pStyle w:val="49"/>
                    <w:keepNext w:val="0"/>
                    <w:keepLines w:val="0"/>
                    <w:suppressLineNumbers w:val="0"/>
                    <w:spacing w:before="0" w:beforeAutospacing="0" w:after="0" w:afterAutospacing="0"/>
                    <w:ind w:left="0" w:leftChars="0" w:right="0" w:rightChars="0" w:firstLine="0" w:firstLineChars="0"/>
                    <w:jc w:val="center"/>
                    <w:rPr>
                      <w:rFonts w:hint="default"/>
                      <w:b w:val="0"/>
                      <w:bCs/>
                      <w:sz w:val="21"/>
                      <w:szCs w:val="21"/>
                      <w:u w:val="none"/>
                      <w:lang w:val="en-US" w:eastAsia="zh-CN"/>
                    </w:rPr>
                  </w:pPr>
                  <w:r>
                    <w:rPr>
                      <w:rFonts w:cs="Times New Roman"/>
                      <w:color w:val="000000" w:themeColor="text1"/>
                      <w:sz w:val="21"/>
                      <w:szCs w:val="21"/>
                      <w:u w:val="none"/>
                      <w14:textFill>
                        <w14:solidFill>
                          <w14:schemeClr w14:val="tx1"/>
                        </w14:solidFill>
                      </w14:textFill>
                    </w:rPr>
                    <w:t>辅料</w:t>
                  </w:r>
                </w:p>
              </w:tc>
              <w:tc>
                <w:tcPr>
                  <w:tcW w:w="721" w:type="pct"/>
                  <w:vAlign w:val="center"/>
                </w:tcPr>
                <w:p w14:paraId="29078062">
                  <w:pPr>
                    <w:pStyle w:val="49"/>
                    <w:keepNext w:val="0"/>
                    <w:keepLines w:val="0"/>
                    <w:suppressLineNumbers w:val="0"/>
                    <w:spacing w:before="0" w:beforeAutospacing="0" w:after="0" w:afterAutospacing="0"/>
                    <w:ind w:left="0" w:leftChars="0" w:right="0" w:rightChars="0" w:firstLine="0" w:firstLineChars="0"/>
                    <w:jc w:val="center"/>
                    <w:rPr>
                      <w:rFonts w:hint="eastAsia" w:cs="Times New Roman"/>
                      <w:b w:val="0"/>
                      <w:bCs/>
                      <w:color w:val="000000" w:themeColor="text1"/>
                      <w:kern w:val="0"/>
                      <w:sz w:val="21"/>
                      <w:szCs w:val="21"/>
                      <w:u w:val="none"/>
                      <w:lang w:val="en-US" w:eastAsia="zh-CN"/>
                      <w14:textFill>
                        <w14:solidFill>
                          <w14:schemeClr w14:val="tx1"/>
                        </w14:solidFill>
                      </w14:textFill>
                    </w:rPr>
                  </w:pPr>
                  <w:r>
                    <w:rPr>
                      <w:rFonts w:hint="eastAsia" w:cs="Times New Roman"/>
                      <w:color w:val="000000" w:themeColor="text1"/>
                      <w:sz w:val="21"/>
                      <w:szCs w:val="21"/>
                      <w:u w:val="none"/>
                      <w:lang w:val="en-US" w:eastAsia="zh-CN"/>
                      <w14:textFill>
                        <w14:solidFill>
                          <w14:schemeClr w14:val="tx1"/>
                        </w14:solidFill>
                      </w14:textFill>
                    </w:rPr>
                    <w:t>水</w:t>
                  </w:r>
                </w:p>
              </w:tc>
              <w:tc>
                <w:tcPr>
                  <w:tcW w:w="757" w:type="pct"/>
                  <w:vAlign w:val="center"/>
                </w:tcPr>
                <w:p w14:paraId="09215B4A">
                  <w:pPr>
                    <w:keepNext w:val="0"/>
                    <w:keepLines w:val="0"/>
                    <w:suppressLineNumbers w:val="0"/>
                    <w:spacing w:before="0" w:beforeAutospacing="0" w:after="0" w:afterAutospacing="0"/>
                    <w:ind w:left="0" w:leftChars="0" w:right="0" w:rightChars="0"/>
                    <w:jc w:val="center"/>
                    <w:rPr>
                      <w:rFonts w:hint="default"/>
                      <w:b w:val="0"/>
                      <w:bCs/>
                      <w:sz w:val="21"/>
                      <w:szCs w:val="21"/>
                      <w:u w:val="none"/>
                      <w:lang w:val="en-US" w:eastAsia="zh-CN"/>
                    </w:rPr>
                  </w:pPr>
                  <w:r>
                    <w:rPr>
                      <w:rFonts w:hint="default" w:ascii="Times New Roman" w:hAnsi="Times New Roman" w:eastAsia="宋体" w:cs="Times New Roman"/>
                      <w:color w:val="000000" w:themeColor="text1"/>
                      <w:sz w:val="21"/>
                      <w:szCs w:val="21"/>
                      <w:u w:val="none"/>
                      <w14:textFill>
                        <w14:solidFill>
                          <w14:schemeClr w14:val="tx1"/>
                        </w14:solidFill>
                      </w14:textFill>
                    </w:rPr>
                    <w:t>吨/年</w:t>
                  </w:r>
                </w:p>
              </w:tc>
              <w:tc>
                <w:tcPr>
                  <w:tcW w:w="875" w:type="pct"/>
                  <w:vAlign w:val="center"/>
                </w:tcPr>
                <w:p w14:paraId="505BE361">
                  <w:pPr>
                    <w:pStyle w:val="49"/>
                    <w:keepNext w:val="0"/>
                    <w:keepLines w:val="0"/>
                    <w:suppressLineNumbers w:val="0"/>
                    <w:spacing w:before="0" w:beforeAutospacing="0" w:after="0" w:afterAutospacing="0"/>
                    <w:ind w:left="0" w:leftChars="0" w:right="0" w:rightChars="0" w:firstLine="0" w:firstLineChars="0"/>
                    <w:jc w:val="center"/>
                    <w:rPr>
                      <w:rFonts w:hint="default"/>
                      <w:b w:val="0"/>
                      <w:bCs/>
                      <w:sz w:val="21"/>
                      <w:szCs w:val="21"/>
                      <w:u w:val="none"/>
                      <w:lang w:val="en-US" w:eastAsia="zh-CN"/>
                    </w:rPr>
                  </w:pPr>
                  <w:r>
                    <w:rPr>
                      <w:rFonts w:hint="eastAsia" w:cs="Times New Roman"/>
                      <w:color w:val="000000" w:themeColor="text1"/>
                      <w:sz w:val="21"/>
                      <w:szCs w:val="21"/>
                      <w:u w:val="none"/>
                      <w:lang w:val="en-US" w:eastAsia="zh-CN"/>
                      <w14:textFill>
                        <w14:solidFill>
                          <w14:schemeClr w14:val="tx1"/>
                        </w14:solidFill>
                      </w14:textFill>
                    </w:rPr>
                    <w:t>1188</w:t>
                  </w:r>
                </w:p>
              </w:tc>
              <w:tc>
                <w:tcPr>
                  <w:tcW w:w="531" w:type="pct"/>
                  <w:vAlign w:val="center"/>
                </w:tcPr>
                <w:p w14:paraId="2E735AA2">
                  <w:pPr>
                    <w:pStyle w:val="49"/>
                    <w:keepNext w:val="0"/>
                    <w:keepLines w:val="0"/>
                    <w:suppressLineNumbers w:val="0"/>
                    <w:spacing w:before="0" w:beforeAutospacing="0" w:after="0" w:afterAutospacing="0"/>
                    <w:ind w:left="0" w:leftChars="0" w:right="0" w:rightChars="0" w:firstLine="0" w:firstLineChars="0"/>
                    <w:jc w:val="center"/>
                    <w:rPr>
                      <w:rFonts w:hint="default"/>
                      <w:b w:val="0"/>
                      <w:bCs/>
                      <w:sz w:val="21"/>
                      <w:szCs w:val="21"/>
                      <w:u w:val="none"/>
                      <w:lang w:val="en-US" w:eastAsia="zh-CN"/>
                    </w:rPr>
                  </w:pPr>
                  <w:r>
                    <w:rPr>
                      <w:rFonts w:cs="Times New Roman"/>
                      <w:color w:val="000000" w:themeColor="text1"/>
                      <w:sz w:val="21"/>
                      <w:szCs w:val="21"/>
                      <w:u w:val="none"/>
                      <w14:textFill>
                        <w14:solidFill>
                          <w14:schemeClr w14:val="tx1"/>
                        </w14:solidFill>
                      </w14:textFill>
                    </w:rPr>
                    <w:t>/</w:t>
                  </w:r>
                </w:p>
              </w:tc>
              <w:tc>
                <w:tcPr>
                  <w:tcW w:w="1065" w:type="pct"/>
                  <w:vAlign w:val="center"/>
                </w:tcPr>
                <w:p w14:paraId="50459052">
                  <w:pPr>
                    <w:pStyle w:val="49"/>
                    <w:keepNext w:val="0"/>
                    <w:keepLines w:val="0"/>
                    <w:suppressLineNumbers w:val="0"/>
                    <w:spacing w:before="0" w:beforeAutospacing="0" w:after="0" w:afterAutospacing="0"/>
                    <w:ind w:left="0" w:leftChars="0" w:right="0" w:rightChars="0" w:firstLine="0" w:firstLineChars="0"/>
                    <w:jc w:val="center"/>
                    <w:rPr>
                      <w:rFonts w:hint="default"/>
                      <w:b w:val="0"/>
                      <w:bCs/>
                      <w:sz w:val="21"/>
                      <w:szCs w:val="21"/>
                      <w:u w:val="none"/>
                      <w:lang w:val="en-US" w:eastAsia="zh-CN"/>
                    </w:rPr>
                  </w:pPr>
                  <w:r>
                    <w:rPr>
                      <w:rFonts w:cs="Times New Roman"/>
                      <w:color w:val="000000" w:themeColor="text1"/>
                      <w:sz w:val="21"/>
                      <w:szCs w:val="21"/>
                      <w:u w:val="none"/>
                      <w14:textFill>
                        <w14:solidFill>
                          <w14:schemeClr w14:val="tx1"/>
                        </w14:solidFill>
                      </w14:textFill>
                    </w:rPr>
                    <w:t>/</w:t>
                  </w:r>
                </w:p>
              </w:tc>
            </w:tr>
          </w:tbl>
          <w:p w14:paraId="7316AA92">
            <w:pPr>
              <w:keepNext w:val="0"/>
              <w:keepLines w:val="0"/>
              <w:pageBreakBefore w:val="0"/>
              <w:widowControl w:val="0"/>
              <w:suppressLineNumbers w:val="0"/>
              <w:tabs>
                <w:tab w:val="left" w:pos="1081"/>
              </w:tabs>
              <w:kinsoku/>
              <w:wordWrap/>
              <w:overflowPunct/>
              <w:topLinePunct w:val="0"/>
              <w:autoSpaceDE/>
              <w:autoSpaceDN/>
              <w:bidi w:val="0"/>
              <w:adjustRightInd w:val="0"/>
              <w:snapToGrid w:val="0"/>
              <w:spacing w:before="0" w:beforeAutospacing="0" w:after="0" w:afterAutospacing="0" w:line="360" w:lineRule="auto"/>
              <w:ind w:left="0" w:right="0" w:firstLine="482" w:firstLineChars="200"/>
              <w:jc w:val="left"/>
              <w:textAlignment w:val="auto"/>
              <w:outlineLvl w:val="9"/>
              <w:rPr>
                <w:rFonts w:hint="default" w:ascii="Times New Roman" w:hAnsi="Times New Roman" w:eastAsia="宋体" w:cs="Times New Roman"/>
                <w:b/>
                <w:color w:val="000000" w:themeColor="text1"/>
                <w:sz w:val="24"/>
                <w:szCs w:val="24"/>
                <w:highlight w:val="none"/>
                <w:u w:val="none" w:color="auto"/>
                <w14:textFill>
                  <w14:solidFill>
                    <w14:schemeClr w14:val="tx1"/>
                  </w14:solidFill>
                </w14:textFill>
              </w:rPr>
            </w:pPr>
            <w:r>
              <w:rPr>
                <w:rFonts w:hint="default" w:ascii="Times New Roman" w:hAnsi="Times New Roman" w:eastAsia="宋体" w:cs="Times New Roman"/>
                <w:b/>
                <w:color w:val="000000" w:themeColor="text1"/>
                <w:sz w:val="24"/>
                <w:szCs w:val="24"/>
                <w:highlight w:val="none"/>
                <w:u w:val="none" w:color="auto"/>
                <w14:textFill>
                  <w14:solidFill>
                    <w14:schemeClr w14:val="tx1"/>
                  </w14:solidFill>
                </w14:textFill>
              </w:rPr>
              <w:t>6、水平衡</w:t>
            </w:r>
          </w:p>
          <w:p w14:paraId="5B3FBDA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left"/>
              <w:textAlignment w:val="auto"/>
              <w:outlineLvl w:val="9"/>
              <w:rPr>
                <w:rFonts w:hint="default" w:ascii="Times New Roman" w:hAnsi="Times New Roman" w:eastAsia="宋体" w:cs="Times New Roman"/>
                <w:b w:val="0"/>
                <w:bCs/>
                <w:color w:val="000000" w:themeColor="text1"/>
                <w:sz w:val="24"/>
                <w:szCs w:val="24"/>
                <w:highlight w:val="none"/>
                <w:u w:val="none" w:color="auto"/>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u w:val="none" w:color="auto"/>
                <w14:textFill>
                  <w14:solidFill>
                    <w14:schemeClr w14:val="tx1"/>
                  </w14:solidFill>
                </w14:textFill>
              </w:rPr>
              <w:t>本项目主要用水为职工生活用水</w:t>
            </w:r>
            <w:r>
              <w:rPr>
                <w:rFonts w:hint="eastAsia" w:cs="Times New Roman"/>
                <w:b w:val="0"/>
                <w:bCs/>
                <w:color w:val="000000" w:themeColor="text1"/>
                <w:sz w:val="24"/>
                <w:szCs w:val="24"/>
                <w:highlight w:val="none"/>
                <w:u w:val="none" w:color="auto"/>
                <w:lang w:val="en-US" w:eastAsia="zh-CN"/>
                <w14:textFill>
                  <w14:solidFill>
                    <w14:schemeClr w14:val="tx1"/>
                  </w14:solidFill>
                </w14:textFill>
              </w:rPr>
              <w:t>、冷却用水和废气处理设施用水</w:t>
            </w:r>
            <w:r>
              <w:rPr>
                <w:rFonts w:hint="default" w:ascii="Times New Roman" w:hAnsi="Times New Roman" w:eastAsia="宋体" w:cs="Times New Roman"/>
                <w:b w:val="0"/>
                <w:bCs/>
                <w:color w:val="000000" w:themeColor="text1"/>
                <w:sz w:val="24"/>
                <w:szCs w:val="24"/>
                <w:highlight w:val="none"/>
                <w:u w:val="none" w:color="auto"/>
                <w14:textFill>
                  <w14:solidFill>
                    <w14:schemeClr w14:val="tx1"/>
                  </w14:solidFill>
                </w14:textFill>
              </w:rPr>
              <w:t>。</w:t>
            </w:r>
          </w:p>
          <w:p w14:paraId="3324506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left"/>
              <w:textAlignment w:val="auto"/>
              <w:outlineLvl w:val="9"/>
              <w:rPr>
                <w:rFonts w:hint="eastAsia" w:cs="Times New Roman"/>
                <w:b w:val="0"/>
                <w:bCs/>
                <w:color w:val="000000" w:themeColor="text1"/>
                <w:sz w:val="24"/>
                <w:szCs w:val="24"/>
                <w:highlight w:val="none"/>
                <w:u w:val="none" w:color="auto"/>
                <w:lang w:val="en-US" w:eastAsia="zh-CN"/>
                <w14:textFill>
                  <w14:solidFill>
                    <w14:schemeClr w14:val="tx1"/>
                  </w14:solidFill>
                </w14:textFill>
              </w:rPr>
            </w:pPr>
            <w:r>
              <w:rPr>
                <w:rFonts w:hint="eastAsia" w:cs="Times New Roman"/>
                <w:b w:val="0"/>
                <w:bCs/>
                <w:color w:val="000000" w:themeColor="text1"/>
                <w:sz w:val="24"/>
                <w:szCs w:val="24"/>
                <w:highlight w:val="none"/>
                <w:u w:val="none" w:color="auto"/>
                <w:lang w:eastAsia="zh-CN"/>
                <w14:textFill>
                  <w14:solidFill>
                    <w14:schemeClr w14:val="tx1"/>
                  </w14:solidFill>
                </w14:textFill>
              </w:rPr>
              <w:t>（</w:t>
            </w:r>
            <w:r>
              <w:rPr>
                <w:rFonts w:hint="eastAsia" w:cs="Times New Roman"/>
                <w:b w:val="0"/>
                <w:bCs/>
                <w:color w:val="000000" w:themeColor="text1"/>
                <w:sz w:val="24"/>
                <w:szCs w:val="24"/>
                <w:highlight w:val="none"/>
                <w:u w:val="none" w:color="auto"/>
                <w:lang w:val="en-US" w:eastAsia="zh-CN"/>
                <w14:textFill>
                  <w14:solidFill>
                    <w14:schemeClr w14:val="tx1"/>
                  </w14:solidFill>
                </w14:textFill>
              </w:rPr>
              <w:t>1</w:t>
            </w:r>
            <w:r>
              <w:rPr>
                <w:rFonts w:hint="eastAsia" w:cs="Times New Roman"/>
                <w:b w:val="0"/>
                <w:bCs/>
                <w:color w:val="000000" w:themeColor="text1"/>
                <w:sz w:val="24"/>
                <w:szCs w:val="24"/>
                <w:highlight w:val="none"/>
                <w:u w:val="none" w:color="auto"/>
                <w:lang w:eastAsia="zh-CN"/>
                <w14:textFill>
                  <w14:solidFill>
                    <w14:schemeClr w14:val="tx1"/>
                  </w14:solidFill>
                </w14:textFill>
              </w:rPr>
              <w:t>）</w:t>
            </w:r>
            <w:r>
              <w:rPr>
                <w:rFonts w:hint="eastAsia" w:cs="Times New Roman"/>
                <w:b w:val="0"/>
                <w:bCs/>
                <w:color w:val="000000" w:themeColor="text1"/>
                <w:sz w:val="24"/>
                <w:szCs w:val="24"/>
                <w:highlight w:val="none"/>
                <w:u w:val="none" w:color="auto"/>
                <w:lang w:val="en-US" w:eastAsia="zh-CN"/>
                <w14:textFill>
                  <w14:solidFill>
                    <w14:schemeClr w14:val="tx1"/>
                  </w14:solidFill>
                </w14:textFill>
              </w:rPr>
              <w:t>生活用水</w:t>
            </w:r>
          </w:p>
          <w:p w14:paraId="6820363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left"/>
              <w:textAlignment w:val="auto"/>
              <w:outlineLvl w:val="9"/>
              <w:rPr>
                <w:rFonts w:hint="default" w:ascii="Times New Roman" w:hAnsi="Times New Roman" w:eastAsia="宋体" w:cs="Times New Roman"/>
                <w:b w:val="0"/>
                <w:bCs/>
                <w:color w:val="000000" w:themeColor="text1"/>
                <w:sz w:val="24"/>
                <w:szCs w:val="24"/>
                <w:highlight w:val="none"/>
                <w:u w:val="none" w:color="auto"/>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u w:val="none" w:color="auto"/>
                <w14:textFill>
                  <w14:solidFill>
                    <w14:schemeClr w14:val="tx1"/>
                  </w14:solidFill>
                </w14:textFill>
              </w:rPr>
              <w:t>本项目职工</w:t>
            </w:r>
            <w:r>
              <w:rPr>
                <w:rFonts w:hint="eastAsia" w:cs="Times New Roman"/>
                <w:b w:val="0"/>
                <w:bCs/>
                <w:color w:val="000000" w:themeColor="text1"/>
                <w:sz w:val="24"/>
                <w:szCs w:val="24"/>
                <w:highlight w:val="none"/>
                <w:u w:val="none" w:color="auto"/>
                <w:lang w:val="en-US" w:eastAsia="zh-CN"/>
                <w14:textFill>
                  <w14:solidFill>
                    <w14:schemeClr w14:val="tx1"/>
                  </w14:solidFill>
                </w14:textFill>
              </w:rPr>
              <w:t>20</w:t>
            </w:r>
            <w:r>
              <w:rPr>
                <w:rFonts w:hint="default" w:ascii="Times New Roman" w:hAnsi="Times New Roman" w:eastAsia="宋体" w:cs="Times New Roman"/>
                <w:b w:val="0"/>
                <w:bCs/>
                <w:color w:val="000000" w:themeColor="text1"/>
                <w:sz w:val="24"/>
                <w:szCs w:val="24"/>
                <w:highlight w:val="none"/>
                <w:u w:val="none" w:color="auto"/>
                <w14:textFill>
                  <w14:solidFill>
                    <w14:schemeClr w14:val="tx1"/>
                  </w14:solidFill>
                </w14:textFill>
              </w:rPr>
              <w:t>人，均为附近居民，不在厂区食宿，参照《河南省地方标准-工业与城镇生活用水定额》（DB41/T385-2014），生活用水量按照50L/人·d计。则本项目生活用水量约为</w:t>
            </w:r>
            <w:r>
              <w:rPr>
                <w:rFonts w:hint="eastAsia" w:ascii="Times New Roman" w:hAnsi="Times New Roman" w:eastAsia="宋体" w:cs="Times New Roman"/>
                <w:b w:val="0"/>
                <w:bCs/>
                <w:color w:val="000000" w:themeColor="text1"/>
                <w:sz w:val="24"/>
                <w:szCs w:val="24"/>
                <w:highlight w:val="none"/>
                <w:u w:val="none" w:color="auto"/>
                <w:lang w:val="en-US" w:eastAsia="zh-CN"/>
                <w14:textFill>
                  <w14:solidFill>
                    <w14:schemeClr w14:val="tx1"/>
                  </w14:solidFill>
                </w14:textFill>
              </w:rPr>
              <w:t>1.0</w:t>
            </w:r>
            <w:r>
              <w:rPr>
                <w:rFonts w:hint="default" w:ascii="Times New Roman" w:hAnsi="Times New Roman" w:eastAsia="宋体" w:cs="Times New Roman"/>
                <w:b w:val="0"/>
                <w:bCs/>
                <w:color w:val="000000" w:themeColor="text1"/>
                <w:sz w:val="24"/>
                <w:szCs w:val="24"/>
                <w:highlight w:val="none"/>
                <w:u w:val="none" w:color="auto"/>
                <w14:textFill>
                  <w14:solidFill>
                    <w14:schemeClr w14:val="tx1"/>
                  </w14:solidFill>
                </w14:textFill>
              </w:rPr>
              <w:t>m</w:t>
            </w:r>
            <w:r>
              <w:rPr>
                <w:rFonts w:hint="default" w:ascii="Times New Roman" w:hAnsi="Times New Roman" w:eastAsia="宋体" w:cs="Times New Roman"/>
                <w:b w:val="0"/>
                <w:bCs/>
                <w:color w:val="000000" w:themeColor="text1"/>
                <w:sz w:val="24"/>
                <w:szCs w:val="24"/>
                <w:highlight w:val="none"/>
                <w:u w:val="none" w:color="auto"/>
                <w:vertAlign w:val="superscript"/>
                <w14:textFill>
                  <w14:solidFill>
                    <w14:schemeClr w14:val="tx1"/>
                  </w14:solidFill>
                </w14:textFill>
              </w:rPr>
              <w:t>3</w:t>
            </w:r>
            <w:r>
              <w:rPr>
                <w:rFonts w:hint="default" w:ascii="Times New Roman" w:hAnsi="Times New Roman" w:eastAsia="宋体" w:cs="Times New Roman"/>
                <w:b w:val="0"/>
                <w:bCs/>
                <w:color w:val="000000" w:themeColor="text1"/>
                <w:sz w:val="24"/>
                <w:szCs w:val="24"/>
                <w:highlight w:val="none"/>
                <w:u w:val="none" w:color="auto"/>
                <w14:textFill>
                  <w14:solidFill>
                    <w14:schemeClr w14:val="tx1"/>
                  </w14:solidFill>
                </w14:textFill>
              </w:rPr>
              <w:t>/d</w:t>
            </w:r>
            <w:r>
              <w:rPr>
                <w:rFonts w:hint="eastAsia" w:cs="Times New Roman"/>
                <w:b w:val="0"/>
                <w:bCs/>
                <w:color w:val="000000" w:themeColor="text1"/>
                <w:sz w:val="24"/>
                <w:szCs w:val="24"/>
                <w:highlight w:val="none"/>
                <w:u w:val="none" w:color="auto"/>
                <w:lang w:eastAsia="zh-CN"/>
                <w14:textFill>
                  <w14:solidFill>
                    <w14:schemeClr w14:val="tx1"/>
                  </w14:solidFill>
                </w14:textFill>
              </w:rPr>
              <w:t>（</w:t>
            </w:r>
            <w:r>
              <w:rPr>
                <w:rFonts w:hint="eastAsia" w:cs="Times New Roman"/>
                <w:b w:val="0"/>
                <w:bCs/>
                <w:color w:val="000000" w:themeColor="text1"/>
                <w:sz w:val="24"/>
                <w:szCs w:val="24"/>
                <w:highlight w:val="none"/>
                <w:u w:val="none" w:color="auto"/>
                <w:lang w:val="en-US" w:eastAsia="zh-CN"/>
                <w14:textFill>
                  <w14:solidFill>
                    <w14:schemeClr w14:val="tx1"/>
                  </w14:solidFill>
                </w14:textFill>
              </w:rPr>
              <w:t>300</w:t>
            </w:r>
            <w:r>
              <w:rPr>
                <w:rFonts w:hint="default" w:ascii="Times New Roman" w:hAnsi="Times New Roman" w:eastAsia="宋体" w:cs="Times New Roman"/>
                <w:b w:val="0"/>
                <w:bCs/>
                <w:color w:val="000000" w:themeColor="text1"/>
                <w:sz w:val="24"/>
                <w:szCs w:val="24"/>
                <w:highlight w:val="none"/>
                <w:u w:val="none" w:color="auto"/>
                <w14:textFill>
                  <w14:solidFill>
                    <w14:schemeClr w14:val="tx1"/>
                  </w14:solidFill>
                </w14:textFill>
              </w:rPr>
              <w:t>m</w:t>
            </w:r>
            <w:r>
              <w:rPr>
                <w:rFonts w:hint="default" w:ascii="Times New Roman" w:hAnsi="Times New Roman" w:eastAsia="宋体" w:cs="Times New Roman"/>
                <w:b w:val="0"/>
                <w:bCs/>
                <w:color w:val="000000" w:themeColor="text1"/>
                <w:sz w:val="24"/>
                <w:szCs w:val="24"/>
                <w:highlight w:val="none"/>
                <w:u w:val="none" w:color="auto"/>
                <w:vertAlign w:val="superscript"/>
                <w14:textFill>
                  <w14:solidFill>
                    <w14:schemeClr w14:val="tx1"/>
                  </w14:solidFill>
                </w14:textFill>
              </w:rPr>
              <w:t>3</w:t>
            </w:r>
            <w:r>
              <w:rPr>
                <w:rFonts w:hint="default" w:ascii="Times New Roman" w:hAnsi="Times New Roman" w:eastAsia="宋体" w:cs="Times New Roman"/>
                <w:b w:val="0"/>
                <w:bCs/>
                <w:color w:val="000000" w:themeColor="text1"/>
                <w:sz w:val="24"/>
                <w:szCs w:val="24"/>
                <w:highlight w:val="none"/>
                <w:u w:val="none" w:color="auto"/>
                <w14:textFill>
                  <w14:solidFill>
                    <w14:schemeClr w14:val="tx1"/>
                  </w14:solidFill>
                </w14:textFill>
              </w:rPr>
              <w:t>/</w:t>
            </w:r>
            <w:r>
              <w:rPr>
                <w:rFonts w:hint="eastAsia" w:eastAsia="宋体" w:cs="Times New Roman"/>
                <w:b w:val="0"/>
                <w:bCs/>
                <w:color w:val="000000" w:themeColor="text1"/>
                <w:sz w:val="24"/>
                <w:szCs w:val="24"/>
                <w:highlight w:val="none"/>
                <w:u w:val="none" w:color="auto"/>
                <w:lang w:val="en-US" w:eastAsia="zh-CN"/>
                <w14:textFill>
                  <w14:solidFill>
                    <w14:schemeClr w14:val="tx1"/>
                  </w14:solidFill>
                </w14:textFill>
              </w:rPr>
              <w:t>a</w:t>
            </w:r>
            <w:r>
              <w:rPr>
                <w:rFonts w:hint="eastAsia" w:cs="Times New Roman"/>
                <w:b w:val="0"/>
                <w:bCs/>
                <w:color w:val="000000" w:themeColor="text1"/>
                <w:sz w:val="24"/>
                <w:szCs w:val="24"/>
                <w:highlight w:val="none"/>
                <w:u w:val="none" w:color="auto"/>
                <w:lang w:eastAsia="zh-CN"/>
                <w14:textFill>
                  <w14:solidFill>
                    <w14:schemeClr w14:val="tx1"/>
                  </w14:solidFill>
                </w14:textFill>
              </w:rPr>
              <w:t>）</w:t>
            </w:r>
            <w:r>
              <w:rPr>
                <w:rFonts w:hint="default" w:ascii="Times New Roman" w:hAnsi="Times New Roman" w:eastAsia="宋体" w:cs="Times New Roman"/>
                <w:b w:val="0"/>
                <w:bCs/>
                <w:color w:val="000000" w:themeColor="text1"/>
                <w:sz w:val="24"/>
                <w:szCs w:val="24"/>
                <w:highlight w:val="none"/>
                <w:u w:val="none" w:color="auto"/>
                <w14:textFill>
                  <w14:solidFill>
                    <w14:schemeClr w14:val="tx1"/>
                  </w14:solidFill>
                </w14:textFill>
              </w:rPr>
              <w:t>，产污系数以0.8计，生活污水产生量为</w:t>
            </w:r>
            <w:r>
              <w:rPr>
                <w:rFonts w:hint="eastAsia" w:ascii="Times New Roman" w:hAnsi="Times New Roman" w:eastAsia="宋体" w:cs="Times New Roman"/>
                <w:b w:val="0"/>
                <w:bCs/>
                <w:color w:val="000000" w:themeColor="text1"/>
                <w:sz w:val="24"/>
                <w:szCs w:val="24"/>
                <w:highlight w:val="none"/>
                <w:u w:val="none" w:color="auto"/>
                <w:lang w:val="en-US" w:eastAsia="zh-CN"/>
                <w14:textFill>
                  <w14:solidFill>
                    <w14:schemeClr w14:val="tx1"/>
                  </w14:solidFill>
                </w14:textFill>
              </w:rPr>
              <w:t>0.8</w:t>
            </w:r>
            <w:r>
              <w:rPr>
                <w:rFonts w:hint="default" w:ascii="Times New Roman" w:hAnsi="Times New Roman" w:eastAsia="宋体" w:cs="Times New Roman"/>
                <w:b w:val="0"/>
                <w:bCs/>
                <w:color w:val="000000" w:themeColor="text1"/>
                <w:sz w:val="24"/>
                <w:szCs w:val="24"/>
                <w:highlight w:val="none"/>
                <w:u w:val="none" w:color="auto"/>
                <w14:textFill>
                  <w14:solidFill>
                    <w14:schemeClr w14:val="tx1"/>
                  </w14:solidFill>
                </w14:textFill>
              </w:rPr>
              <w:t>m</w:t>
            </w:r>
            <w:r>
              <w:rPr>
                <w:rFonts w:hint="default" w:ascii="Times New Roman" w:hAnsi="Times New Roman" w:eastAsia="宋体" w:cs="Times New Roman"/>
                <w:b w:val="0"/>
                <w:bCs/>
                <w:color w:val="000000" w:themeColor="text1"/>
                <w:sz w:val="24"/>
                <w:szCs w:val="24"/>
                <w:highlight w:val="none"/>
                <w:u w:val="none" w:color="auto"/>
                <w:vertAlign w:val="superscript"/>
                <w14:textFill>
                  <w14:solidFill>
                    <w14:schemeClr w14:val="tx1"/>
                  </w14:solidFill>
                </w14:textFill>
              </w:rPr>
              <w:t>3</w:t>
            </w:r>
            <w:r>
              <w:rPr>
                <w:rFonts w:hint="default" w:ascii="Times New Roman" w:hAnsi="Times New Roman" w:eastAsia="宋体" w:cs="Times New Roman"/>
                <w:b w:val="0"/>
                <w:bCs/>
                <w:color w:val="000000" w:themeColor="text1"/>
                <w:sz w:val="24"/>
                <w:szCs w:val="24"/>
                <w:highlight w:val="none"/>
                <w:u w:val="none" w:color="auto"/>
                <w14:textFill>
                  <w14:solidFill>
                    <w14:schemeClr w14:val="tx1"/>
                  </w14:solidFill>
                </w14:textFill>
              </w:rPr>
              <w:t>/d</w:t>
            </w:r>
            <w:r>
              <w:rPr>
                <w:rFonts w:hint="eastAsia" w:cs="Times New Roman"/>
                <w:b w:val="0"/>
                <w:bCs/>
                <w:color w:val="000000" w:themeColor="text1"/>
                <w:sz w:val="24"/>
                <w:szCs w:val="24"/>
                <w:highlight w:val="none"/>
                <w:u w:val="none" w:color="auto"/>
                <w:lang w:eastAsia="zh-CN"/>
                <w14:textFill>
                  <w14:solidFill>
                    <w14:schemeClr w14:val="tx1"/>
                  </w14:solidFill>
                </w14:textFill>
              </w:rPr>
              <w:t>（</w:t>
            </w:r>
            <w:r>
              <w:rPr>
                <w:rFonts w:hint="eastAsia" w:cs="Times New Roman"/>
                <w:b w:val="0"/>
                <w:bCs/>
                <w:color w:val="000000" w:themeColor="text1"/>
                <w:sz w:val="24"/>
                <w:szCs w:val="24"/>
                <w:highlight w:val="none"/>
                <w:u w:val="none" w:color="auto"/>
                <w:lang w:val="en-US" w:eastAsia="zh-CN"/>
                <w14:textFill>
                  <w14:solidFill>
                    <w14:schemeClr w14:val="tx1"/>
                  </w14:solidFill>
                </w14:textFill>
              </w:rPr>
              <w:t>240</w:t>
            </w:r>
            <w:r>
              <w:rPr>
                <w:rFonts w:hint="default" w:ascii="Times New Roman" w:hAnsi="Times New Roman" w:eastAsia="宋体" w:cs="Times New Roman"/>
                <w:b w:val="0"/>
                <w:bCs/>
                <w:color w:val="000000" w:themeColor="text1"/>
                <w:sz w:val="24"/>
                <w:szCs w:val="24"/>
                <w:highlight w:val="none"/>
                <w:u w:val="none" w:color="auto"/>
                <w14:textFill>
                  <w14:solidFill>
                    <w14:schemeClr w14:val="tx1"/>
                  </w14:solidFill>
                </w14:textFill>
              </w:rPr>
              <w:t>m</w:t>
            </w:r>
            <w:r>
              <w:rPr>
                <w:rFonts w:hint="default" w:ascii="Times New Roman" w:hAnsi="Times New Roman" w:eastAsia="宋体" w:cs="Times New Roman"/>
                <w:b w:val="0"/>
                <w:bCs/>
                <w:color w:val="000000" w:themeColor="text1"/>
                <w:sz w:val="24"/>
                <w:szCs w:val="24"/>
                <w:highlight w:val="none"/>
                <w:u w:val="none" w:color="auto"/>
                <w:vertAlign w:val="superscript"/>
                <w14:textFill>
                  <w14:solidFill>
                    <w14:schemeClr w14:val="tx1"/>
                  </w14:solidFill>
                </w14:textFill>
              </w:rPr>
              <w:t>3</w:t>
            </w:r>
            <w:r>
              <w:rPr>
                <w:rFonts w:hint="default" w:ascii="Times New Roman" w:hAnsi="Times New Roman" w:eastAsia="宋体" w:cs="Times New Roman"/>
                <w:b w:val="0"/>
                <w:bCs/>
                <w:color w:val="000000" w:themeColor="text1"/>
                <w:sz w:val="24"/>
                <w:szCs w:val="24"/>
                <w:highlight w:val="none"/>
                <w:u w:val="none" w:color="auto"/>
                <w14:textFill>
                  <w14:solidFill>
                    <w14:schemeClr w14:val="tx1"/>
                  </w14:solidFill>
                </w14:textFill>
              </w:rPr>
              <w:t>/</w:t>
            </w:r>
            <w:r>
              <w:rPr>
                <w:rFonts w:hint="eastAsia" w:eastAsia="宋体" w:cs="Times New Roman"/>
                <w:b w:val="0"/>
                <w:bCs/>
                <w:color w:val="000000" w:themeColor="text1"/>
                <w:sz w:val="24"/>
                <w:szCs w:val="24"/>
                <w:highlight w:val="none"/>
                <w:u w:val="none" w:color="auto"/>
                <w:lang w:val="en-US" w:eastAsia="zh-CN"/>
                <w14:textFill>
                  <w14:solidFill>
                    <w14:schemeClr w14:val="tx1"/>
                  </w14:solidFill>
                </w14:textFill>
              </w:rPr>
              <w:t>a</w:t>
            </w:r>
            <w:r>
              <w:rPr>
                <w:rFonts w:hint="eastAsia" w:cs="Times New Roman"/>
                <w:b w:val="0"/>
                <w:bCs/>
                <w:color w:val="000000" w:themeColor="text1"/>
                <w:sz w:val="24"/>
                <w:szCs w:val="24"/>
                <w:highlight w:val="none"/>
                <w:u w:val="none" w:color="auto"/>
                <w:lang w:eastAsia="zh-CN"/>
                <w14:textFill>
                  <w14:solidFill>
                    <w14:schemeClr w14:val="tx1"/>
                  </w14:solidFill>
                </w14:textFill>
              </w:rPr>
              <w:t>）</w:t>
            </w:r>
            <w:r>
              <w:rPr>
                <w:rFonts w:hint="default" w:ascii="Times New Roman" w:hAnsi="Times New Roman" w:eastAsia="宋体" w:cs="Times New Roman"/>
                <w:b w:val="0"/>
                <w:bCs/>
                <w:color w:val="000000" w:themeColor="text1"/>
                <w:sz w:val="24"/>
                <w:szCs w:val="24"/>
                <w:highlight w:val="none"/>
                <w:u w:val="none" w:color="auto"/>
                <w:lang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废水中主要污染物为COD、BOD</w:t>
            </w:r>
            <w:r>
              <w:rPr>
                <w:rFonts w:hint="default" w:ascii="Times New Roman" w:hAnsi="Times New Roman" w:eastAsia="宋体" w:cs="Times New Roman"/>
                <w:color w:val="000000" w:themeColor="text1"/>
                <w:sz w:val="24"/>
                <w:szCs w:val="24"/>
                <w:highlight w:val="none"/>
                <w:u w:val="none" w:color="auto"/>
                <w:vertAlign w:val="subscript"/>
                <w14:textFill>
                  <w14:solidFill>
                    <w14:schemeClr w14:val="tx1"/>
                  </w14:solidFill>
                </w14:textFill>
              </w:rPr>
              <w:t>5</w:t>
            </w: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、NH</w:t>
            </w:r>
            <w:r>
              <w:rPr>
                <w:rFonts w:hint="default" w:ascii="Times New Roman" w:hAnsi="Times New Roman" w:eastAsia="宋体" w:cs="Times New Roman"/>
                <w:color w:val="000000" w:themeColor="text1"/>
                <w:sz w:val="24"/>
                <w:szCs w:val="24"/>
                <w:highlight w:val="none"/>
                <w:u w:val="none" w:color="auto"/>
                <w:vertAlign w:val="subscript"/>
                <w14:textFill>
                  <w14:solidFill>
                    <w14:schemeClr w14:val="tx1"/>
                  </w14:solidFill>
                </w14:textFill>
              </w:rPr>
              <w:t>3</w:t>
            </w: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-N、SS，产生浓度分别为350mg/L、250mg/L、30mg/L、280mg/L</w:t>
            </w:r>
            <w:r>
              <w:rPr>
                <w:rFonts w:hint="default" w:ascii="Times New Roman" w:hAnsi="Times New Roman" w:eastAsia="宋体" w:cs="Times New Roman"/>
                <w:color w:val="000000" w:themeColor="text1"/>
                <w:sz w:val="24"/>
                <w:szCs w:val="24"/>
                <w:highlight w:val="none"/>
                <w:u w:val="none" w:color="auto"/>
                <w:lang w:eastAsia="zh-CN"/>
                <w14:textFill>
                  <w14:solidFill>
                    <w14:schemeClr w14:val="tx1"/>
                  </w14:solidFill>
                </w14:textFill>
              </w:rPr>
              <w:t>。</w:t>
            </w:r>
            <w:r>
              <w:rPr>
                <w:rFonts w:hint="default" w:ascii="Times New Roman" w:hAnsi="Times New Roman" w:eastAsia="宋体" w:cs="Times New Roman"/>
                <w:color w:val="000000" w:themeColor="text1"/>
                <w:kern w:val="0"/>
                <w:sz w:val="24"/>
                <w:szCs w:val="24"/>
                <w:highlight w:val="none"/>
                <w:u w:val="none" w:color="auto"/>
                <w:lang w:val="en-US" w:eastAsia="zh-CN"/>
                <w14:textFill>
                  <w14:solidFill>
                    <w14:schemeClr w14:val="tx1"/>
                  </w14:solidFill>
                </w14:textFill>
              </w:rPr>
              <w:t>项目生活污水</w:t>
            </w:r>
            <w:r>
              <w:rPr>
                <w:rFonts w:hint="default" w:ascii="Times New Roman" w:hAnsi="Times New Roman" w:eastAsia="宋体" w:cs="Times New Roman"/>
                <w:b w:val="0"/>
                <w:bCs/>
                <w:color w:val="000000" w:themeColor="text1"/>
                <w:sz w:val="24"/>
                <w:szCs w:val="24"/>
                <w:highlight w:val="none"/>
                <w:u w:val="none" w:color="auto"/>
                <w14:textFill>
                  <w14:solidFill>
                    <w14:schemeClr w14:val="tx1"/>
                  </w14:solidFill>
                </w14:textFill>
              </w:rPr>
              <w:t>经化粪池（容积</w:t>
            </w:r>
            <w:r>
              <w:rPr>
                <w:rFonts w:hint="eastAsia" w:ascii="Times New Roman" w:hAnsi="Times New Roman" w:eastAsia="宋体" w:cs="Times New Roman"/>
                <w:b w:val="0"/>
                <w:bCs/>
                <w:color w:val="000000" w:themeColor="text1"/>
                <w:sz w:val="24"/>
                <w:szCs w:val="24"/>
                <w:highlight w:val="none"/>
                <w:u w:val="none" w:color="auto"/>
                <w:lang w:val="en-US" w:eastAsia="zh-CN"/>
                <w14:textFill>
                  <w14:solidFill>
                    <w14:schemeClr w14:val="tx1"/>
                  </w14:solidFill>
                </w14:textFill>
              </w:rPr>
              <w:t>10</w:t>
            </w:r>
            <w:r>
              <w:rPr>
                <w:rFonts w:hint="default" w:ascii="Times New Roman" w:hAnsi="Times New Roman" w:eastAsia="宋体" w:cs="Times New Roman"/>
                <w:b w:val="0"/>
                <w:bCs/>
                <w:color w:val="000000" w:themeColor="text1"/>
                <w:sz w:val="24"/>
                <w:szCs w:val="24"/>
                <w:highlight w:val="none"/>
                <w:u w:val="none" w:color="auto"/>
                <w:lang w:eastAsia="zh-CN"/>
                <w14:textFill>
                  <w14:solidFill>
                    <w14:schemeClr w14:val="tx1"/>
                  </w14:solidFill>
                </w14:textFill>
              </w:rPr>
              <w:t>m</w:t>
            </w:r>
            <w:r>
              <w:rPr>
                <w:rFonts w:hint="default" w:ascii="Times New Roman" w:hAnsi="Times New Roman" w:eastAsia="宋体" w:cs="Times New Roman"/>
                <w:b w:val="0"/>
                <w:bCs/>
                <w:color w:val="000000" w:themeColor="text1"/>
                <w:sz w:val="24"/>
                <w:szCs w:val="24"/>
                <w:highlight w:val="none"/>
                <w:u w:val="none" w:color="auto"/>
                <w:vertAlign w:val="superscript"/>
                <w14:textFill>
                  <w14:solidFill>
                    <w14:schemeClr w14:val="tx1"/>
                  </w14:solidFill>
                </w14:textFill>
              </w:rPr>
              <w:t>3</w:t>
            </w:r>
            <w:r>
              <w:rPr>
                <w:rFonts w:hint="default" w:ascii="Times New Roman" w:hAnsi="Times New Roman" w:eastAsia="宋体" w:cs="Times New Roman"/>
                <w:b w:val="0"/>
                <w:bCs/>
                <w:color w:val="000000" w:themeColor="text1"/>
                <w:sz w:val="24"/>
                <w:szCs w:val="24"/>
                <w:highlight w:val="none"/>
                <w:u w:val="none" w:color="auto"/>
                <w:lang w:eastAsia="zh-CN"/>
                <w14:textFill>
                  <w14:solidFill>
                    <w14:schemeClr w14:val="tx1"/>
                  </w14:solidFill>
                </w14:textFill>
              </w:rPr>
              <w:t>，</w:t>
            </w:r>
            <w:r>
              <w:rPr>
                <w:rFonts w:hint="default" w:ascii="Times New Roman" w:hAnsi="Times New Roman" w:eastAsia="宋体" w:cs="Times New Roman"/>
                <w:b w:val="0"/>
                <w:bCs/>
                <w:color w:val="000000" w:themeColor="text1"/>
                <w:sz w:val="24"/>
                <w:szCs w:val="24"/>
                <w:highlight w:val="none"/>
                <w:u w:val="none" w:color="auto"/>
                <w:lang w:val="en-US" w:eastAsia="zh-CN"/>
                <w14:textFill>
                  <w14:solidFill>
                    <w14:schemeClr w14:val="tx1"/>
                  </w14:solidFill>
                </w14:textFill>
              </w:rPr>
              <w:t>三防措施</w:t>
            </w:r>
            <w:r>
              <w:rPr>
                <w:rFonts w:hint="default" w:ascii="Times New Roman" w:hAnsi="Times New Roman" w:eastAsia="宋体" w:cs="Times New Roman"/>
                <w:b w:val="0"/>
                <w:bCs/>
                <w:color w:val="000000" w:themeColor="text1"/>
                <w:sz w:val="24"/>
                <w:szCs w:val="24"/>
                <w:highlight w:val="none"/>
                <w:u w:val="none" w:color="auto"/>
                <w14:textFill>
                  <w14:solidFill>
                    <w14:schemeClr w14:val="tx1"/>
                  </w14:solidFill>
                </w14:textFill>
              </w:rPr>
              <w:t>）处理后，用于周边农田施肥，资源化利用不外排。</w:t>
            </w:r>
          </w:p>
          <w:p w14:paraId="167149B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outlineLvl w:val="9"/>
              <w:rPr>
                <w:rFonts w:hint="default" w:ascii="Times New Roman" w:hAnsi="Times New Roman" w:cs="Times New Roman"/>
                <w:color w:val="000000" w:themeColor="text1"/>
                <w:kern w:val="0"/>
                <w:sz w:val="24"/>
                <w:szCs w:val="24"/>
                <w:highlight w:val="none"/>
                <w:u w:val="none" w:color="auto"/>
                <w:lang w:val="en-US" w:eastAsia="zh-CN"/>
                <w14:textFill>
                  <w14:solidFill>
                    <w14:schemeClr w14:val="tx1"/>
                  </w14:solidFill>
                </w14:textFill>
              </w:rPr>
            </w:pPr>
            <w:r>
              <w:rPr>
                <w:rFonts w:hint="default" w:ascii="Times New Roman" w:hAnsi="Times New Roman" w:cs="Times New Roman"/>
                <w:b w:val="0"/>
                <w:bCs/>
                <w:color w:val="000000" w:themeColor="text1"/>
                <w:sz w:val="24"/>
                <w:szCs w:val="24"/>
                <w:highlight w:val="none"/>
                <w:u w:val="none" w:color="auto"/>
                <w:lang w:eastAsia="zh-CN"/>
                <w14:textFill>
                  <w14:solidFill>
                    <w14:schemeClr w14:val="tx1"/>
                  </w14:solidFill>
                </w14:textFill>
              </w:rPr>
              <w:t>（</w:t>
            </w:r>
            <w:r>
              <w:rPr>
                <w:rFonts w:hint="default" w:ascii="Times New Roman" w:hAnsi="Times New Roman" w:cs="Times New Roman"/>
                <w:b w:val="0"/>
                <w:bCs/>
                <w:color w:val="000000" w:themeColor="text1"/>
                <w:sz w:val="24"/>
                <w:szCs w:val="24"/>
                <w:highlight w:val="none"/>
                <w:u w:val="none" w:color="auto"/>
                <w:lang w:val="en-US" w:eastAsia="zh-CN"/>
                <w14:textFill>
                  <w14:solidFill>
                    <w14:schemeClr w14:val="tx1"/>
                  </w14:solidFill>
                </w14:textFill>
              </w:rPr>
              <w:t>2</w:t>
            </w:r>
            <w:r>
              <w:rPr>
                <w:rFonts w:hint="default" w:ascii="Times New Roman" w:hAnsi="Times New Roman" w:cs="Times New Roman"/>
                <w:b w:val="0"/>
                <w:bCs/>
                <w:color w:val="000000" w:themeColor="text1"/>
                <w:sz w:val="24"/>
                <w:szCs w:val="24"/>
                <w:highlight w:val="none"/>
                <w:u w:val="none" w:color="auto"/>
                <w:lang w:eastAsia="zh-CN"/>
                <w14:textFill>
                  <w14:solidFill>
                    <w14:schemeClr w14:val="tx1"/>
                  </w14:solidFill>
                </w14:textFill>
              </w:rPr>
              <w:t>）</w:t>
            </w:r>
            <w:r>
              <w:rPr>
                <w:rFonts w:hint="default" w:ascii="Times New Roman" w:hAnsi="Times New Roman" w:cs="Times New Roman"/>
                <w:color w:val="000000" w:themeColor="text1"/>
                <w:kern w:val="0"/>
                <w:sz w:val="24"/>
                <w:szCs w:val="24"/>
                <w:highlight w:val="none"/>
                <w:u w:val="none" w:color="auto"/>
                <w:lang w:val="en-US" w:eastAsia="zh-CN"/>
                <w14:textFill>
                  <w14:solidFill>
                    <w14:schemeClr w14:val="tx1"/>
                  </w14:solidFill>
                </w14:textFill>
              </w:rPr>
              <w:t>冷却用水</w:t>
            </w:r>
          </w:p>
          <w:p w14:paraId="1EAC17D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outlineLvl w:val="9"/>
              <w:rPr>
                <w:rFonts w:hint="default" w:ascii="Times New Roman" w:hAnsi="Times New Roman" w:eastAsia="瀹嬩綋" w:cs="Times New Roman"/>
                <w:color w:val="000000" w:themeColor="text1"/>
                <w:kern w:val="0"/>
                <w:sz w:val="24"/>
                <w:szCs w:val="24"/>
                <w:highlight w:val="none"/>
                <w:u w:val="none" w:color="auto"/>
                <w:lang w:val="en-US" w:eastAsia="zh-CN" w:bidi="ar"/>
                <w14:textFill>
                  <w14:solidFill>
                    <w14:schemeClr w14:val="tx1"/>
                  </w14:solidFill>
                </w14:textFill>
              </w:rPr>
            </w:pPr>
            <w:r>
              <w:rPr>
                <w:rFonts w:hint="default" w:ascii="Times New Roman" w:hAnsi="Times New Roman" w:eastAsia="瀹嬩綋" w:cs="Times New Roman"/>
                <w:color w:val="000000" w:themeColor="text1"/>
                <w:kern w:val="0"/>
                <w:sz w:val="24"/>
                <w:szCs w:val="24"/>
                <w:highlight w:val="none"/>
                <w:u w:val="none" w:color="auto"/>
                <w:lang w:val="en-US" w:eastAsia="zh-CN" w:bidi="ar"/>
                <w14:textFill>
                  <w14:solidFill>
                    <w14:schemeClr w14:val="tx1"/>
                  </w14:solidFill>
                </w14:textFill>
              </w:rPr>
              <w:t>①冷凝用水：项目炭化窑烟气通过冷凝器间接冷凝处理，本项目设置4台冷凝器，每台冷凝器循环水量为</w:t>
            </w:r>
            <w:r>
              <w:rPr>
                <w:rFonts w:hint="eastAsia" w:ascii="Times New Roman" w:hAnsi="Times New Roman" w:eastAsia="宋体" w:cs="Times New Roman"/>
                <w:color w:val="000000" w:themeColor="text1"/>
                <w:kern w:val="0"/>
                <w:sz w:val="24"/>
                <w:szCs w:val="24"/>
                <w:highlight w:val="none"/>
                <w:u w:val="none" w:color="auto"/>
                <w:lang w:val="en-US" w:eastAsia="zh-CN" w:bidi="ar"/>
                <w14:textFill>
                  <w14:solidFill>
                    <w14:schemeClr w14:val="tx1"/>
                  </w14:solidFill>
                </w14:textFill>
              </w:rPr>
              <w:t>8</w:t>
            </w:r>
            <w:r>
              <w:rPr>
                <w:rFonts w:hint="default" w:ascii="Times New Roman" w:hAnsi="Times New Roman" w:eastAsia="宋体" w:cs="Times New Roman"/>
                <w:color w:val="000000" w:themeColor="text1"/>
                <w:kern w:val="0"/>
                <w:sz w:val="24"/>
                <w:szCs w:val="24"/>
                <w:highlight w:val="none"/>
                <w:u w:val="none" w:color="auto"/>
                <w:lang w:val="en-US" w:eastAsia="zh-CN" w:bidi="ar"/>
                <w14:textFill>
                  <w14:solidFill>
                    <w14:schemeClr w14:val="tx1"/>
                  </w14:solidFill>
                </w14:textFill>
              </w:rPr>
              <w:t>0t/d</w:t>
            </w:r>
            <w:r>
              <w:rPr>
                <w:rFonts w:hint="default" w:ascii="Times New Roman" w:hAnsi="Times New Roman" w:eastAsia="瀹嬩綋" w:cs="Times New Roman"/>
                <w:color w:val="000000" w:themeColor="text1"/>
                <w:kern w:val="0"/>
                <w:sz w:val="24"/>
                <w:szCs w:val="24"/>
                <w:highlight w:val="none"/>
                <w:u w:val="none" w:color="auto"/>
                <w:lang w:val="en-US" w:eastAsia="zh-CN" w:bidi="ar"/>
                <w14:textFill>
                  <w14:solidFill>
                    <w14:schemeClr w14:val="tx1"/>
                  </w14:solidFill>
                </w14:textFill>
              </w:rPr>
              <w:t>，由于冷却水循环使用不外排，仅需定期补充蒸发损耗即可，冷却水蒸发损耗按</w:t>
            </w:r>
            <w:r>
              <w:rPr>
                <w:rFonts w:hint="default" w:ascii="Times New Roman" w:hAnsi="Times New Roman" w:eastAsia="宋体" w:cs="Times New Roman"/>
                <w:color w:val="000000" w:themeColor="text1"/>
                <w:kern w:val="0"/>
                <w:sz w:val="24"/>
                <w:szCs w:val="24"/>
                <w:highlight w:val="none"/>
                <w:u w:val="none" w:color="auto"/>
                <w:lang w:val="en-US" w:eastAsia="zh-CN" w:bidi="ar"/>
                <w14:textFill>
                  <w14:solidFill>
                    <w14:schemeClr w14:val="tx1"/>
                  </w14:solidFill>
                </w14:textFill>
              </w:rPr>
              <w:t>1%</w:t>
            </w:r>
            <w:r>
              <w:rPr>
                <w:rFonts w:hint="default" w:ascii="Times New Roman" w:hAnsi="Times New Roman" w:eastAsia="瀹嬩綋" w:cs="Times New Roman"/>
                <w:color w:val="000000" w:themeColor="text1"/>
                <w:kern w:val="0"/>
                <w:sz w:val="24"/>
                <w:szCs w:val="24"/>
                <w:highlight w:val="none"/>
                <w:u w:val="none" w:color="auto"/>
                <w:lang w:val="en-US" w:eastAsia="zh-CN" w:bidi="ar"/>
                <w14:textFill>
                  <w14:solidFill>
                    <w14:schemeClr w14:val="tx1"/>
                  </w14:solidFill>
                </w14:textFill>
              </w:rPr>
              <w:t>计，则</w:t>
            </w:r>
            <w:r>
              <w:rPr>
                <w:rFonts w:hint="eastAsia" w:ascii="Times New Roman" w:hAnsi="Times New Roman" w:eastAsia="瀹嬩綋" w:cs="Times New Roman"/>
                <w:color w:val="000000" w:themeColor="text1"/>
                <w:kern w:val="0"/>
                <w:sz w:val="24"/>
                <w:szCs w:val="24"/>
                <w:highlight w:val="none"/>
                <w:u w:val="none" w:color="auto"/>
                <w:lang w:val="en-US" w:eastAsia="zh-CN" w:bidi="ar"/>
                <w14:textFill>
                  <w14:solidFill>
                    <w14:schemeClr w14:val="tx1"/>
                  </w14:solidFill>
                </w14:textFill>
              </w:rPr>
              <w:t>4</w:t>
            </w:r>
            <w:r>
              <w:rPr>
                <w:rFonts w:hint="default" w:ascii="Times New Roman" w:hAnsi="Times New Roman" w:eastAsia="瀹嬩綋" w:cs="Times New Roman"/>
                <w:color w:val="000000" w:themeColor="text1"/>
                <w:kern w:val="0"/>
                <w:sz w:val="24"/>
                <w:szCs w:val="24"/>
                <w:highlight w:val="none"/>
                <w:u w:val="none" w:color="auto"/>
                <w:lang w:val="en-US" w:eastAsia="zh-CN" w:bidi="ar"/>
                <w14:textFill>
                  <w14:solidFill>
                    <w14:schemeClr w14:val="tx1"/>
                  </w14:solidFill>
                </w14:textFill>
              </w:rPr>
              <w:t>台需补充冷却水的量为</w:t>
            </w:r>
            <w:r>
              <w:rPr>
                <w:rFonts w:hint="eastAsia" w:ascii="Times New Roman" w:hAnsi="Times New Roman" w:eastAsia="瀹嬩綋" w:cs="Times New Roman"/>
                <w:color w:val="000000" w:themeColor="text1"/>
                <w:kern w:val="0"/>
                <w:sz w:val="24"/>
                <w:szCs w:val="24"/>
                <w:highlight w:val="none"/>
                <w:u w:val="none" w:color="auto"/>
                <w:lang w:val="en-US" w:eastAsia="zh-CN" w:bidi="ar"/>
                <w14:textFill>
                  <w14:solidFill>
                    <w14:schemeClr w14:val="tx1"/>
                  </w14:solidFill>
                </w14:textFill>
              </w:rPr>
              <w:t>3.</w:t>
            </w:r>
            <w:r>
              <w:rPr>
                <w:rFonts w:hint="default" w:ascii="Times New Roman" w:hAnsi="Times New Roman" w:eastAsia="宋体" w:cs="Times New Roman"/>
                <w:color w:val="000000" w:themeColor="text1"/>
                <w:kern w:val="0"/>
                <w:sz w:val="24"/>
                <w:szCs w:val="24"/>
                <w:highlight w:val="none"/>
                <w:u w:val="none" w:color="auto"/>
                <w:lang w:val="en-US" w:eastAsia="zh-CN" w:bidi="ar"/>
                <w14:textFill>
                  <w14:solidFill>
                    <w14:schemeClr w14:val="tx1"/>
                  </w14:solidFill>
                </w14:textFill>
              </w:rPr>
              <w:t>2t/d</w:t>
            </w:r>
            <w:r>
              <w:rPr>
                <w:rFonts w:hint="default" w:ascii="Times New Roman" w:hAnsi="Times New Roman" w:eastAsia="瀹嬩綋" w:cs="Times New Roman"/>
                <w:color w:val="000000" w:themeColor="text1"/>
                <w:kern w:val="0"/>
                <w:sz w:val="24"/>
                <w:szCs w:val="24"/>
                <w:highlight w:val="none"/>
                <w:u w:val="none" w:color="auto"/>
                <w:lang w:val="en-US" w:eastAsia="zh-CN" w:bidi="ar"/>
                <w14:textFill>
                  <w14:solidFill>
                    <w14:schemeClr w14:val="tx1"/>
                  </w14:solidFill>
                </w14:textFill>
              </w:rPr>
              <w:t>，</w:t>
            </w:r>
            <w:r>
              <w:rPr>
                <w:rFonts w:hint="eastAsia" w:ascii="Times New Roman" w:hAnsi="Times New Roman" w:eastAsia="宋体" w:cs="Times New Roman"/>
                <w:color w:val="000000" w:themeColor="text1"/>
                <w:kern w:val="0"/>
                <w:sz w:val="24"/>
                <w:szCs w:val="24"/>
                <w:highlight w:val="none"/>
                <w:u w:val="none" w:color="auto"/>
                <w:lang w:val="en-US" w:eastAsia="zh-CN" w:bidi="ar"/>
                <w14:textFill>
                  <w14:solidFill>
                    <w14:schemeClr w14:val="tx1"/>
                  </w14:solidFill>
                </w14:textFill>
              </w:rPr>
              <w:t>96</w:t>
            </w:r>
            <w:r>
              <w:rPr>
                <w:rFonts w:hint="default" w:ascii="Times New Roman" w:hAnsi="Times New Roman" w:eastAsia="宋体" w:cs="Times New Roman"/>
                <w:color w:val="000000" w:themeColor="text1"/>
                <w:kern w:val="0"/>
                <w:sz w:val="24"/>
                <w:szCs w:val="24"/>
                <w:highlight w:val="none"/>
                <w:u w:val="none" w:color="auto"/>
                <w:lang w:val="en-US" w:eastAsia="zh-CN" w:bidi="ar"/>
                <w14:textFill>
                  <w14:solidFill>
                    <w14:schemeClr w14:val="tx1"/>
                  </w14:solidFill>
                </w14:textFill>
              </w:rPr>
              <w:t>0t/a</w:t>
            </w:r>
            <w:r>
              <w:rPr>
                <w:rFonts w:hint="default" w:ascii="Times New Roman" w:hAnsi="Times New Roman" w:eastAsia="瀹嬩綋" w:cs="Times New Roman"/>
                <w:color w:val="000000" w:themeColor="text1"/>
                <w:kern w:val="0"/>
                <w:sz w:val="24"/>
                <w:szCs w:val="24"/>
                <w:highlight w:val="none"/>
                <w:u w:val="none" w:color="auto"/>
                <w:lang w:val="en-US" w:eastAsia="zh-CN" w:bidi="ar"/>
                <w14:textFill>
                  <w14:solidFill>
                    <w14:schemeClr w14:val="tx1"/>
                  </w14:solidFill>
                </w14:textFill>
              </w:rPr>
              <w:t>。</w:t>
            </w:r>
          </w:p>
          <w:p w14:paraId="0A4CF4B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outlineLvl w:val="9"/>
              <w:rPr>
                <w:rFonts w:hint="default" w:ascii="Times New Roman" w:hAnsi="Times New Roman" w:eastAsia="宋体" w:cs="Times New Roman"/>
                <w:color w:val="000000" w:themeColor="text1"/>
                <w:kern w:val="0"/>
                <w:sz w:val="24"/>
                <w:szCs w:val="24"/>
                <w:highlight w:val="none"/>
                <w:u w:val="none" w:color="auto"/>
                <w:lang w:val="en-US" w:eastAsia="zh-CN" w:bidi="ar"/>
                <w14:textFill>
                  <w14:solidFill>
                    <w14:schemeClr w14:val="tx1"/>
                  </w14:solidFill>
                </w14:textFill>
              </w:rPr>
            </w:pPr>
            <w:r>
              <w:rPr>
                <w:rFonts w:hint="default" w:ascii="Times New Roman" w:hAnsi="Times New Roman" w:eastAsia="瀹嬩綋" w:cs="Times New Roman"/>
                <w:color w:val="000000" w:themeColor="text1"/>
                <w:kern w:val="0"/>
                <w:sz w:val="24"/>
                <w:szCs w:val="24"/>
                <w:highlight w:val="none"/>
                <w:u w:val="none" w:color="auto"/>
                <w:lang w:val="en-US" w:eastAsia="zh-CN" w:bidi="ar"/>
                <w14:textFill>
                  <w14:solidFill>
                    <w14:schemeClr w14:val="tx1"/>
                  </w14:solidFill>
                </w14:textFill>
              </w:rPr>
              <w:t>②沙池冷却用水：机制炭生产线炭化炉</w:t>
            </w:r>
            <w:r>
              <w:rPr>
                <w:rFonts w:hint="default" w:ascii="Times New Roman" w:hAnsi="Times New Roman" w:eastAsia="宋体" w:cs="Times New Roman"/>
                <w:color w:val="000000" w:themeColor="text1"/>
                <w:kern w:val="0"/>
                <w:sz w:val="24"/>
                <w:szCs w:val="24"/>
                <w:highlight w:val="none"/>
                <w:u w:val="none" w:color="auto"/>
                <w:lang w:val="en-US" w:eastAsia="zh-CN" w:bidi="ar"/>
                <w14:textFill>
                  <w14:solidFill>
                    <w14:schemeClr w14:val="tx1"/>
                  </w14:solidFill>
                </w14:textFill>
              </w:rPr>
              <w:t>炭化完成后的炭棒，置于冷却沙池</w:t>
            </w:r>
            <w:r>
              <w:rPr>
                <w:rFonts w:hint="default" w:ascii="Times New Roman" w:hAnsi="Times New Roman" w:cs="Times New Roman"/>
                <w:color w:val="000000" w:themeColor="text1"/>
                <w:kern w:val="0"/>
                <w:sz w:val="24"/>
                <w:szCs w:val="24"/>
                <w:highlight w:val="none"/>
                <w:u w:val="none" w:color="auto"/>
                <w:lang w:val="en-US" w:eastAsia="zh-CN" w:bidi="ar"/>
                <w14:textFill>
                  <w14:solidFill>
                    <w14:schemeClr w14:val="tx1"/>
                  </w14:solidFill>
                </w14:textFill>
              </w:rPr>
              <w:t>（湿沙）</w:t>
            </w:r>
            <w:r>
              <w:rPr>
                <w:rFonts w:hint="default" w:ascii="Times New Roman" w:hAnsi="Times New Roman" w:eastAsia="宋体" w:cs="Times New Roman"/>
                <w:color w:val="000000" w:themeColor="text1"/>
                <w:kern w:val="0"/>
                <w:sz w:val="24"/>
                <w:szCs w:val="24"/>
                <w:highlight w:val="none"/>
                <w:u w:val="none" w:color="auto"/>
                <w:lang w:val="en-US" w:eastAsia="zh-CN" w:bidi="ar"/>
                <w14:textFill>
                  <w14:solidFill>
                    <w14:schemeClr w14:val="tx1"/>
                  </w14:solidFill>
                </w14:textFill>
              </w:rPr>
              <w:t>，盖上方形窒息桶冷却。根据建设单位提供资料，沙池冷却需要水量为2m</w:t>
            </w:r>
            <w:r>
              <w:rPr>
                <w:rFonts w:hint="default" w:ascii="Times New Roman" w:hAnsi="Times New Roman" w:eastAsia="宋体" w:cs="Times New Roman"/>
                <w:color w:val="000000" w:themeColor="text1"/>
                <w:kern w:val="0"/>
                <w:sz w:val="24"/>
                <w:szCs w:val="24"/>
                <w:highlight w:val="none"/>
                <w:u w:val="none" w:color="auto"/>
                <w:vertAlign w:val="superscript"/>
                <w:lang w:val="en-US" w:eastAsia="zh-CN" w:bidi="ar"/>
                <w14:textFill>
                  <w14:solidFill>
                    <w14:schemeClr w14:val="tx1"/>
                  </w14:solidFill>
                </w14:textFill>
              </w:rPr>
              <w:t>3</w:t>
            </w:r>
            <w:r>
              <w:rPr>
                <w:rFonts w:hint="default" w:ascii="Times New Roman" w:hAnsi="Times New Roman" w:eastAsia="宋体" w:cs="Times New Roman"/>
                <w:color w:val="000000" w:themeColor="text1"/>
                <w:kern w:val="0"/>
                <w:sz w:val="24"/>
                <w:szCs w:val="24"/>
                <w:highlight w:val="none"/>
                <w:u w:val="none" w:color="auto"/>
                <w:lang w:val="en-US" w:eastAsia="zh-CN" w:bidi="ar"/>
                <w14:textFill>
                  <w14:solidFill>
                    <w14:schemeClr w14:val="tx1"/>
                  </w14:solidFill>
                </w14:textFill>
              </w:rPr>
              <w:t>/d，此过程中湿沙水分蒸发，需要定期补充新鲜水。蒸发损耗按50%计算，则蒸发水量为1m</w:t>
            </w:r>
            <w:r>
              <w:rPr>
                <w:rFonts w:hint="default" w:ascii="Times New Roman" w:hAnsi="Times New Roman" w:eastAsia="宋体" w:cs="Times New Roman"/>
                <w:color w:val="000000" w:themeColor="text1"/>
                <w:kern w:val="0"/>
                <w:sz w:val="24"/>
                <w:szCs w:val="24"/>
                <w:highlight w:val="none"/>
                <w:u w:val="none" w:color="auto"/>
                <w:vertAlign w:val="superscript"/>
                <w:lang w:val="en-US" w:eastAsia="zh-CN" w:bidi="ar"/>
                <w14:textFill>
                  <w14:solidFill>
                    <w14:schemeClr w14:val="tx1"/>
                  </w14:solidFill>
                </w14:textFill>
              </w:rPr>
              <w:t>3</w:t>
            </w:r>
            <w:r>
              <w:rPr>
                <w:rFonts w:hint="default" w:ascii="Times New Roman" w:hAnsi="Times New Roman" w:eastAsia="宋体" w:cs="Times New Roman"/>
                <w:color w:val="000000" w:themeColor="text1"/>
                <w:kern w:val="0"/>
                <w:sz w:val="24"/>
                <w:szCs w:val="24"/>
                <w:highlight w:val="none"/>
                <w:u w:val="none" w:color="auto"/>
                <w:lang w:val="en-US" w:eastAsia="zh-CN" w:bidi="ar"/>
                <w14:textFill>
                  <w14:solidFill>
                    <w14:schemeClr w14:val="tx1"/>
                  </w14:solidFill>
                </w14:textFill>
              </w:rPr>
              <w:t>/d，新鲜水补充量为1m</w:t>
            </w:r>
            <w:r>
              <w:rPr>
                <w:rFonts w:hint="default" w:ascii="Times New Roman" w:hAnsi="Times New Roman" w:eastAsia="宋体" w:cs="Times New Roman"/>
                <w:color w:val="000000" w:themeColor="text1"/>
                <w:kern w:val="0"/>
                <w:sz w:val="24"/>
                <w:szCs w:val="24"/>
                <w:highlight w:val="none"/>
                <w:u w:val="none" w:color="auto"/>
                <w:vertAlign w:val="superscript"/>
                <w:lang w:val="en-US" w:eastAsia="zh-CN" w:bidi="ar"/>
                <w14:textFill>
                  <w14:solidFill>
                    <w14:schemeClr w14:val="tx1"/>
                  </w14:solidFill>
                </w14:textFill>
              </w:rPr>
              <w:t>3</w:t>
            </w:r>
            <w:r>
              <w:rPr>
                <w:rFonts w:hint="default" w:ascii="Times New Roman" w:hAnsi="Times New Roman" w:eastAsia="宋体" w:cs="Times New Roman"/>
                <w:color w:val="000000" w:themeColor="text1"/>
                <w:kern w:val="0"/>
                <w:sz w:val="24"/>
                <w:szCs w:val="24"/>
                <w:highlight w:val="none"/>
                <w:u w:val="none" w:color="auto"/>
                <w:lang w:val="en-US" w:eastAsia="zh-CN" w:bidi="ar"/>
                <w14:textFill>
                  <w14:solidFill>
                    <w14:schemeClr w14:val="tx1"/>
                  </w14:solidFill>
                </w14:textFill>
              </w:rPr>
              <w:t>/d（300t/a）。</w:t>
            </w:r>
          </w:p>
          <w:p w14:paraId="36C24DA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outlineLvl w:val="9"/>
              <w:rPr>
                <w:rFonts w:hint="default" w:ascii="Times New Roman" w:hAnsi="Times New Roman" w:eastAsia="宋体" w:cs="Times New Roman"/>
                <w:b w:val="0"/>
                <w:bCs w:val="0"/>
                <w:color w:val="000000" w:themeColor="text1"/>
                <w:kern w:val="0"/>
                <w:sz w:val="24"/>
                <w:szCs w:val="24"/>
                <w:u w:val="none"/>
                <w:lang w:val="en-US" w:eastAsia="zh-CN" w:bidi="ar"/>
                <w14:textFill>
                  <w14:solidFill>
                    <w14:schemeClr w14:val="tx1"/>
                  </w14:solidFill>
                </w14:textFill>
              </w:rPr>
            </w:pPr>
            <w:r>
              <w:rPr>
                <w:rFonts w:hint="default" w:ascii="Times New Roman" w:hAnsi="Times New Roman" w:cs="Times New Roman"/>
                <w:color w:val="000000" w:themeColor="text1"/>
                <w:kern w:val="0"/>
                <w:sz w:val="24"/>
                <w:szCs w:val="24"/>
                <w:highlight w:val="none"/>
                <w:u w:val="none"/>
                <w:lang w:val="en-US" w:eastAsia="zh-CN" w:bidi="ar"/>
                <w14:textFill>
                  <w14:solidFill>
                    <w14:schemeClr w14:val="tx1"/>
                  </w14:solidFill>
                </w14:textFill>
              </w:rPr>
              <w:t>（3）喷淋塔用水</w:t>
            </w:r>
          </w:p>
          <w:p w14:paraId="586081D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outlineLvl w:val="9"/>
              <w:rPr>
                <w:rFonts w:hint="default" w:ascii="Times New Roman" w:hAnsi="Times New Roman" w:cs="Times New Roman"/>
                <w:b w:val="0"/>
                <w:bCs w:val="0"/>
                <w:color w:val="000000" w:themeColor="text1"/>
                <w:u w:val="none"/>
                <w14:textFill>
                  <w14:solidFill>
                    <w14:schemeClr w14:val="tx1"/>
                  </w14:solidFill>
                </w14:textFill>
              </w:rPr>
            </w:pPr>
            <w:r>
              <w:rPr>
                <w:rFonts w:hint="default" w:ascii="Times New Roman" w:hAnsi="Times New Roman" w:eastAsia="宋体" w:cs="Times New Roman"/>
                <w:b w:val="0"/>
                <w:bCs w:val="0"/>
                <w:color w:val="000000" w:themeColor="text1"/>
                <w:kern w:val="0"/>
                <w:sz w:val="24"/>
                <w:szCs w:val="24"/>
                <w:u w:val="none"/>
                <w:lang w:val="en-US" w:eastAsia="zh-CN" w:bidi="ar"/>
                <w14:textFill>
                  <w14:solidFill>
                    <w14:schemeClr w14:val="tx1"/>
                  </w14:solidFill>
                </w14:textFill>
              </w:rPr>
              <w:t>本项目废气处理设施碱喷淋塔循环水量为</w:t>
            </w:r>
            <w:r>
              <w:rPr>
                <w:rFonts w:hint="eastAsia" w:ascii="Times New Roman" w:hAnsi="Times New Roman" w:eastAsia="宋体" w:cs="Times New Roman"/>
                <w:b w:val="0"/>
                <w:bCs w:val="0"/>
                <w:color w:val="000000" w:themeColor="text1"/>
                <w:kern w:val="0"/>
                <w:sz w:val="24"/>
                <w:szCs w:val="24"/>
                <w:u w:val="none"/>
                <w:lang w:val="en-US" w:eastAsia="zh-CN" w:bidi="ar"/>
                <w14:textFill>
                  <w14:solidFill>
                    <w14:schemeClr w14:val="tx1"/>
                  </w14:solidFill>
                </w14:textFill>
              </w:rPr>
              <w:t>5</w:t>
            </w:r>
            <w:r>
              <w:rPr>
                <w:rFonts w:hint="default" w:ascii="Times New Roman" w:hAnsi="Times New Roman" w:eastAsia="宋体" w:cs="Times New Roman"/>
                <w:b w:val="0"/>
                <w:bCs w:val="0"/>
                <w:color w:val="000000" w:themeColor="text1"/>
                <w:kern w:val="0"/>
                <w:sz w:val="24"/>
                <w:szCs w:val="24"/>
                <w:u w:val="none"/>
                <w:lang w:val="en-US" w:eastAsia="zh-CN" w:bidi="ar"/>
                <w14:textFill>
                  <w14:solidFill>
                    <w14:schemeClr w14:val="tx1"/>
                  </w14:solidFill>
                </w14:textFill>
              </w:rPr>
              <w:t>m</w:t>
            </w:r>
            <w:r>
              <w:rPr>
                <w:rFonts w:hint="default" w:ascii="Times New Roman" w:hAnsi="Times New Roman" w:eastAsia="宋体" w:cs="Times New Roman"/>
                <w:b w:val="0"/>
                <w:bCs w:val="0"/>
                <w:color w:val="000000" w:themeColor="text1"/>
                <w:kern w:val="0"/>
                <w:sz w:val="24"/>
                <w:szCs w:val="24"/>
                <w:u w:val="none"/>
                <w:vertAlign w:val="superscript"/>
                <w:lang w:val="en-US" w:eastAsia="zh-CN" w:bidi="ar"/>
                <w14:textFill>
                  <w14:solidFill>
                    <w14:schemeClr w14:val="tx1"/>
                  </w14:solidFill>
                </w14:textFill>
              </w:rPr>
              <w:t>3</w:t>
            </w:r>
            <w:r>
              <w:rPr>
                <w:rFonts w:hint="default" w:ascii="Times New Roman" w:hAnsi="Times New Roman" w:eastAsia="宋体" w:cs="Times New Roman"/>
                <w:b w:val="0"/>
                <w:bCs w:val="0"/>
                <w:color w:val="000000" w:themeColor="text1"/>
                <w:kern w:val="0"/>
                <w:sz w:val="24"/>
                <w:szCs w:val="24"/>
                <w:u w:val="none"/>
                <w:lang w:val="en-US" w:eastAsia="zh-CN" w:bidi="ar"/>
                <w14:textFill>
                  <w14:solidFill>
                    <w14:schemeClr w14:val="tx1"/>
                  </w14:solidFill>
                </w14:textFill>
              </w:rPr>
              <w:t>/h，每天工作24小时，年工作300天。根据循环水量损失参数，损失水量约为循环水量的1%，为</w:t>
            </w:r>
            <w:r>
              <w:rPr>
                <w:rFonts w:hint="eastAsia" w:ascii="Times New Roman" w:hAnsi="Times New Roman" w:eastAsia="宋体" w:cs="Times New Roman"/>
                <w:b w:val="0"/>
                <w:bCs w:val="0"/>
                <w:color w:val="000000" w:themeColor="text1"/>
                <w:kern w:val="0"/>
                <w:sz w:val="24"/>
                <w:szCs w:val="24"/>
                <w:u w:val="none"/>
                <w:lang w:val="en-US" w:eastAsia="zh-CN" w:bidi="ar"/>
                <w14:textFill>
                  <w14:solidFill>
                    <w14:schemeClr w14:val="tx1"/>
                  </w14:solidFill>
                </w14:textFill>
              </w:rPr>
              <w:t>1.2</w:t>
            </w:r>
            <w:r>
              <w:rPr>
                <w:rFonts w:hint="default" w:ascii="Times New Roman" w:hAnsi="Times New Roman" w:eastAsia="宋体" w:cs="Times New Roman"/>
                <w:b w:val="0"/>
                <w:bCs w:val="0"/>
                <w:color w:val="000000" w:themeColor="text1"/>
                <w:kern w:val="0"/>
                <w:sz w:val="24"/>
                <w:szCs w:val="24"/>
                <w:u w:val="none"/>
                <w:lang w:val="en-US" w:eastAsia="zh-CN" w:bidi="ar"/>
                <w14:textFill>
                  <w14:solidFill>
                    <w14:schemeClr w14:val="tx1"/>
                  </w14:solidFill>
                </w14:textFill>
              </w:rPr>
              <w:t>m</w:t>
            </w:r>
            <w:r>
              <w:rPr>
                <w:rFonts w:hint="default" w:ascii="Times New Roman" w:hAnsi="Times New Roman" w:eastAsia="宋体" w:cs="Times New Roman"/>
                <w:b w:val="0"/>
                <w:bCs w:val="0"/>
                <w:color w:val="000000" w:themeColor="text1"/>
                <w:kern w:val="0"/>
                <w:sz w:val="24"/>
                <w:szCs w:val="24"/>
                <w:u w:val="none"/>
                <w:vertAlign w:val="superscript"/>
                <w:lang w:val="en-US" w:eastAsia="zh-CN" w:bidi="ar"/>
                <w14:textFill>
                  <w14:solidFill>
                    <w14:schemeClr w14:val="tx1"/>
                  </w14:solidFill>
                </w14:textFill>
              </w:rPr>
              <w:t>3</w:t>
            </w:r>
            <w:r>
              <w:rPr>
                <w:rFonts w:hint="default" w:ascii="Times New Roman" w:hAnsi="Times New Roman" w:eastAsia="宋体" w:cs="Times New Roman"/>
                <w:b w:val="0"/>
                <w:bCs w:val="0"/>
                <w:color w:val="000000" w:themeColor="text1"/>
                <w:kern w:val="0"/>
                <w:sz w:val="24"/>
                <w:szCs w:val="24"/>
                <w:u w:val="none"/>
                <w:lang w:val="en-US" w:eastAsia="zh-CN" w:bidi="ar"/>
                <w14:textFill>
                  <w14:solidFill>
                    <w14:schemeClr w14:val="tx1"/>
                  </w14:solidFill>
                </w14:textFill>
              </w:rPr>
              <w:t>/d，</w:t>
            </w:r>
            <w:r>
              <w:rPr>
                <w:rFonts w:hint="eastAsia" w:ascii="Times New Roman" w:hAnsi="Times New Roman" w:eastAsia="宋体" w:cs="Times New Roman"/>
                <w:b w:val="0"/>
                <w:bCs w:val="0"/>
                <w:color w:val="000000" w:themeColor="text1"/>
                <w:kern w:val="0"/>
                <w:sz w:val="24"/>
                <w:szCs w:val="24"/>
                <w:u w:val="none"/>
                <w:lang w:val="en-US" w:eastAsia="zh-CN" w:bidi="ar"/>
                <w14:textFill>
                  <w14:solidFill>
                    <w14:schemeClr w14:val="tx1"/>
                  </w14:solidFill>
                </w14:textFill>
              </w:rPr>
              <w:t>360</w:t>
            </w:r>
            <w:r>
              <w:rPr>
                <w:rFonts w:hint="default" w:ascii="Times New Roman" w:hAnsi="Times New Roman" w:eastAsia="宋体" w:cs="Times New Roman"/>
                <w:b w:val="0"/>
                <w:bCs w:val="0"/>
                <w:color w:val="000000" w:themeColor="text1"/>
                <w:kern w:val="0"/>
                <w:sz w:val="24"/>
                <w:szCs w:val="24"/>
                <w:u w:val="none"/>
                <w:lang w:val="en-US" w:eastAsia="zh-CN" w:bidi="ar"/>
                <w14:textFill>
                  <w14:solidFill>
                    <w14:schemeClr w14:val="tx1"/>
                  </w14:solidFill>
                </w14:textFill>
              </w:rPr>
              <w:t>m</w:t>
            </w:r>
            <w:r>
              <w:rPr>
                <w:rFonts w:hint="default" w:ascii="Times New Roman" w:hAnsi="Times New Roman" w:eastAsia="宋体" w:cs="Times New Roman"/>
                <w:b w:val="0"/>
                <w:bCs w:val="0"/>
                <w:color w:val="000000" w:themeColor="text1"/>
                <w:kern w:val="0"/>
                <w:sz w:val="24"/>
                <w:szCs w:val="24"/>
                <w:u w:val="none"/>
                <w:vertAlign w:val="superscript"/>
                <w:lang w:val="en-US" w:eastAsia="zh-CN" w:bidi="ar"/>
                <w14:textFill>
                  <w14:solidFill>
                    <w14:schemeClr w14:val="tx1"/>
                  </w14:solidFill>
                </w14:textFill>
              </w:rPr>
              <w:t>3</w:t>
            </w:r>
            <w:r>
              <w:rPr>
                <w:rFonts w:hint="default" w:ascii="Times New Roman" w:hAnsi="Times New Roman" w:eastAsia="宋体" w:cs="Times New Roman"/>
                <w:b w:val="0"/>
                <w:bCs w:val="0"/>
                <w:color w:val="000000" w:themeColor="text1"/>
                <w:kern w:val="0"/>
                <w:sz w:val="24"/>
                <w:szCs w:val="24"/>
                <w:u w:val="none"/>
                <w:lang w:val="en-US" w:eastAsia="zh-CN" w:bidi="ar"/>
                <w14:textFill>
                  <w14:solidFill>
                    <w14:schemeClr w14:val="tx1"/>
                  </w14:solidFill>
                </w14:textFill>
              </w:rPr>
              <w:t>/a，损失的水量需定时补充。新鲜水补充量为</w:t>
            </w:r>
            <w:r>
              <w:rPr>
                <w:rFonts w:hint="eastAsia" w:ascii="Times New Roman" w:hAnsi="Times New Roman" w:eastAsia="宋体" w:cs="Times New Roman"/>
                <w:b w:val="0"/>
                <w:bCs w:val="0"/>
                <w:color w:val="000000" w:themeColor="text1"/>
                <w:kern w:val="0"/>
                <w:sz w:val="24"/>
                <w:szCs w:val="24"/>
                <w:u w:val="none"/>
                <w:lang w:val="en-US" w:eastAsia="zh-CN" w:bidi="ar"/>
                <w14:textFill>
                  <w14:solidFill>
                    <w14:schemeClr w14:val="tx1"/>
                  </w14:solidFill>
                </w14:textFill>
              </w:rPr>
              <w:t>1.2</w:t>
            </w:r>
            <w:r>
              <w:rPr>
                <w:rFonts w:hint="default" w:ascii="Times New Roman" w:hAnsi="Times New Roman" w:eastAsia="宋体" w:cs="Times New Roman"/>
                <w:b w:val="0"/>
                <w:bCs w:val="0"/>
                <w:color w:val="000000" w:themeColor="text1"/>
                <w:kern w:val="0"/>
                <w:sz w:val="24"/>
                <w:szCs w:val="24"/>
                <w:u w:val="none"/>
                <w:lang w:val="en-US" w:eastAsia="zh-CN" w:bidi="ar"/>
                <w14:textFill>
                  <w14:solidFill>
                    <w14:schemeClr w14:val="tx1"/>
                  </w14:solidFill>
                </w14:textFill>
              </w:rPr>
              <w:t>m</w:t>
            </w:r>
            <w:r>
              <w:rPr>
                <w:rFonts w:hint="default" w:ascii="Times New Roman" w:hAnsi="Times New Roman" w:eastAsia="宋体" w:cs="Times New Roman"/>
                <w:b w:val="0"/>
                <w:bCs w:val="0"/>
                <w:color w:val="000000" w:themeColor="text1"/>
                <w:kern w:val="0"/>
                <w:sz w:val="24"/>
                <w:szCs w:val="24"/>
                <w:u w:val="none"/>
                <w:vertAlign w:val="superscript"/>
                <w:lang w:val="en-US" w:eastAsia="zh-CN" w:bidi="ar"/>
                <w14:textFill>
                  <w14:solidFill>
                    <w14:schemeClr w14:val="tx1"/>
                  </w14:solidFill>
                </w14:textFill>
              </w:rPr>
              <w:t>3</w:t>
            </w:r>
            <w:r>
              <w:rPr>
                <w:rFonts w:hint="default" w:ascii="Times New Roman" w:hAnsi="Times New Roman" w:eastAsia="宋体" w:cs="Times New Roman"/>
                <w:b w:val="0"/>
                <w:bCs w:val="0"/>
                <w:color w:val="000000" w:themeColor="text1"/>
                <w:kern w:val="0"/>
                <w:sz w:val="24"/>
                <w:szCs w:val="24"/>
                <w:u w:val="none"/>
                <w:lang w:val="en-US" w:eastAsia="zh-CN" w:bidi="ar"/>
                <w14:textFill>
                  <w14:solidFill>
                    <w14:schemeClr w14:val="tx1"/>
                  </w14:solidFill>
                </w14:textFill>
              </w:rPr>
              <w:t>/d，</w:t>
            </w:r>
            <w:r>
              <w:rPr>
                <w:rFonts w:hint="eastAsia" w:ascii="Times New Roman" w:hAnsi="Times New Roman" w:eastAsia="宋体" w:cs="Times New Roman"/>
                <w:b w:val="0"/>
                <w:bCs w:val="0"/>
                <w:color w:val="000000" w:themeColor="text1"/>
                <w:kern w:val="0"/>
                <w:sz w:val="24"/>
                <w:szCs w:val="24"/>
                <w:u w:val="none"/>
                <w:lang w:val="en-US" w:eastAsia="zh-CN" w:bidi="ar"/>
                <w14:textFill>
                  <w14:solidFill>
                    <w14:schemeClr w14:val="tx1"/>
                  </w14:solidFill>
                </w14:textFill>
              </w:rPr>
              <w:t>360</w:t>
            </w:r>
            <w:r>
              <w:rPr>
                <w:rFonts w:hint="default" w:ascii="Times New Roman" w:hAnsi="Times New Roman" w:eastAsia="宋体" w:cs="Times New Roman"/>
                <w:b w:val="0"/>
                <w:bCs w:val="0"/>
                <w:color w:val="000000" w:themeColor="text1"/>
                <w:kern w:val="0"/>
                <w:sz w:val="24"/>
                <w:szCs w:val="24"/>
                <w:u w:val="none"/>
                <w:lang w:val="en-US" w:eastAsia="zh-CN" w:bidi="ar"/>
                <w14:textFill>
                  <w14:solidFill>
                    <w14:schemeClr w14:val="tx1"/>
                  </w14:solidFill>
                </w14:textFill>
              </w:rPr>
              <w:t>m</w:t>
            </w:r>
            <w:r>
              <w:rPr>
                <w:rFonts w:hint="default" w:ascii="Times New Roman" w:hAnsi="Times New Roman" w:eastAsia="宋体" w:cs="Times New Roman"/>
                <w:b w:val="0"/>
                <w:bCs w:val="0"/>
                <w:color w:val="000000" w:themeColor="text1"/>
                <w:kern w:val="0"/>
                <w:sz w:val="24"/>
                <w:szCs w:val="24"/>
                <w:u w:val="none"/>
                <w:vertAlign w:val="superscript"/>
                <w:lang w:val="en-US" w:eastAsia="zh-CN" w:bidi="ar"/>
                <w14:textFill>
                  <w14:solidFill>
                    <w14:schemeClr w14:val="tx1"/>
                  </w14:solidFill>
                </w14:textFill>
              </w:rPr>
              <w:t>3</w:t>
            </w:r>
            <w:r>
              <w:rPr>
                <w:rFonts w:hint="default" w:ascii="Times New Roman" w:hAnsi="Times New Roman" w:eastAsia="宋体" w:cs="Times New Roman"/>
                <w:b w:val="0"/>
                <w:bCs w:val="0"/>
                <w:color w:val="000000" w:themeColor="text1"/>
                <w:kern w:val="0"/>
                <w:sz w:val="24"/>
                <w:szCs w:val="24"/>
                <w:u w:val="none"/>
                <w:lang w:val="en-US" w:eastAsia="zh-CN" w:bidi="ar"/>
                <w14:textFill>
                  <w14:solidFill>
                    <w14:schemeClr w14:val="tx1"/>
                  </w14:solidFill>
                </w14:textFill>
              </w:rPr>
              <w:t>/a。定期清理沉渣。</w:t>
            </w:r>
          </w:p>
          <w:p w14:paraId="10A1BE3F">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right="0"/>
              <w:jc w:val="center"/>
              <w:textAlignment w:val="auto"/>
              <w:rPr>
                <w:rFonts w:hint="default" w:ascii="Times New Roman" w:hAnsi="Times New Roman" w:eastAsia="宋体" w:cs="Times New Roman"/>
                <w:b/>
                <w:color w:val="000000" w:themeColor="text1"/>
                <w:sz w:val="24"/>
                <w:szCs w:val="24"/>
                <w:highlight w:val="none"/>
                <w:u w:val="none" w:color="auto"/>
                <w:lang w:val="en-US" w:eastAsia="zh-CN"/>
                <w14:textFill>
                  <w14:solidFill>
                    <w14:schemeClr w14:val="tx1"/>
                  </w14:solidFill>
                </w14:textFill>
              </w:rPr>
            </w:pPr>
            <w:r>
              <w:rPr>
                <w:rFonts w:hint="default" w:ascii="Times New Roman" w:hAnsi="Times New Roman" w:eastAsia="宋体" w:cs="Times New Roman"/>
                <w:b/>
                <w:color w:val="000000" w:themeColor="text1"/>
                <w:kern w:val="2"/>
                <w:sz w:val="24"/>
                <w:szCs w:val="24"/>
                <w:highlight w:val="none"/>
                <w:u w:val="none" w:color="auto"/>
                <w:lang w:val="en-US" w:eastAsia="zh-CN" w:bidi="ar-SA"/>
                <w14:textFill>
                  <w14:solidFill>
                    <w14:schemeClr w14:val="tx1"/>
                  </w14:solidFill>
                </w14:textFill>
              </w:rPr>
              <w:t>表2-</w:t>
            </w:r>
            <w:r>
              <w:rPr>
                <w:rFonts w:hint="eastAsia" w:cs="Times New Roman"/>
                <w:b/>
                <w:color w:val="000000" w:themeColor="text1"/>
                <w:kern w:val="2"/>
                <w:sz w:val="24"/>
                <w:szCs w:val="24"/>
                <w:highlight w:val="none"/>
                <w:u w:val="none" w:color="auto"/>
                <w:lang w:val="en-US" w:eastAsia="zh-CN" w:bidi="ar-SA"/>
                <w14:textFill>
                  <w14:solidFill>
                    <w14:schemeClr w14:val="tx1"/>
                  </w14:solidFill>
                </w14:textFill>
              </w:rPr>
              <w:t>9</w:t>
            </w:r>
            <w:r>
              <w:rPr>
                <w:rFonts w:hint="default" w:ascii="Times New Roman" w:hAnsi="Times New Roman" w:eastAsia="宋体" w:cs="Times New Roman"/>
                <w:b/>
                <w:color w:val="000000" w:themeColor="text1"/>
                <w:kern w:val="2"/>
                <w:sz w:val="24"/>
                <w:szCs w:val="24"/>
                <w:highlight w:val="none"/>
                <w:u w:val="none" w:color="auto"/>
                <w:lang w:val="en-US" w:eastAsia="zh-CN" w:bidi="ar-SA"/>
                <w14:textFill>
                  <w14:solidFill>
                    <w14:schemeClr w14:val="tx1"/>
                  </w14:solidFill>
                </w14:textFill>
              </w:rPr>
              <w:t xml:space="preserve">   本项目营运期用排水情况一览表（单位：m</w:t>
            </w:r>
            <w:r>
              <w:rPr>
                <w:rFonts w:hint="default" w:ascii="Times New Roman" w:hAnsi="Times New Roman" w:eastAsia="宋体" w:cs="Times New Roman"/>
                <w:b/>
                <w:color w:val="000000" w:themeColor="text1"/>
                <w:kern w:val="2"/>
                <w:sz w:val="24"/>
                <w:szCs w:val="24"/>
                <w:highlight w:val="none"/>
                <w:u w:val="none" w:color="auto"/>
                <w:vertAlign w:val="superscript"/>
                <w:lang w:val="en-US" w:eastAsia="zh-CN" w:bidi="ar-SA"/>
                <w14:textFill>
                  <w14:solidFill>
                    <w14:schemeClr w14:val="tx1"/>
                  </w14:solidFill>
                </w14:textFill>
              </w:rPr>
              <w:t>3</w:t>
            </w:r>
            <w:r>
              <w:rPr>
                <w:rFonts w:hint="default" w:ascii="Times New Roman" w:hAnsi="Times New Roman" w:eastAsia="宋体" w:cs="Times New Roman"/>
                <w:b/>
                <w:color w:val="000000" w:themeColor="text1"/>
                <w:kern w:val="2"/>
                <w:sz w:val="24"/>
                <w:szCs w:val="24"/>
                <w:highlight w:val="none"/>
                <w:u w:val="none" w:color="auto"/>
                <w:lang w:val="en-US" w:eastAsia="zh-CN" w:bidi="ar-SA"/>
                <w14:textFill>
                  <w14:solidFill>
                    <w14:schemeClr w14:val="tx1"/>
                  </w14:solidFill>
                </w14:textFill>
              </w:rPr>
              <w:t>/d）</w:t>
            </w:r>
          </w:p>
          <w:tbl>
            <w:tblPr>
              <w:tblStyle w:val="29"/>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52"/>
              <w:gridCol w:w="1213"/>
              <w:gridCol w:w="1441"/>
              <w:gridCol w:w="987"/>
              <w:gridCol w:w="1078"/>
              <w:gridCol w:w="1096"/>
              <w:gridCol w:w="2303"/>
            </w:tblGrid>
            <w:tr w14:paraId="1A596F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21" w:type="pct"/>
                  <w:noWrap w:val="0"/>
                  <w:vAlign w:val="center"/>
                </w:tcPr>
                <w:p w14:paraId="348D9A7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类别</w:t>
                  </w:r>
                </w:p>
              </w:tc>
              <w:tc>
                <w:tcPr>
                  <w:tcW w:w="654" w:type="pct"/>
                  <w:noWrap w:val="0"/>
                  <w:vAlign w:val="center"/>
                </w:tcPr>
                <w:p w14:paraId="7D073F2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用水量</w:t>
                  </w:r>
                </w:p>
              </w:tc>
              <w:tc>
                <w:tcPr>
                  <w:tcW w:w="777" w:type="pct"/>
                  <w:noWrap w:val="0"/>
                  <w:vAlign w:val="center"/>
                </w:tcPr>
                <w:p w14:paraId="3AF0828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用水来源</w:t>
                  </w:r>
                </w:p>
              </w:tc>
              <w:tc>
                <w:tcPr>
                  <w:tcW w:w="532" w:type="pct"/>
                  <w:noWrap w:val="0"/>
                  <w:vAlign w:val="center"/>
                </w:tcPr>
                <w:p w14:paraId="363A3B7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废水量</w:t>
                  </w:r>
                </w:p>
              </w:tc>
              <w:tc>
                <w:tcPr>
                  <w:tcW w:w="581" w:type="pct"/>
                  <w:noWrap w:val="0"/>
                  <w:vAlign w:val="center"/>
                </w:tcPr>
                <w:p w14:paraId="1DDFC91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排水量</w:t>
                  </w:r>
                </w:p>
              </w:tc>
              <w:tc>
                <w:tcPr>
                  <w:tcW w:w="591" w:type="pct"/>
                  <w:noWrap w:val="0"/>
                  <w:vAlign w:val="center"/>
                </w:tcPr>
                <w:p w14:paraId="155B40B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排放频次</w:t>
                  </w:r>
                </w:p>
              </w:tc>
              <w:tc>
                <w:tcPr>
                  <w:tcW w:w="1241" w:type="pct"/>
                  <w:noWrap w:val="0"/>
                  <w:vAlign w:val="center"/>
                </w:tcPr>
                <w:p w14:paraId="510B264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备注</w:t>
                  </w:r>
                </w:p>
              </w:tc>
            </w:tr>
            <w:tr w14:paraId="29C987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21" w:type="pct"/>
                  <w:noWrap w:val="0"/>
                  <w:vAlign w:val="center"/>
                </w:tcPr>
                <w:p w14:paraId="0D6874F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职工生活用水</w:t>
                  </w:r>
                </w:p>
              </w:tc>
              <w:tc>
                <w:tcPr>
                  <w:tcW w:w="654" w:type="pct"/>
                  <w:noWrap w:val="0"/>
                  <w:vAlign w:val="center"/>
                </w:tcPr>
                <w:p w14:paraId="235ECDC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1.0</w:t>
                  </w:r>
                </w:p>
              </w:tc>
              <w:tc>
                <w:tcPr>
                  <w:tcW w:w="777" w:type="pct"/>
                  <w:noWrap w:val="0"/>
                  <w:vAlign w:val="center"/>
                </w:tcPr>
                <w:p w14:paraId="6CD3395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新鲜水</w:t>
                  </w:r>
                </w:p>
              </w:tc>
              <w:tc>
                <w:tcPr>
                  <w:tcW w:w="532" w:type="pct"/>
                  <w:noWrap w:val="0"/>
                  <w:vAlign w:val="center"/>
                </w:tcPr>
                <w:p w14:paraId="2DE5E60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eastAsia" w:cs="Times New Roman"/>
                      <w:color w:val="000000" w:themeColor="text1"/>
                      <w:sz w:val="21"/>
                      <w:szCs w:val="21"/>
                      <w:highlight w:val="none"/>
                      <w:u w:val="none" w:color="auto"/>
                      <w:lang w:val="en-US" w:eastAsia="zh-CN"/>
                      <w14:textFill>
                        <w14:solidFill>
                          <w14:schemeClr w14:val="tx1"/>
                        </w14:solidFill>
                      </w14:textFill>
                    </w:rPr>
                    <w:t>0</w:t>
                  </w:r>
                </w:p>
              </w:tc>
              <w:tc>
                <w:tcPr>
                  <w:tcW w:w="581" w:type="pct"/>
                  <w:noWrap w:val="0"/>
                  <w:vAlign w:val="center"/>
                </w:tcPr>
                <w:p w14:paraId="35DAAF2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eastAsia" w:cs="Times New Roman"/>
                      <w:color w:val="000000" w:themeColor="text1"/>
                      <w:sz w:val="21"/>
                      <w:szCs w:val="21"/>
                      <w:highlight w:val="none"/>
                      <w:u w:val="none" w:color="auto"/>
                      <w:lang w:val="en-US" w:eastAsia="zh-CN"/>
                      <w14:textFill>
                        <w14:solidFill>
                          <w14:schemeClr w14:val="tx1"/>
                        </w14:solidFill>
                      </w14:textFill>
                    </w:rPr>
                    <w:t>0</w:t>
                  </w:r>
                </w:p>
              </w:tc>
              <w:tc>
                <w:tcPr>
                  <w:tcW w:w="591" w:type="pct"/>
                  <w:noWrap w:val="0"/>
                  <w:vAlign w:val="center"/>
                </w:tcPr>
                <w:p w14:paraId="33C4A01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color w:val="000000" w:themeColor="text1"/>
                      <w:sz w:val="21"/>
                      <w:szCs w:val="21"/>
                      <w:highlight w:val="none"/>
                      <w:u w:val="none" w:color="auto"/>
                      <w:lang w:eastAsia="zh-CN"/>
                      <w14:textFill>
                        <w14:solidFill>
                          <w14:schemeClr w14:val="tx1"/>
                        </w14:solidFill>
                      </w14:textFill>
                    </w:rPr>
                  </w:pPr>
                  <w:r>
                    <w:rPr>
                      <w:rFonts w:hint="eastAsia" w:cs="Times New Roman"/>
                      <w:color w:val="000000" w:themeColor="text1"/>
                      <w:sz w:val="21"/>
                      <w:szCs w:val="21"/>
                      <w:highlight w:val="none"/>
                      <w:u w:val="none" w:color="auto"/>
                      <w:lang w:val="en-US" w:eastAsia="zh-CN"/>
                      <w14:textFill>
                        <w14:solidFill>
                          <w14:schemeClr w14:val="tx1"/>
                        </w14:solidFill>
                      </w14:textFill>
                    </w:rPr>
                    <w:t>不外排</w:t>
                  </w:r>
                </w:p>
              </w:tc>
              <w:tc>
                <w:tcPr>
                  <w:tcW w:w="1241" w:type="pct"/>
                  <w:noWrap w:val="0"/>
                  <w:vAlign w:val="center"/>
                </w:tcPr>
                <w:p w14:paraId="4FB6834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职工生活污水</w:t>
                  </w: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经化粪池</w:t>
                  </w:r>
                  <w:r>
                    <w:rPr>
                      <w:rFonts w:hint="default" w:ascii="Times New Roman" w:hAnsi="Times New Roman" w:eastAsia="宋体" w:cs="Times New Roman"/>
                      <w:color w:val="000000" w:themeColor="text1"/>
                      <w:sz w:val="21"/>
                      <w:szCs w:val="21"/>
                      <w:highlight w:val="none"/>
                      <w:u w:val="none" w:color="auto"/>
                      <w:lang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容积</w:t>
                  </w:r>
                  <w:r>
                    <w:rPr>
                      <w:rFonts w:hint="eastAsia"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10</w:t>
                  </w: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m</w:t>
                  </w:r>
                  <w:r>
                    <w:rPr>
                      <w:rFonts w:hint="default" w:ascii="Times New Roman" w:hAnsi="Times New Roman" w:eastAsia="宋体" w:cs="Times New Roman"/>
                      <w:color w:val="000000" w:themeColor="text1"/>
                      <w:sz w:val="21"/>
                      <w:szCs w:val="21"/>
                      <w:highlight w:val="none"/>
                      <w:u w:val="none" w:color="auto"/>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，三防措施）</w:t>
                  </w: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处理后</w:t>
                  </w: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用于周围农田施肥；</w:t>
                  </w:r>
                </w:p>
              </w:tc>
            </w:tr>
            <w:tr w14:paraId="451F95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21" w:type="pct"/>
                  <w:noWrap w:val="0"/>
                  <w:vAlign w:val="center"/>
                </w:tcPr>
                <w:p w14:paraId="4CF00B8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eastAsia" w:cs="Times New Roman"/>
                      <w:color w:val="000000" w:themeColor="text1"/>
                      <w:sz w:val="21"/>
                      <w:szCs w:val="21"/>
                      <w:highlight w:val="none"/>
                      <w:u w:val="none" w:color="auto"/>
                      <w:lang w:val="en-US" w:eastAsia="zh-CN"/>
                      <w14:textFill>
                        <w14:solidFill>
                          <w14:schemeClr w14:val="tx1"/>
                        </w14:solidFill>
                      </w14:textFill>
                    </w:rPr>
                    <w:t>冷却用水</w:t>
                  </w:r>
                </w:p>
              </w:tc>
              <w:tc>
                <w:tcPr>
                  <w:tcW w:w="654" w:type="pct"/>
                  <w:noWrap w:val="0"/>
                  <w:vAlign w:val="center"/>
                </w:tcPr>
                <w:p w14:paraId="194E158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eastAsia" w:cs="Times New Roman"/>
                      <w:color w:val="000000" w:themeColor="text1"/>
                      <w:sz w:val="21"/>
                      <w:szCs w:val="21"/>
                      <w:highlight w:val="none"/>
                      <w:u w:val="none" w:color="auto"/>
                      <w:lang w:val="en-US" w:eastAsia="zh-CN"/>
                      <w14:textFill>
                        <w14:solidFill>
                          <w14:schemeClr w14:val="tx1"/>
                        </w14:solidFill>
                      </w14:textFill>
                    </w:rPr>
                    <w:t>4.2</w:t>
                  </w:r>
                </w:p>
              </w:tc>
              <w:tc>
                <w:tcPr>
                  <w:tcW w:w="777" w:type="pct"/>
                  <w:noWrap w:val="0"/>
                  <w:vAlign w:val="center"/>
                </w:tcPr>
                <w:p w14:paraId="7717533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新鲜水</w:t>
                  </w:r>
                </w:p>
              </w:tc>
              <w:tc>
                <w:tcPr>
                  <w:tcW w:w="532" w:type="pct"/>
                  <w:noWrap w:val="0"/>
                  <w:vAlign w:val="center"/>
                </w:tcPr>
                <w:p w14:paraId="0E46A63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eastAsia" w:cs="Times New Roman"/>
                      <w:color w:val="000000" w:themeColor="text1"/>
                      <w:sz w:val="21"/>
                      <w:szCs w:val="21"/>
                      <w:highlight w:val="none"/>
                      <w:u w:val="none" w:color="auto"/>
                      <w:lang w:val="en-US" w:eastAsia="zh-CN"/>
                      <w14:textFill>
                        <w14:solidFill>
                          <w14:schemeClr w14:val="tx1"/>
                        </w14:solidFill>
                      </w14:textFill>
                    </w:rPr>
                    <w:t>0</w:t>
                  </w:r>
                </w:p>
              </w:tc>
              <w:tc>
                <w:tcPr>
                  <w:tcW w:w="581" w:type="pct"/>
                  <w:noWrap w:val="0"/>
                  <w:vAlign w:val="center"/>
                </w:tcPr>
                <w:p w14:paraId="635FEBD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eastAsia" w:cs="Times New Roman"/>
                      <w:color w:val="000000" w:themeColor="text1"/>
                      <w:sz w:val="21"/>
                      <w:szCs w:val="21"/>
                      <w:highlight w:val="none"/>
                      <w:u w:val="none" w:color="auto"/>
                      <w:lang w:val="en-US" w:eastAsia="zh-CN"/>
                      <w14:textFill>
                        <w14:solidFill>
                          <w14:schemeClr w14:val="tx1"/>
                        </w14:solidFill>
                      </w14:textFill>
                    </w:rPr>
                    <w:t>0</w:t>
                  </w:r>
                </w:p>
              </w:tc>
              <w:tc>
                <w:tcPr>
                  <w:tcW w:w="591" w:type="pct"/>
                  <w:noWrap w:val="0"/>
                  <w:vAlign w:val="center"/>
                </w:tcPr>
                <w:p w14:paraId="4DB1A3E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eastAsia" w:cs="Times New Roman"/>
                      <w:color w:val="000000" w:themeColor="text1"/>
                      <w:sz w:val="21"/>
                      <w:szCs w:val="21"/>
                      <w:highlight w:val="none"/>
                      <w:u w:val="none" w:color="auto"/>
                      <w:lang w:val="en-US" w:eastAsia="zh-CN"/>
                      <w14:textFill>
                        <w14:solidFill>
                          <w14:schemeClr w14:val="tx1"/>
                        </w14:solidFill>
                      </w14:textFill>
                    </w:rPr>
                    <w:t>/</w:t>
                  </w:r>
                </w:p>
              </w:tc>
              <w:tc>
                <w:tcPr>
                  <w:tcW w:w="1241" w:type="pct"/>
                  <w:noWrap w:val="0"/>
                  <w:vAlign w:val="center"/>
                </w:tcPr>
                <w:p w14:paraId="6F13A79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eastAsia" w:cs="Times New Roman"/>
                      <w:color w:val="000000" w:themeColor="text1"/>
                      <w:sz w:val="21"/>
                      <w:szCs w:val="21"/>
                      <w:highlight w:val="none"/>
                      <w:u w:val="none" w:color="auto"/>
                      <w:lang w:val="en-US" w:eastAsia="zh-CN"/>
                      <w14:textFill>
                        <w14:solidFill>
                          <w14:schemeClr w14:val="tx1"/>
                        </w14:solidFill>
                      </w14:textFill>
                    </w:rPr>
                    <w:t>/</w:t>
                  </w:r>
                </w:p>
              </w:tc>
            </w:tr>
            <w:tr w14:paraId="07E425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21" w:type="pct"/>
                  <w:noWrap w:val="0"/>
                  <w:vAlign w:val="center"/>
                </w:tcPr>
                <w:p w14:paraId="5F6931F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喷淋塔用水</w:t>
                  </w:r>
                </w:p>
              </w:tc>
              <w:tc>
                <w:tcPr>
                  <w:tcW w:w="654" w:type="pct"/>
                  <w:noWrap w:val="0"/>
                  <w:vAlign w:val="center"/>
                </w:tcPr>
                <w:p w14:paraId="3BCB220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1.2</w:t>
                  </w:r>
                </w:p>
              </w:tc>
              <w:tc>
                <w:tcPr>
                  <w:tcW w:w="777" w:type="pct"/>
                  <w:noWrap w:val="0"/>
                  <w:vAlign w:val="center"/>
                </w:tcPr>
                <w:p w14:paraId="516355C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新鲜水</w:t>
                  </w:r>
                </w:p>
              </w:tc>
              <w:tc>
                <w:tcPr>
                  <w:tcW w:w="532" w:type="pct"/>
                  <w:noWrap w:val="0"/>
                  <w:vAlign w:val="center"/>
                </w:tcPr>
                <w:p w14:paraId="27E3349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cs="Times New Roman"/>
                      <w:color w:val="000000" w:themeColor="text1"/>
                      <w:sz w:val="21"/>
                      <w:szCs w:val="21"/>
                      <w:highlight w:val="none"/>
                      <w:u w:val="none" w:color="auto"/>
                      <w:lang w:val="en-US" w:eastAsia="zh-CN"/>
                      <w14:textFill>
                        <w14:solidFill>
                          <w14:schemeClr w14:val="tx1"/>
                        </w14:solidFill>
                      </w14:textFill>
                    </w:rPr>
                  </w:pPr>
                  <w:r>
                    <w:rPr>
                      <w:rFonts w:hint="eastAsia" w:cs="Times New Roman"/>
                      <w:color w:val="000000" w:themeColor="text1"/>
                      <w:sz w:val="21"/>
                      <w:szCs w:val="21"/>
                      <w:highlight w:val="none"/>
                      <w:u w:val="none" w:color="auto"/>
                      <w:lang w:val="en-US" w:eastAsia="zh-CN"/>
                      <w14:textFill>
                        <w14:solidFill>
                          <w14:schemeClr w14:val="tx1"/>
                        </w14:solidFill>
                      </w14:textFill>
                    </w:rPr>
                    <w:t>0</w:t>
                  </w:r>
                </w:p>
              </w:tc>
              <w:tc>
                <w:tcPr>
                  <w:tcW w:w="581" w:type="pct"/>
                  <w:noWrap w:val="0"/>
                  <w:vAlign w:val="center"/>
                </w:tcPr>
                <w:p w14:paraId="0427FDB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cs="Times New Roman"/>
                      <w:color w:val="000000" w:themeColor="text1"/>
                      <w:sz w:val="21"/>
                      <w:szCs w:val="21"/>
                      <w:highlight w:val="none"/>
                      <w:u w:val="none" w:color="auto"/>
                      <w:lang w:val="en-US" w:eastAsia="zh-CN"/>
                      <w14:textFill>
                        <w14:solidFill>
                          <w14:schemeClr w14:val="tx1"/>
                        </w14:solidFill>
                      </w14:textFill>
                    </w:rPr>
                  </w:pPr>
                  <w:r>
                    <w:rPr>
                      <w:rFonts w:hint="eastAsia" w:cs="Times New Roman"/>
                      <w:color w:val="000000" w:themeColor="text1"/>
                      <w:sz w:val="21"/>
                      <w:szCs w:val="21"/>
                      <w:highlight w:val="none"/>
                      <w:u w:val="none" w:color="auto"/>
                      <w:lang w:val="en-US" w:eastAsia="zh-CN"/>
                      <w14:textFill>
                        <w14:solidFill>
                          <w14:schemeClr w14:val="tx1"/>
                        </w14:solidFill>
                      </w14:textFill>
                    </w:rPr>
                    <w:t>0</w:t>
                  </w:r>
                </w:p>
              </w:tc>
              <w:tc>
                <w:tcPr>
                  <w:tcW w:w="591" w:type="pct"/>
                  <w:shd w:val="clear" w:color="auto" w:fill="auto"/>
                  <w:noWrap w:val="0"/>
                  <w:vAlign w:val="center"/>
                </w:tcPr>
                <w:p w14:paraId="090DFFA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eastAsia" w:cs="Times New Roman"/>
                      <w:color w:val="000000" w:themeColor="text1"/>
                      <w:sz w:val="21"/>
                      <w:szCs w:val="21"/>
                      <w:highlight w:val="none"/>
                      <w:u w:val="none" w:color="auto"/>
                      <w:lang w:val="en-US" w:eastAsia="zh-CN"/>
                      <w14:textFill>
                        <w14:solidFill>
                          <w14:schemeClr w14:val="tx1"/>
                        </w14:solidFill>
                      </w14:textFill>
                    </w:rPr>
                    <w:t>/</w:t>
                  </w:r>
                </w:p>
              </w:tc>
              <w:tc>
                <w:tcPr>
                  <w:tcW w:w="1241" w:type="pct"/>
                  <w:shd w:val="clear" w:color="auto" w:fill="auto"/>
                  <w:noWrap w:val="0"/>
                  <w:vAlign w:val="center"/>
                </w:tcPr>
                <w:p w14:paraId="7BA32F2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eastAsia" w:cs="Times New Roman"/>
                      <w:color w:val="000000" w:themeColor="text1"/>
                      <w:sz w:val="21"/>
                      <w:szCs w:val="21"/>
                      <w:highlight w:val="none"/>
                      <w:u w:val="none" w:color="auto"/>
                      <w:lang w:val="en-US" w:eastAsia="zh-CN"/>
                      <w14:textFill>
                        <w14:solidFill>
                          <w14:schemeClr w14:val="tx1"/>
                        </w14:solidFill>
                      </w14:textFill>
                    </w:rPr>
                    <w:t>/</w:t>
                  </w:r>
                </w:p>
              </w:tc>
            </w:tr>
            <w:tr w14:paraId="10383F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21" w:type="pct"/>
                  <w:noWrap w:val="0"/>
                  <w:vAlign w:val="center"/>
                </w:tcPr>
                <w:p w14:paraId="1F56798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合计</w:t>
                  </w:r>
                </w:p>
              </w:tc>
              <w:tc>
                <w:tcPr>
                  <w:tcW w:w="654" w:type="pct"/>
                  <w:noWrap w:val="0"/>
                  <w:vAlign w:val="center"/>
                </w:tcPr>
                <w:p w14:paraId="13FCE91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6.4</w:t>
                  </w:r>
                </w:p>
              </w:tc>
              <w:tc>
                <w:tcPr>
                  <w:tcW w:w="777" w:type="pct"/>
                  <w:noWrap w:val="0"/>
                  <w:vAlign w:val="center"/>
                </w:tcPr>
                <w:p w14:paraId="00DC177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新鲜水</w:t>
                  </w:r>
                </w:p>
              </w:tc>
              <w:tc>
                <w:tcPr>
                  <w:tcW w:w="532" w:type="pct"/>
                  <w:noWrap w:val="0"/>
                  <w:vAlign w:val="center"/>
                </w:tcPr>
                <w:p w14:paraId="3D837E2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cs="Times New Roman"/>
                      <w:color w:val="000000" w:themeColor="text1"/>
                      <w:sz w:val="21"/>
                      <w:szCs w:val="21"/>
                      <w:highlight w:val="none"/>
                      <w:u w:val="none" w:color="auto"/>
                      <w:lang w:val="en-US" w:eastAsia="zh-CN"/>
                      <w14:textFill>
                        <w14:solidFill>
                          <w14:schemeClr w14:val="tx1"/>
                        </w14:solidFill>
                      </w14:textFill>
                    </w:rPr>
                  </w:pPr>
                  <w:r>
                    <w:rPr>
                      <w:rFonts w:hint="eastAsia" w:cs="Times New Roman"/>
                      <w:color w:val="000000" w:themeColor="text1"/>
                      <w:sz w:val="21"/>
                      <w:szCs w:val="21"/>
                      <w:highlight w:val="none"/>
                      <w:u w:val="none" w:color="auto"/>
                      <w:lang w:val="en-US" w:eastAsia="zh-CN"/>
                      <w14:textFill>
                        <w14:solidFill>
                          <w14:schemeClr w14:val="tx1"/>
                        </w14:solidFill>
                      </w14:textFill>
                    </w:rPr>
                    <w:t>0</w:t>
                  </w:r>
                </w:p>
              </w:tc>
              <w:tc>
                <w:tcPr>
                  <w:tcW w:w="581" w:type="pct"/>
                  <w:noWrap w:val="0"/>
                  <w:vAlign w:val="center"/>
                </w:tcPr>
                <w:p w14:paraId="62E3EF1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cs="Times New Roman"/>
                      <w:color w:val="000000" w:themeColor="text1"/>
                      <w:sz w:val="21"/>
                      <w:szCs w:val="21"/>
                      <w:highlight w:val="none"/>
                      <w:u w:val="none" w:color="auto"/>
                      <w:lang w:val="en-US" w:eastAsia="zh-CN"/>
                      <w14:textFill>
                        <w14:solidFill>
                          <w14:schemeClr w14:val="tx1"/>
                        </w14:solidFill>
                      </w14:textFill>
                    </w:rPr>
                  </w:pPr>
                  <w:r>
                    <w:rPr>
                      <w:rFonts w:hint="eastAsia" w:cs="Times New Roman"/>
                      <w:color w:val="000000" w:themeColor="text1"/>
                      <w:sz w:val="21"/>
                      <w:szCs w:val="21"/>
                      <w:highlight w:val="none"/>
                      <w:u w:val="none" w:color="auto"/>
                      <w:lang w:val="en-US" w:eastAsia="zh-CN"/>
                      <w14:textFill>
                        <w14:solidFill>
                          <w14:schemeClr w14:val="tx1"/>
                        </w14:solidFill>
                      </w14:textFill>
                    </w:rPr>
                    <w:t>0</w:t>
                  </w:r>
                </w:p>
              </w:tc>
              <w:tc>
                <w:tcPr>
                  <w:tcW w:w="591" w:type="pct"/>
                  <w:shd w:val="clear" w:color="auto" w:fill="auto"/>
                  <w:noWrap w:val="0"/>
                  <w:vAlign w:val="center"/>
                </w:tcPr>
                <w:p w14:paraId="7EBF222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cs="Times New Roman"/>
                      <w:color w:val="000000" w:themeColor="text1"/>
                      <w:sz w:val="21"/>
                      <w:szCs w:val="21"/>
                      <w:highlight w:val="none"/>
                      <w:u w:val="none" w:color="auto"/>
                      <w:lang w:val="en-US" w:eastAsia="zh-CN"/>
                      <w14:textFill>
                        <w14:solidFill>
                          <w14:schemeClr w14:val="tx1"/>
                        </w14:solidFill>
                      </w14:textFill>
                    </w:rPr>
                  </w:pPr>
                  <w:r>
                    <w:rPr>
                      <w:rFonts w:hint="eastAsia" w:cs="Times New Roman"/>
                      <w:color w:val="000000" w:themeColor="text1"/>
                      <w:sz w:val="21"/>
                      <w:szCs w:val="21"/>
                      <w:highlight w:val="none"/>
                      <w:u w:val="none" w:color="auto"/>
                      <w:lang w:val="en-US" w:eastAsia="zh-CN"/>
                      <w14:textFill>
                        <w14:solidFill>
                          <w14:schemeClr w14:val="tx1"/>
                        </w14:solidFill>
                      </w14:textFill>
                    </w:rPr>
                    <w:t>/</w:t>
                  </w:r>
                </w:p>
              </w:tc>
              <w:tc>
                <w:tcPr>
                  <w:tcW w:w="1241" w:type="pct"/>
                  <w:shd w:val="clear" w:color="auto" w:fill="auto"/>
                  <w:noWrap w:val="0"/>
                  <w:vAlign w:val="center"/>
                </w:tcPr>
                <w:p w14:paraId="7A2AFEC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cs="Times New Roman"/>
                      <w:color w:val="000000" w:themeColor="text1"/>
                      <w:sz w:val="21"/>
                      <w:szCs w:val="21"/>
                      <w:highlight w:val="none"/>
                      <w:u w:val="none" w:color="auto"/>
                      <w:lang w:val="en-US" w:eastAsia="zh-CN"/>
                      <w14:textFill>
                        <w14:solidFill>
                          <w14:schemeClr w14:val="tx1"/>
                        </w14:solidFill>
                      </w14:textFill>
                    </w:rPr>
                  </w:pPr>
                  <w:r>
                    <w:rPr>
                      <w:rFonts w:hint="eastAsia" w:cs="Times New Roman"/>
                      <w:color w:val="000000" w:themeColor="text1"/>
                      <w:sz w:val="21"/>
                      <w:szCs w:val="21"/>
                      <w:highlight w:val="none"/>
                      <w:u w:val="none" w:color="auto"/>
                      <w:lang w:val="en-US" w:eastAsia="zh-CN"/>
                      <w14:textFill>
                        <w14:solidFill>
                          <w14:schemeClr w14:val="tx1"/>
                        </w14:solidFill>
                      </w14:textFill>
                    </w:rPr>
                    <w:t>/</w:t>
                  </w:r>
                </w:p>
              </w:tc>
            </w:tr>
          </w:tbl>
          <w:tbl>
            <w:tblPr>
              <w:tblStyle w:val="30"/>
              <w:tblW w:w="9257" w:type="dxa"/>
              <w:tblInd w:w="5" w:type="dxa"/>
              <w:tblBorders>
                <w:top w:val="single" w:color="auto" w:sz="4"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279"/>
            </w:tblGrid>
            <w:tr w14:paraId="73CA3653">
              <w:tblPrEx>
                <w:tblBorders>
                  <w:top w:val="single" w:color="auto" w:sz="4"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5000" w:type="pct"/>
                  <w:vAlign w:val="center"/>
                </w:tcPr>
                <w:p w14:paraId="4E7A4C44">
                  <w:pPr>
                    <w:tabs>
                      <w:tab w:val="left" w:pos="1081"/>
                    </w:tabs>
                    <w:adjustRightInd w:val="0"/>
                    <w:snapToGrid w:val="0"/>
                    <w:spacing w:line="360" w:lineRule="auto"/>
                    <w:jc w:val="center"/>
                    <w:rPr>
                      <w:sz w:val="24"/>
                      <w:vertAlign w:val="baseline"/>
                    </w:rPr>
                  </w:pPr>
                  <w:r>
                    <w:drawing>
                      <wp:inline distT="0" distB="0" distL="114300" distR="114300">
                        <wp:extent cx="5779770" cy="1894205"/>
                        <wp:effectExtent l="0" t="0" r="11430" b="10795"/>
                        <wp:docPr id="1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4"/>
                                <pic:cNvPicPr>
                                  <a:picLocks noChangeAspect="1"/>
                                </pic:cNvPicPr>
                              </pic:nvPicPr>
                              <pic:blipFill>
                                <a:blip r:embed="rId9"/>
                                <a:stretch>
                                  <a:fillRect/>
                                </a:stretch>
                              </pic:blipFill>
                              <pic:spPr>
                                <a:xfrm>
                                  <a:off x="0" y="0"/>
                                  <a:ext cx="5779770" cy="1894205"/>
                                </a:xfrm>
                                <a:prstGeom prst="rect">
                                  <a:avLst/>
                                </a:prstGeom>
                                <a:noFill/>
                                <a:ln>
                                  <a:noFill/>
                                </a:ln>
                              </pic:spPr>
                            </pic:pic>
                          </a:graphicData>
                        </a:graphic>
                      </wp:inline>
                    </w:drawing>
                  </w:r>
                </w:p>
              </w:tc>
            </w:tr>
            <w:tr w14:paraId="5C717B2D">
              <w:tblPrEx>
                <w:tblBorders>
                  <w:top w:val="single" w:color="auto" w:sz="4"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5000" w:type="pct"/>
                  <w:vAlign w:val="center"/>
                </w:tcPr>
                <w:p w14:paraId="726BD0B9">
                  <w:pPr>
                    <w:tabs>
                      <w:tab w:val="left" w:pos="1081"/>
                    </w:tabs>
                    <w:adjustRightInd w:val="0"/>
                    <w:snapToGrid w:val="0"/>
                    <w:spacing w:line="360" w:lineRule="auto"/>
                    <w:jc w:val="center"/>
                    <w:rPr>
                      <w:sz w:val="24"/>
                      <w:vertAlign w:val="baseline"/>
                    </w:rPr>
                  </w:pPr>
                  <w:r>
                    <w:rPr>
                      <w:rFonts w:hint="default" w:ascii="Times New Roman" w:hAnsi="Times New Roman" w:eastAsia="宋体" w:cs="Times New Roman"/>
                      <w:b/>
                      <w:color w:val="000000" w:themeColor="text1"/>
                      <w:sz w:val="24"/>
                      <w:szCs w:val="24"/>
                      <w:highlight w:val="none"/>
                      <w:u w:val="none" w:color="auto"/>
                      <w14:textFill>
                        <w14:solidFill>
                          <w14:schemeClr w14:val="tx1"/>
                        </w14:solidFill>
                      </w14:textFill>
                    </w:rPr>
                    <w:t>图2-</w:t>
                  </w:r>
                  <w:r>
                    <w:rPr>
                      <w:rFonts w:hint="default" w:ascii="Times New Roman" w:hAnsi="Times New Roman" w:eastAsia="宋体" w:cs="Times New Roman"/>
                      <w:b/>
                      <w:color w:val="000000" w:themeColor="text1"/>
                      <w:sz w:val="24"/>
                      <w:szCs w:val="24"/>
                      <w:highlight w:val="none"/>
                      <w:u w:val="none" w:color="auto"/>
                      <w:lang w:val="en-US" w:eastAsia="zh-CN"/>
                      <w14:textFill>
                        <w14:solidFill>
                          <w14:schemeClr w14:val="tx1"/>
                        </w14:solidFill>
                      </w14:textFill>
                    </w:rPr>
                    <w:t>1</w:t>
                  </w:r>
                  <w:r>
                    <w:rPr>
                      <w:rFonts w:hint="default" w:ascii="Times New Roman" w:hAnsi="Times New Roman" w:eastAsia="宋体" w:cs="Times New Roman"/>
                      <w:b/>
                      <w:color w:val="000000" w:themeColor="text1"/>
                      <w:sz w:val="24"/>
                      <w:szCs w:val="24"/>
                      <w:highlight w:val="none"/>
                      <w:u w:val="none" w:color="auto"/>
                      <w14:textFill>
                        <w14:solidFill>
                          <w14:schemeClr w14:val="tx1"/>
                        </w14:solidFill>
                      </w14:textFill>
                    </w:rPr>
                    <w:t xml:space="preserve">   </w:t>
                  </w:r>
                  <w:r>
                    <w:rPr>
                      <w:rFonts w:hint="default" w:ascii="Times New Roman" w:hAnsi="Times New Roman" w:eastAsia="宋体" w:cs="Times New Roman"/>
                      <w:b/>
                      <w:color w:val="000000" w:themeColor="text1"/>
                      <w:sz w:val="24"/>
                      <w:szCs w:val="24"/>
                      <w:highlight w:val="none"/>
                      <w:u w:val="none" w:color="auto"/>
                      <w:lang w:val="en-US" w:eastAsia="zh-CN"/>
                      <w14:textFill>
                        <w14:solidFill>
                          <w14:schemeClr w14:val="tx1"/>
                        </w14:solidFill>
                      </w14:textFill>
                    </w:rPr>
                    <w:t>本</w:t>
                  </w:r>
                  <w:r>
                    <w:rPr>
                      <w:rFonts w:hint="default" w:ascii="Times New Roman" w:hAnsi="Times New Roman" w:eastAsia="宋体" w:cs="Times New Roman"/>
                      <w:b/>
                      <w:color w:val="000000" w:themeColor="text1"/>
                      <w:sz w:val="24"/>
                      <w:szCs w:val="24"/>
                      <w:highlight w:val="none"/>
                      <w:u w:val="none" w:color="auto"/>
                      <w14:textFill>
                        <w14:solidFill>
                          <w14:schemeClr w14:val="tx1"/>
                        </w14:solidFill>
                      </w14:textFill>
                    </w:rPr>
                    <w:t>项目营运期水平衡图   单位：m</w:t>
                  </w:r>
                  <w:r>
                    <w:rPr>
                      <w:rFonts w:hint="default" w:ascii="Times New Roman" w:hAnsi="Times New Roman" w:eastAsia="宋体" w:cs="Times New Roman"/>
                      <w:b/>
                      <w:color w:val="000000" w:themeColor="text1"/>
                      <w:sz w:val="24"/>
                      <w:szCs w:val="24"/>
                      <w:highlight w:val="none"/>
                      <w:u w:val="none" w:color="auto"/>
                      <w:vertAlign w:val="superscript"/>
                      <w14:textFill>
                        <w14:solidFill>
                          <w14:schemeClr w14:val="tx1"/>
                        </w14:solidFill>
                      </w14:textFill>
                    </w:rPr>
                    <w:t>3</w:t>
                  </w:r>
                  <w:r>
                    <w:rPr>
                      <w:rFonts w:hint="default" w:ascii="Times New Roman" w:hAnsi="Times New Roman" w:eastAsia="宋体" w:cs="Times New Roman"/>
                      <w:b/>
                      <w:color w:val="000000" w:themeColor="text1"/>
                      <w:sz w:val="24"/>
                      <w:szCs w:val="24"/>
                      <w:highlight w:val="none"/>
                      <w:u w:val="none" w:color="auto"/>
                      <w14:textFill>
                        <w14:solidFill>
                          <w14:schemeClr w14:val="tx1"/>
                        </w14:solidFill>
                      </w14:textFill>
                    </w:rPr>
                    <w:t>/d</w:t>
                  </w:r>
                </w:p>
              </w:tc>
            </w:tr>
          </w:tbl>
          <w:p w14:paraId="25358C58">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82" w:firstLineChars="200"/>
              <w:jc w:val="left"/>
              <w:textAlignment w:val="auto"/>
              <w:rPr>
                <w:rFonts w:hint="default" w:ascii="Times New Roman" w:hAnsi="Times New Roman" w:eastAsia="宋体" w:cs="Times New Roman"/>
                <w:b/>
                <w:bCs/>
                <w:color w:val="000000" w:themeColor="text1"/>
                <w:sz w:val="24"/>
                <w:szCs w:val="24"/>
                <w:highlight w:val="none"/>
                <w:u w:val="none" w:color="auto"/>
                <w14:textFill>
                  <w14:solidFill>
                    <w14:schemeClr w14:val="tx1"/>
                  </w14:solidFill>
                </w14:textFill>
              </w:rPr>
            </w:pPr>
            <w:r>
              <w:rPr>
                <w:rFonts w:hint="default" w:ascii="Times New Roman" w:hAnsi="Times New Roman" w:eastAsia="宋体" w:cs="Times New Roman"/>
                <w:b/>
                <w:color w:val="000000" w:themeColor="text1"/>
                <w:sz w:val="24"/>
                <w:szCs w:val="24"/>
                <w:highlight w:val="none"/>
                <w:u w:val="none" w:color="auto"/>
                <w:lang w:val="en-US" w:eastAsia="zh-CN"/>
                <w14:textFill>
                  <w14:solidFill>
                    <w14:schemeClr w14:val="tx1"/>
                  </w14:solidFill>
                </w14:textFill>
              </w:rPr>
              <w:t>7、</w:t>
            </w:r>
            <w:r>
              <w:rPr>
                <w:rFonts w:hint="default" w:ascii="Times New Roman" w:hAnsi="Times New Roman" w:eastAsia="宋体" w:cs="Times New Roman"/>
                <w:b/>
                <w:bCs/>
                <w:color w:val="000000" w:themeColor="text1"/>
                <w:sz w:val="24"/>
                <w:szCs w:val="24"/>
                <w:highlight w:val="none"/>
                <w:u w:val="none" w:color="auto"/>
                <w:lang w:val="en-US" w:eastAsia="zh-CN"/>
                <w14:textFill>
                  <w14:solidFill>
                    <w14:schemeClr w14:val="tx1"/>
                  </w14:solidFill>
                </w14:textFill>
              </w:rPr>
              <w:t>物料</w:t>
            </w:r>
            <w:r>
              <w:rPr>
                <w:rFonts w:hint="default" w:ascii="Times New Roman" w:hAnsi="Times New Roman" w:eastAsia="宋体" w:cs="Times New Roman"/>
                <w:b/>
                <w:bCs/>
                <w:color w:val="000000" w:themeColor="text1"/>
                <w:sz w:val="24"/>
                <w:szCs w:val="24"/>
                <w:highlight w:val="none"/>
                <w:u w:val="none" w:color="auto"/>
                <w14:textFill>
                  <w14:solidFill>
                    <w14:schemeClr w14:val="tx1"/>
                  </w14:solidFill>
                </w14:textFill>
              </w:rPr>
              <w:t>平衡</w:t>
            </w:r>
          </w:p>
          <w:p w14:paraId="273DC4D8">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80" w:firstLineChars="200"/>
              <w:jc w:val="left"/>
              <w:textAlignment w:val="auto"/>
              <w:rPr>
                <w:rFonts w:hint="eastAsia" w:cs="Times New Roman"/>
                <w:color w:val="000000" w:themeColor="text1"/>
                <w:sz w:val="24"/>
                <w:szCs w:val="24"/>
                <w:highlight w:val="none"/>
                <w:u w:val="none" w:color="auto"/>
                <w:lang w:val="en-US" w:eastAsia="zh-CN"/>
                <w14:textFill>
                  <w14:solidFill>
                    <w14:schemeClr w14:val="tx1"/>
                  </w14:solidFill>
                </w14:textFill>
              </w:rPr>
            </w:pPr>
            <w:r>
              <w:rPr>
                <w:rFonts w:hint="eastAsia" w:cs="Times New Roman"/>
                <w:color w:val="000000" w:themeColor="text1"/>
                <w:sz w:val="24"/>
                <w:szCs w:val="24"/>
                <w:highlight w:val="none"/>
                <w:u w:val="none" w:color="auto"/>
                <w:lang w:val="en-US" w:eastAsia="zh-CN"/>
                <w14:textFill>
                  <w14:solidFill>
                    <w14:schemeClr w14:val="tx1"/>
                  </w14:solidFill>
                </w14:textFill>
              </w:rPr>
              <w:t>（1）机制炭</w:t>
            </w:r>
          </w:p>
          <w:p w14:paraId="4DEBDA7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left"/>
              <w:textAlignment w:val="auto"/>
              <w:rPr>
                <w:rFonts w:hint="eastAsia"/>
                <w:bCs/>
                <w:color w:val="000000" w:themeColor="text1"/>
                <w:sz w:val="24"/>
                <w:szCs w:val="24"/>
                <w:lang w:eastAsia="zh-CN"/>
                <w14:textFill>
                  <w14:solidFill>
                    <w14:schemeClr w14:val="tx1"/>
                  </w14:solidFill>
                </w14:textFill>
              </w:rPr>
            </w:pPr>
            <w:r>
              <w:rPr>
                <w:rFonts w:hint="eastAsia"/>
                <w:bCs/>
                <w:color w:val="000000" w:themeColor="text1"/>
                <w:sz w:val="24"/>
                <w:szCs w:val="24"/>
                <w:lang w:val="en-US" w:eastAsia="zh-CN"/>
                <w14:textFill>
                  <w14:solidFill>
                    <w14:schemeClr w14:val="tx1"/>
                  </w14:solidFill>
                </w14:textFill>
              </w:rPr>
              <w:t>机制炭生产线物料投入产出物料平衡情况</w:t>
            </w:r>
            <w:r>
              <w:rPr>
                <w:rFonts w:hint="eastAsia"/>
                <w:bCs/>
                <w:color w:val="000000" w:themeColor="text1"/>
                <w:sz w:val="24"/>
                <w:szCs w:val="24"/>
                <w14:textFill>
                  <w14:solidFill>
                    <w14:schemeClr w14:val="tx1"/>
                  </w14:solidFill>
                </w14:textFill>
              </w:rPr>
              <w:t>见下表</w:t>
            </w:r>
            <w:r>
              <w:rPr>
                <w:rFonts w:hint="eastAsia"/>
                <w:bCs/>
                <w:color w:val="000000" w:themeColor="text1"/>
                <w:sz w:val="24"/>
                <w:szCs w:val="24"/>
                <w:lang w:eastAsia="zh-CN"/>
                <w14:textFill>
                  <w14:solidFill>
                    <w14:schemeClr w14:val="tx1"/>
                  </w14:solidFill>
                </w14:textFill>
              </w:rPr>
              <w:t>。</w:t>
            </w:r>
          </w:p>
          <w:p w14:paraId="107F977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eastAsia="宋体" w:cs="Times New Roman"/>
                <w:b/>
                <w:color w:val="000000" w:themeColor="text1"/>
                <w:sz w:val="24"/>
                <w:szCs w:val="24"/>
                <w:highlight w:val="none"/>
                <w:u w:val="none" w:color="auto"/>
                <w14:textFill>
                  <w14:solidFill>
                    <w14:schemeClr w14:val="tx1"/>
                  </w14:solidFill>
                </w14:textFill>
              </w:rPr>
            </w:pPr>
            <w:r>
              <w:rPr>
                <w:rFonts w:hint="default" w:ascii="Times New Roman" w:hAnsi="Times New Roman" w:eastAsia="宋体" w:cs="Times New Roman"/>
                <w:b/>
                <w:color w:val="000000" w:themeColor="text1"/>
                <w:sz w:val="24"/>
                <w:szCs w:val="24"/>
                <w:highlight w:val="none"/>
                <w:u w:val="none" w:color="auto"/>
                <w14:textFill>
                  <w14:solidFill>
                    <w14:schemeClr w14:val="tx1"/>
                  </w14:solidFill>
                </w14:textFill>
              </w:rPr>
              <w:t>表2-</w:t>
            </w:r>
            <w:r>
              <w:rPr>
                <w:rFonts w:hint="eastAsia" w:cs="Times New Roman"/>
                <w:b/>
                <w:color w:val="000000" w:themeColor="text1"/>
                <w:sz w:val="24"/>
                <w:szCs w:val="24"/>
                <w:highlight w:val="none"/>
                <w:u w:val="none" w:color="auto"/>
                <w:lang w:val="en-US" w:eastAsia="zh-CN"/>
                <w14:textFill>
                  <w14:solidFill>
                    <w14:schemeClr w14:val="tx1"/>
                  </w14:solidFill>
                </w14:textFill>
              </w:rPr>
              <w:t>10</w:t>
            </w:r>
            <w:r>
              <w:rPr>
                <w:rFonts w:hint="default" w:ascii="Times New Roman" w:hAnsi="Times New Roman" w:eastAsia="宋体" w:cs="Times New Roman"/>
                <w:b/>
                <w:color w:val="000000" w:themeColor="text1"/>
                <w:sz w:val="24"/>
                <w:szCs w:val="24"/>
                <w:highlight w:val="none"/>
                <w:u w:val="none" w:color="auto"/>
                <w14:textFill>
                  <w14:solidFill>
                    <w14:schemeClr w14:val="tx1"/>
                  </w14:solidFill>
                </w14:textFill>
              </w:rPr>
              <w:t xml:space="preserve">  </w:t>
            </w:r>
            <w:r>
              <w:rPr>
                <w:rFonts w:hint="eastAsia" w:ascii="Times New Roman" w:hAnsi="Times New Roman" w:eastAsia="宋体" w:cs="Times New Roman"/>
                <w:b/>
                <w:color w:val="000000" w:themeColor="text1"/>
                <w:sz w:val="24"/>
                <w:szCs w:val="24"/>
                <w:highlight w:val="none"/>
                <w:u w:val="none" w:color="auto"/>
                <w14:textFill>
                  <w14:solidFill>
                    <w14:schemeClr w14:val="tx1"/>
                  </w14:solidFill>
                </w14:textFill>
              </w:rPr>
              <w:t>项目</w:t>
            </w:r>
            <w:r>
              <w:rPr>
                <w:rFonts w:hint="eastAsia" w:ascii="Times New Roman" w:hAnsi="Times New Roman" w:eastAsia="宋体" w:cs="Times New Roman"/>
                <w:b/>
                <w:color w:val="000000" w:themeColor="text1"/>
                <w:sz w:val="24"/>
                <w:szCs w:val="24"/>
                <w:highlight w:val="none"/>
                <w:u w:val="none" w:color="auto"/>
                <w:lang w:val="en-US" w:eastAsia="zh-CN"/>
                <w14:textFill>
                  <w14:solidFill>
                    <w14:schemeClr w14:val="tx1"/>
                  </w14:solidFill>
                </w14:textFill>
              </w:rPr>
              <w:t>机制炭</w:t>
            </w:r>
            <w:r>
              <w:rPr>
                <w:rFonts w:hint="eastAsia" w:ascii="Times New Roman" w:hAnsi="Times New Roman" w:eastAsia="宋体" w:cs="Times New Roman"/>
                <w:b/>
                <w:color w:val="000000" w:themeColor="text1"/>
                <w:sz w:val="24"/>
                <w:szCs w:val="24"/>
                <w:highlight w:val="none"/>
                <w:u w:val="none" w:color="auto"/>
                <w14:textFill>
                  <w14:solidFill>
                    <w14:schemeClr w14:val="tx1"/>
                  </w14:solidFill>
                </w14:textFill>
              </w:rPr>
              <w:t>物料平衡</w:t>
            </w:r>
            <w:r>
              <w:rPr>
                <w:rFonts w:hint="default" w:ascii="Times New Roman" w:hAnsi="Times New Roman" w:eastAsia="宋体" w:cs="Times New Roman"/>
                <w:b/>
                <w:color w:val="000000" w:themeColor="text1"/>
                <w:sz w:val="24"/>
                <w:szCs w:val="24"/>
                <w:highlight w:val="none"/>
                <w:u w:val="none" w:color="auto"/>
                <w14:textFill>
                  <w14:solidFill>
                    <w14:schemeClr w14:val="tx1"/>
                  </w14:solidFill>
                </w14:textFill>
              </w:rPr>
              <w:t>一览表</w:t>
            </w:r>
          </w:p>
          <w:tbl>
            <w:tblPr>
              <w:tblStyle w:val="29"/>
              <w:tblW w:w="4996"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2496"/>
              <w:gridCol w:w="1932"/>
              <w:gridCol w:w="3075"/>
              <w:gridCol w:w="1774"/>
            </w:tblGrid>
            <w:tr w14:paraId="6071271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386" w:type="pct"/>
                  <w:gridSpan w:val="2"/>
                  <w:tcBorders>
                    <w:top w:val="single" w:color="auto" w:sz="4" w:space="0"/>
                    <w:left w:val="single" w:color="auto" w:sz="0" w:space="0"/>
                    <w:bottom w:val="single" w:color="auto" w:sz="4" w:space="0"/>
                    <w:right w:val="single" w:color="auto" w:sz="4" w:space="0"/>
                  </w:tcBorders>
                  <w:noWrap w:val="0"/>
                  <w:vAlign w:val="center"/>
                </w:tcPr>
                <w:p w14:paraId="26E9A1B0">
                  <w:pPr>
                    <w:keepNext w:val="0"/>
                    <w:keepLines w:val="0"/>
                    <w:suppressLineNumbers w:val="0"/>
                    <w:spacing w:before="0" w:beforeAutospacing="0" w:after="0" w:afterAutospacing="0"/>
                    <w:ind w:left="0" w:right="0"/>
                    <w:jc w:val="center"/>
                    <w:rPr>
                      <w:rFonts w:hint="default" w:ascii="Times New Roman" w:hAnsi="Times New Roman" w:cs="Times New Roman"/>
                      <w:b w:val="0"/>
                      <w:bCs w:val="0"/>
                      <w:color w:val="000000" w:themeColor="text1"/>
                      <w:sz w:val="21"/>
                      <w:szCs w:val="21"/>
                      <w:u w:val="none" w:color="auto"/>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u w:val="none" w:color="auto"/>
                      <w:lang w:val="en-US" w:eastAsia="zh-CN"/>
                      <w14:textFill>
                        <w14:solidFill>
                          <w14:schemeClr w14:val="tx1"/>
                        </w14:solidFill>
                      </w14:textFill>
                    </w:rPr>
                    <w:t>投入</w:t>
                  </w:r>
                </w:p>
              </w:tc>
              <w:tc>
                <w:tcPr>
                  <w:tcW w:w="2613" w:type="pct"/>
                  <w:gridSpan w:val="2"/>
                  <w:tcBorders>
                    <w:top w:val="single" w:color="auto" w:sz="4" w:space="0"/>
                    <w:left w:val="single" w:color="auto" w:sz="4" w:space="0"/>
                    <w:bottom w:val="single" w:color="auto" w:sz="4" w:space="0"/>
                    <w:right w:val="single" w:color="auto" w:sz="4" w:space="0"/>
                  </w:tcBorders>
                  <w:noWrap w:val="0"/>
                  <w:vAlign w:val="center"/>
                </w:tcPr>
                <w:p w14:paraId="3D0B5F5C">
                  <w:pPr>
                    <w:keepNext w:val="0"/>
                    <w:keepLines w:val="0"/>
                    <w:suppressLineNumbers w:val="0"/>
                    <w:spacing w:before="0" w:beforeAutospacing="0" w:after="0" w:afterAutospacing="0"/>
                    <w:ind w:left="0" w:right="0"/>
                    <w:jc w:val="center"/>
                    <w:rPr>
                      <w:rFonts w:hint="default" w:ascii="Times New Roman" w:hAnsi="Times New Roman" w:cs="Times New Roman"/>
                      <w:b w:val="0"/>
                      <w:bCs w:val="0"/>
                      <w:color w:val="000000" w:themeColor="text1"/>
                      <w:sz w:val="21"/>
                      <w:szCs w:val="21"/>
                      <w:u w:val="none" w:color="auto"/>
                      <w14:textFill>
                        <w14:solidFill>
                          <w14:schemeClr w14:val="tx1"/>
                        </w14:solidFill>
                      </w14:textFill>
                    </w:rPr>
                  </w:pPr>
                  <w:r>
                    <w:rPr>
                      <w:rFonts w:hint="default" w:ascii="Times New Roman" w:hAnsi="Times New Roman" w:cs="Times New Roman"/>
                      <w:b w:val="0"/>
                      <w:bCs w:val="0"/>
                      <w:color w:val="000000" w:themeColor="text1"/>
                      <w:sz w:val="21"/>
                      <w:szCs w:val="21"/>
                      <w:u w:val="none" w:color="auto"/>
                      <w14:textFill>
                        <w14:solidFill>
                          <w14:schemeClr w14:val="tx1"/>
                        </w14:solidFill>
                      </w14:textFill>
                    </w:rPr>
                    <w:t>产出</w:t>
                  </w:r>
                </w:p>
              </w:tc>
            </w:tr>
            <w:tr w14:paraId="2E8F090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345" w:type="pct"/>
                  <w:tcBorders>
                    <w:top w:val="single" w:color="auto" w:sz="4" w:space="0"/>
                    <w:left w:val="single" w:color="auto" w:sz="4" w:space="0"/>
                    <w:bottom w:val="single" w:color="auto" w:sz="4" w:space="0"/>
                    <w:right w:val="single" w:color="auto" w:sz="4" w:space="0"/>
                  </w:tcBorders>
                  <w:noWrap w:val="0"/>
                  <w:vAlign w:val="center"/>
                </w:tcPr>
                <w:p w14:paraId="009ABBE1">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000000" w:themeColor="text1"/>
                      <w:sz w:val="21"/>
                      <w:szCs w:val="21"/>
                      <w:u w:val="none" w:color="auto"/>
                      <w:lang w:eastAsia="zh-CN"/>
                      <w14:textFill>
                        <w14:solidFill>
                          <w14:schemeClr w14:val="tx1"/>
                        </w14:solidFill>
                      </w14:textFill>
                    </w:rPr>
                  </w:pPr>
                  <w:r>
                    <w:rPr>
                      <w:rFonts w:hint="default" w:ascii="Times New Roman" w:hAnsi="Times New Roman" w:cs="Times New Roman"/>
                      <w:b w:val="0"/>
                      <w:bCs w:val="0"/>
                      <w:color w:val="000000" w:themeColor="text1"/>
                      <w:sz w:val="21"/>
                      <w:szCs w:val="21"/>
                      <w:u w:val="none" w:color="auto"/>
                      <w14:textFill>
                        <w14:solidFill>
                          <w14:schemeClr w14:val="tx1"/>
                        </w14:solidFill>
                      </w14:textFill>
                    </w:rPr>
                    <w:t>原料</w:t>
                  </w:r>
                  <w:r>
                    <w:rPr>
                      <w:rFonts w:hint="default" w:ascii="Times New Roman" w:hAnsi="Times New Roman" w:cs="Times New Roman"/>
                      <w:b w:val="0"/>
                      <w:bCs w:val="0"/>
                      <w:color w:val="000000" w:themeColor="text1"/>
                      <w:sz w:val="21"/>
                      <w:szCs w:val="21"/>
                      <w:u w:val="none" w:color="auto"/>
                      <w:lang w:val="en-US" w:eastAsia="zh-CN"/>
                      <w14:textFill>
                        <w14:solidFill>
                          <w14:schemeClr w14:val="tx1"/>
                        </w14:solidFill>
                      </w14:textFill>
                    </w:rPr>
                    <w:t>名称</w:t>
                  </w:r>
                </w:p>
              </w:tc>
              <w:tc>
                <w:tcPr>
                  <w:tcW w:w="1041" w:type="pct"/>
                  <w:tcBorders>
                    <w:top w:val="single" w:color="auto" w:sz="4" w:space="0"/>
                    <w:left w:val="single" w:color="auto" w:sz="4" w:space="0"/>
                    <w:bottom w:val="single" w:color="auto" w:sz="4" w:space="0"/>
                    <w:right w:val="single" w:color="auto" w:sz="4" w:space="0"/>
                  </w:tcBorders>
                  <w:noWrap w:val="0"/>
                  <w:vAlign w:val="center"/>
                </w:tcPr>
                <w:p w14:paraId="72CE38A2">
                  <w:pPr>
                    <w:keepNext w:val="0"/>
                    <w:keepLines w:val="0"/>
                    <w:suppressLineNumbers w:val="0"/>
                    <w:spacing w:before="0" w:beforeAutospacing="0" w:after="0" w:afterAutospacing="0"/>
                    <w:ind w:left="0" w:right="0"/>
                    <w:jc w:val="center"/>
                    <w:rPr>
                      <w:rFonts w:hint="default" w:ascii="Times New Roman" w:hAnsi="Times New Roman" w:cs="Times New Roman"/>
                      <w:b w:val="0"/>
                      <w:bCs w:val="0"/>
                      <w:color w:val="000000" w:themeColor="text1"/>
                      <w:sz w:val="21"/>
                      <w:szCs w:val="21"/>
                      <w:u w:val="none" w:color="auto"/>
                      <w14:textFill>
                        <w14:solidFill>
                          <w14:schemeClr w14:val="tx1"/>
                        </w14:solidFill>
                      </w14:textFill>
                    </w:rPr>
                  </w:pPr>
                  <w:r>
                    <w:rPr>
                      <w:rFonts w:hint="default" w:ascii="Times New Roman" w:hAnsi="Times New Roman" w:cs="Times New Roman"/>
                      <w:b w:val="0"/>
                      <w:bCs w:val="0"/>
                      <w:color w:val="000000" w:themeColor="text1"/>
                      <w:sz w:val="21"/>
                      <w:szCs w:val="21"/>
                      <w:u w:val="none" w:color="auto"/>
                      <w14:textFill>
                        <w14:solidFill>
                          <w14:schemeClr w14:val="tx1"/>
                        </w14:solidFill>
                      </w14:textFill>
                    </w:rPr>
                    <w:t>数量（t/a）</w:t>
                  </w:r>
                </w:p>
              </w:tc>
              <w:tc>
                <w:tcPr>
                  <w:tcW w:w="1657" w:type="pct"/>
                  <w:tcBorders>
                    <w:top w:val="single" w:color="auto" w:sz="4" w:space="0"/>
                    <w:left w:val="single" w:color="auto" w:sz="4" w:space="0"/>
                    <w:bottom w:val="single" w:color="auto" w:sz="4" w:space="0"/>
                    <w:right w:val="single" w:color="auto" w:sz="4" w:space="0"/>
                  </w:tcBorders>
                  <w:noWrap w:val="0"/>
                  <w:vAlign w:val="center"/>
                </w:tcPr>
                <w:p w14:paraId="3DFFB24B">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000000" w:themeColor="text1"/>
                      <w:sz w:val="21"/>
                      <w:szCs w:val="21"/>
                      <w:u w:val="none" w:color="auto"/>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u w:val="none" w:color="auto"/>
                      <w:lang w:val="en-US" w:eastAsia="zh-CN"/>
                      <w14:textFill>
                        <w14:solidFill>
                          <w14:schemeClr w14:val="tx1"/>
                        </w14:solidFill>
                      </w14:textFill>
                    </w:rPr>
                    <w:t>产出物料名称</w:t>
                  </w:r>
                </w:p>
              </w:tc>
              <w:tc>
                <w:tcPr>
                  <w:tcW w:w="956" w:type="pct"/>
                  <w:tcBorders>
                    <w:top w:val="single" w:color="auto" w:sz="4" w:space="0"/>
                    <w:left w:val="single" w:color="auto" w:sz="4" w:space="0"/>
                    <w:bottom w:val="single" w:color="auto" w:sz="4" w:space="0"/>
                    <w:right w:val="single" w:color="auto" w:sz="4" w:space="0"/>
                  </w:tcBorders>
                  <w:noWrap w:val="0"/>
                  <w:vAlign w:val="center"/>
                </w:tcPr>
                <w:p w14:paraId="33F0A6D1">
                  <w:pPr>
                    <w:keepNext w:val="0"/>
                    <w:keepLines w:val="0"/>
                    <w:suppressLineNumbers w:val="0"/>
                    <w:spacing w:before="0" w:beforeAutospacing="0" w:after="0" w:afterAutospacing="0"/>
                    <w:ind w:left="0" w:right="0"/>
                    <w:jc w:val="center"/>
                    <w:rPr>
                      <w:rFonts w:hint="default" w:ascii="Times New Roman" w:hAnsi="Times New Roman" w:cs="Times New Roman"/>
                      <w:b w:val="0"/>
                      <w:bCs w:val="0"/>
                      <w:color w:val="000000" w:themeColor="text1"/>
                      <w:sz w:val="21"/>
                      <w:szCs w:val="21"/>
                      <w:u w:val="none" w:color="auto"/>
                      <w14:textFill>
                        <w14:solidFill>
                          <w14:schemeClr w14:val="tx1"/>
                        </w14:solidFill>
                      </w14:textFill>
                    </w:rPr>
                  </w:pPr>
                  <w:r>
                    <w:rPr>
                      <w:rFonts w:hint="default" w:ascii="Times New Roman" w:hAnsi="Times New Roman" w:cs="Times New Roman"/>
                      <w:b w:val="0"/>
                      <w:bCs w:val="0"/>
                      <w:color w:val="000000" w:themeColor="text1"/>
                      <w:sz w:val="21"/>
                      <w:szCs w:val="21"/>
                      <w:u w:val="none" w:color="auto"/>
                      <w14:textFill>
                        <w14:solidFill>
                          <w14:schemeClr w14:val="tx1"/>
                        </w14:solidFill>
                      </w14:textFill>
                    </w:rPr>
                    <w:t>数量（t/a）</w:t>
                  </w:r>
                </w:p>
              </w:tc>
            </w:tr>
            <w:tr w14:paraId="39B2498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345" w:type="pct"/>
                  <w:tcBorders>
                    <w:top w:val="single" w:color="auto" w:sz="4" w:space="0"/>
                    <w:left w:val="single" w:color="auto" w:sz="4" w:space="0"/>
                    <w:bottom w:val="single" w:color="auto" w:sz="4" w:space="0"/>
                    <w:right w:val="single" w:color="auto" w:sz="4" w:space="0"/>
                  </w:tcBorders>
                  <w:shd w:val="clear" w:color="auto" w:fill="FFFFFF"/>
                  <w:noWrap w:val="0"/>
                  <w:vAlign w:val="center"/>
                </w:tcPr>
                <w:p w14:paraId="245B27F8">
                  <w:pPr>
                    <w:pStyle w:val="36"/>
                    <w:bidi w:val="0"/>
                    <w:ind w:firstLine="0" w:firstLineChars="0"/>
                    <w:jc w:val="center"/>
                    <w:rPr>
                      <w:rFonts w:hint="default" w:ascii="Times New Roman" w:hAnsi="Times New Roman" w:eastAsia="宋体" w:cs="Times New Roman"/>
                      <w:b w:val="0"/>
                      <w:bCs w:val="0"/>
                      <w:color w:val="000000" w:themeColor="text1"/>
                      <w:kern w:val="0"/>
                      <w:sz w:val="21"/>
                      <w:szCs w:val="21"/>
                      <w:u w:val="none" w:color="auto"/>
                      <w:lang w:val="en-US" w:eastAsia="zh-CN" w:bidi="ar-SA"/>
                      <w14:textFill>
                        <w14:solidFill>
                          <w14:schemeClr w14:val="tx1"/>
                        </w14:solidFill>
                      </w14:textFill>
                    </w:rPr>
                  </w:pPr>
                  <w:r>
                    <w:rPr>
                      <w:rFonts w:hint="default" w:ascii="Times New Roman" w:hAnsi="Times New Roman" w:cs="Times New Roman"/>
                      <w:b w:val="0"/>
                      <w:bCs w:val="0"/>
                      <w:color w:val="000000" w:themeColor="text1"/>
                      <w:sz w:val="21"/>
                      <w:szCs w:val="21"/>
                      <w:u w:val="none" w:color="auto"/>
                      <w:lang w:val="en-US" w:eastAsia="zh-CN"/>
                      <w14:textFill>
                        <w14:solidFill>
                          <w14:schemeClr w14:val="tx1"/>
                        </w14:solidFill>
                      </w14:textFill>
                    </w:rPr>
                    <w:t>废木材</w:t>
                  </w:r>
                </w:p>
              </w:tc>
              <w:tc>
                <w:tcPr>
                  <w:tcW w:w="1041" w:type="pct"/>
                  <w:tcBorders>
                    <w:top w:val="single" w:color="auto" w:sz="4" w:space="0"/>
                    <w:left w:val="single" w:color="auto" w:sz="4" w:space="0"/>
                    <w:bottom w:val="single" w:color="auto" w:sz="4" w:space="0"/>
                    <w:right w:val="single" w:color="auto" w:sz="4" w:space="0"/>
                  </w:tcBorders>
                  <w:shd w:val="clear" w:color="auto" w:fill="FFFFFF"/>
                  <w:noWrap w:val="0"/>
                  <w:vAlign w:val="center"/>
                </w:tcPr>
                <w:p w14:paraId="420915F4">
                  <w:pPr>
                    <w:pStyle w:val="49"/>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b w:val="0"/>
                      <w:bCs w:val="0"/>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cs="Times New Roman"/>
                      <w:b w:val="0"/>
                      <w:bCs w:val="0"/>
                      <w:color w:val="000000" w:themeColor="text1"/>
                      <w:kern w:val="2"/>
                      <w:sz w:val="21"/>
                      <w:szCs w:val="21"/>
                      <w:u w:val="none" w:color="auto"/>
                      <w:lang w:val="en-US" w:eastAsia="zh-CN" w:bidi="ar-SA"/>
                      <w14:textFill>
                        <w14:solidFill>
                          <w14:schemeClr w14:val="tx1"/>
                        </w14:solidFill>
                      </w14:textFill>
                    </w:rPr>
                    <w:t>1897.07</w:t>
                  </w:r>
                </w:p>
              </w:tc>
              <w:tc>
                <w:tcPr>
                  <w:tcW w:w="1657" w:type="pct"/>
                  <w:tcBorders>
                    <w:top w:val="single" w:color="auto" w:sz="4" w:space="0"/>
                    <w:left w:val="single" w:color="auto" w:sz="4" w:space="0"/>
                    <w:bottom w:val="single" w:color="auto" w:sz="4" w:space="0"/>
                    <w:right w:val="single" w:color="auto" w:sz="4" w:space="0"/>
                  </w:tcBorders>
                  <w:noWrap w:val="0"/>
                  <w:vAlign w:val="center"/>
                </w:tcPr>
                <w:p w14:paraId="72D4D87F">
                  <w:pPr>
                    <w:keepNext w:val="0"/>
                    <w:keepLines w:val="0"/>
                    <w:suppressLineNumbers w:val="0"/>
                    <w:spacing w:before="0" w:beforeAutospacing="0" w:after="0" w:afterAutospacing="0"/>
                    <w:ind w:left="0" w:right="0"/>
                    <w:jc w:val="center"/>
                    <w:rPr>
                      <w:rFonts w:hint="default" w:ascii="Times New Roman" w:hAnsi="Times New Roman" w:cs="Times New Roman"/>
                      <w:b w:val="0"/>
                      <w:bCs w:val="0"/>
                      <w:color w:val="000000" w:themeColor="text1"/>
                      <w:sz w:val="21"/>
                      <w:szCs w:val="21"/>
                      <w:highlight w:val="none"/>
                      <w:u w:val="none" w:color="auto"/>
                      <w14:textFill>
                        <w14:solidFill>
                          <w14:schemeClr w14:val="tx1"/>
                        </w14:solidFill>
                      </w14:textFill>
                    </w:rPr>
                  </w:pPr>
                  <w:r>
                    <w:rPr>
                      <w:rFonts w:hint="default" w:ascii="Times New Roman" w:hAnsi="Times New Roman" w:cs="Times New Roman"/>
                      <w:b w:val="0"/>
                      <w:bCs w:val="0"/>
                      <w:color w:val="000000" w:themeColor="text1"/>
                      <w:sz w:val="21"/>
                      <w:szCs w:val="21"/>
                      <w:highlight w:val="none"/>
                      <w:u w:val="none" w:color="auto"/>
                      <w14:textFill>
                        <w14:solidFill>
                          <w14:schemeClr w14:val="tx1"/>
                        </w14:solidFill>
                      </w14:textFill>
                    </w:rPr>
                    <w:t>机制炭</w:t>
                  </w:r>
                </w:p>
              </w:tc>
              <w:tc>
                <w:tcPr>
                  <w:tcW w:w="956" w:type="pct"/>
                  <w:tcBorders>
                    <w:top w:val="single" w:color="auto" w:sz="4" w:space="0"/>
                    <w:left w:val="single" w:color="auto" w:sz="4" w:space="0"/>
                    <w:bottom w:val="single" w:color="auto" w:sz="4" w:space="0"/>
                    <w:right w:val="single" w:color="auto" w:sz="4" w:space="0"/>
                  </w:tcBorders>
                  <w:noWrap w:val="0"/>
                  <w:vAlign w:val="center"/>
                </w:tcPr>
                <w:p w14:paraId="6DB49FF9">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u w:val="none" w:color="auto"/>
                      <w:lang w:val="en-US" w:eastAsia="zh-CN"/>
                      <w14:textFill>
                        <w14:solidFill>
                          <w14:schemeClr w14:val="tx1"/>
                        </w14:solidFill>
                      </w14:textFill>
                    </w:rPr>
                    <w:t>3000</w:t>
                  </w:r>
                </w:p>
              </w:tc>
            </w:tr>
            <w:tr w14:paraId="544A95F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345" w:type="pct"/>
                  <w:tcBorders>
                    <w:top w:val="single" w:color="auto" w:sz="4" w:space="0"/>
                    <w:left w:val="single" w:color="auto" w:sz="4" w:space="0"/>
                    <w:bottom w:val="single" w:color="auto" w:sz="4" w:space="0"/>
                    <w:right w:val="single" w:color="auto" w:sz="4" w:space="0"/>
                  </w:tcBorders>
                  <w:shd w:val="clear" w:color="auto" w:fill="FFFFFF"/>
                  <w:noWrap w:val="0"/>
                  <w:vAlign w:val="center"/>
                </w:tcPr>
                <w:p w14:paraId="7E532CD1">
                  <w:pPr>
                    <w:pStyle w:val="36"/>
                    <w:bidi w:val="0"/>
                    <w:ind w:firstLine="0" w:firstLineChars="0"/>
                    <w:jc w:val="center"/>
                    <w:rPr>
                      <w:rFonts w:hint="default" w:ascii="Times New Roman" w:hAnsi="Times New Roman" w:eastAsia="宋体" w:cs="Times New Roman"/>
                      <w:b w:val="0"/>
                      <w:bCs w:val="0"/>
                      <w:color w:val="000000" w:themeColor="text1"/>
                      <w:kern w:val="0"/>
                      <w:sz w:val="21"/>
                      <w:szCs w:val="21"/>
                      <w:u w:val="none" w:color="auto"/>
                      <w:lang w:val="en-US" w:eastAsia="zh-CN" w:bidi="ar-SA"/>
                      <w14:textFill>
                        <w14:solidFill>
                          <w14:schemeClr w14:val="tx1"/>
                        </w14:solidFill>
                      </w14:textFill>
                    </w:rPr>
                  </w:pPr>
                  <w:r>
                    <w:rPr>
                      <w:rFonts w:hint="default" w:ascii="Times New Roman" w:hAnsi="Times New Roman" w:cs="Times New Roman"/>
                      <w:b w:val="0"/>
                      <w:bCs w:val="0"/>
                      <w:color w:val="000000" w:themeColor="text1"/>
                      <w:sz w:val="21"/>
                      <w:szCs w:val="21"/>
                      <w:u w:val="none" w:color="auto"/>
                      <w:lang w:val="en-US" w:eastAsia="zh-CN"/>
                      <w14:textFill>
                        <w14:solidFill>
                          <w14:schemeClr w14:val="tx1"/>
                        </w14:solidFill>
                      </w14:textFill>
                    </w:rPr>
                    <w:t>次小薪材</w:t>
                  </w:r>
                </w:p>
              </w:tc>
              <w:tc>
                <w:tcPr>
                  <w:tcW w:w="1041" w:type="pct"/>
                  <w:tcBorders>
                    <w:top w:val="single" w:color="auto" w:sz="4" w:space="0"/>
                    <w:left w:val="single" w:color="auto" w:sz="4" w:space="0"/>
                    <w:bottom w:val="single" w:color="auto" w:sz="4" w:space="0"/>
                    <w:right w:val="single" w:color="auto" w:sz="4" w:space="0"/>
                  </w:tcBorders>
                  <w:shd w:val="clear" w:color="auto" w:fill="FFFFFF"/>
                  <w:noWrap w:val="0"/>
                  <w:vAlign w:val="center"/>
                </w:tcPr>
                <w:p w14:paraId="5D287511">
                  <w:pPr>
                    <w:pStyle w:val="49"/>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b w:val="0"/>
                      <w:bCs w:val="0"/>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cs="Times New Roman"/>
                      <w:b w:val="0"/>
                      <w:bCs w:val="0"/>
                      <w:color w:val="000000" w:themeColor="text1"/>
                      <w:kern w:val="2"/>
                      <w:sz w:val="21"/>
                      <w:szCs w:val="21"/>
                      <w:u w:val="none" w:color="auto"/>
                      <w:lang w:val="en-US" w:eastAsia="zh-CN" w:bidi="ar-SA"/>
                      <w14:textFill>
                        <w14:solidFill>
                          <w14:schemeClr w14:val="tx1"/>
                        </w14:solidFill>
                      </w14:textFill>
                    </w:rPr>
                    <w:t>9485.32</w:t>
                  </w:r>
                </w:p>
              </w:tc>
              <w:tc>
                <w:tcPr>
                  <w:tcW w:w="1657" w:type="pct"/>
                  <w:tcBorders>
                    <w:top w:val="single" w:color="auto" w:sz="4" w:space="0"/>
                    <w:left w:val="single" w:color="auto" w:sz="4" w:space="0"/>
                    <w:right w:val="single" w:color="auto" w:sz="4" w:space="0"/>
                  </w:tcBorders>
                  <w:noWrap w:val="0"/>
                  <w:vAlign w:val="center"/>
                </w:tcPr>
                <w:p w14:paraId="7A822F98">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b w:val="0"/>
                      <w:bCs w:val="0"/>
                      <w:color w:val="000000" w:themeColor="text1"/>
                      <w:sz w:val="21"/>
                      <w:szCs w:val="21"/>
                      <w:highlight w:val="none"/>
                      <w:u w:val="none" w:color="auto"/>
                      <w14:textFill>
                        <w14:solidFill>
                          <w14:schemeClr w14:val="tx1"/>
                        </w14:solidFill>
                      </w14:textFill>
                    </w:rPr>
                  </w:pPr>
                  <w:r>
                    <w:rPr>
                      <w:rFonts w:hint="default" w:ascii="Times New Roman" w:hAnsi="Times New Roman" w:cs="Times New Roman"/>
                      <w:b w:val="0"/>
                      <w:bCs w:val="0"/>
                      <w:color w:val="000000" w:themeColor="text1"/>
                      <w:sz w:val="21"/>
                      <w:szCs w:val="21"/>
                      <w:u w:val="none" w:color="auto"/>
                      <w14:textFill>
                        <w14:solidFill>
                          <w14:schemeClr w14:val="tx1"/>
                        </w14:solidFill>
                      </w14:textFill>
                    </w:rPr>
                    <w:t>木煤气</w:t>
                  </w:r>
                </w:p>
              </w:tc>
              <w:tc>
                <w:tcPr>
                  <w:tcW w:w="956" w:type="pct"/>
                  <w:tcBorders>
                    <w:top w:val="single" w:color="auto" w:sz="4" w:space="0"/>
                    <w:left w:val="single" w:color="auto" w:sz="4" w:space="0"/>
                    <w:bottom w:val="single" w:color="auto" w:sz="4" w:space="0"/>
                    <w:right w:val="single" w:color="auto" w:sz="4" w:space="0"/>
                  </w:tcBorders>
                  <w:noWrap w:val="0"/>
                  <w:vAlign w:val="center"/>
                </w:tcPr>
                <w:p w14:paraId="28628926">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val="0"/>
                      <w:bCs w:val="0"/>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u w:val="none" w:color="auto"/>
                      <w:lang w:val="en-US" w:eastAsia="zh-CN"/>
                      <w14:textFill>
                        <w14:solidFill>
                          <w14:schemeClr w14:val="tx1"/>
                        </w14:solidFill>
                      </w14:textFill>
                    </w:rPr>
                    <w:t>1437.72</w:t>
                  </w:r>
                </w:p>
              </w:tc>
            </w:tr>
            <w:tr w14:paraId="043D870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345" w:type="pct"/>
                  <w:tcBorders>
                    <w:top w:val="single" w:color="auto" w:sz="4" w:space="0"/>
                    <w:left w:val="single" w:color="auto" w:sz="4" w:space="0"/>
                    <w:bottom w:val="single" w:color="auto" w:sz="4" w:space="0"/>
                    <w:right w:val="single" w:color="auto" w:sz="4" w:space="0"/>
                  </w:tcBorders>
                  <w:shd w:val="clear" w:color="auto" w:fill="FFFFFF"/>
                  <w:noWrap w:val="0"/>
                  <w:vAlign w:val="center"/>
                </w:tcPr>
                <w:p w14:paraId="33B2B984">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val="0"/>
                      <w:bCs w:val="0"/>
                      <w:color w:val="000000" w:themeColor="text1"/>
                      <w:kern w:val="0"/>
                      <w:sz w:val="21"/>
                      <w:szCs w:val="21"/>
                      <w:u w:val="none" w:color="auto"/>
                      <w:lang w:val="en-US" w:eastAsia="zh-CN" w:bidi="ar-SA"/>
                      <w14:textFill>
                        <w14:solidFill>
                          <w14:schemeClr w14:val="tx1"/>
                        </w14:solidFill>
                      </w14:textFill>
                    </w:rPr>
                  </w:pPr>
                  <w:r>
                    <w:rPr>
                      <w:rFonts w:hint="default" w:ascii="Times New Roman" w:hAnsi="Times New Roman" w:cs="Times New Roman"/>
                      <w:b w:val="0"/>
                      <w:bCs w:val="0"/>
                      <w:color w:val="000000" w:themeColor="text1"/>
                      <w:sz w:val="21"/>
                      <w:szCs w:val="21"/>
                      <w:highlight w:val="none"/>
                      <w:u w:val="none" w:color="auto"/>
                      <w:lang w:val="en-US" w:eastAsia="zh-CN"/>
                      <w14:textFill>
                        <w14:solidFill>
                          <w14:schemeClr w14:val="tx1"/>
                        </w14:solidFill>
                      </w14:textFill>
                    </w:rPr>
                    <w:t>/</w:t>
                  </w:r>
                </w:p>
              </w:tc>
              <w:tc>
                <w:tcPr>
                  <w:tcW w:w="1041" w:type="pct"/>
                  <w:tcBorders>
                    <w:top w:val="single" w:color="auto" w:sz="4" w:space="0"/>
                    <w:left w:val="single" w:color="auto" w:sz="4" w:space="0"/>
                    <w:bottom w:val="single" w:color="auto" w:sz="4" w:space="0"/>
                    <w:right w:val="single" w:color="auto" w:sz="4" w:space="0"/>
                  </w:tcBorders>
                  <w:shd w:val="clear" w:color="auto" w:fill="FFFFFF"/>
                  <w:noWrap w:val="0"/>
                  <w:vAlign w:val="center"/>
                </w:tcPr>
                <w:p w14:paraId="23ECF097">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val="0"/>
                      <w:bCs w:val="0"/>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cs="Times New Roman"/>
                      <w:b w:val="0"/>
                      <w:bCs w:val="0"/>
                      <w:color w:val="000000" w:themeColor="text1"/>
                      <w:sz w:val="21"/>
                      <w:szCs w:val="21"/>
                      <w:highlight w:val="none"/>
                      <w:u w:val="none" w:color="auto"/>
                      <w:lang w:val="en-US" w:eastAsia="zh-CN"/>
                      <w14:textFill>
                        <w14:solidFill>
                          <w14:schemeClr w14:val="tx1"/>
                        </w14:solidFill>
                      </w14:textFill>
                    </w:rPr>
                    <w:t>/</w:t>
                  </w:r>
                </w:p>
              </w:tc>
              <w:tc>
                <w:tcPr>
                  <w:tcW w:w="1657" w:type="pct"/>
                  <w:tcBorders>
                    <w:top w:val="single" w:color="auto" w:sz="4" w:space="0"/>
                    <w:left w:val="single" w:color="auto" w:sz="4" w:space="0"/>
                    <w:bottom w:val="single" w:color="auto" w:sz="4" w:space="0"/>
                    <w:right w:val="single" w:color="auto" w:sz="4" w:space="0"/>
                  </w:tcBorders>
                  <w:noWrap w:val="0"/>
                  <w:vAlign w:val="center"/>
                </w:tcPr>
                <w:p w14:paraId="35BA9FED">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b w:val="0"/>
                      <w:bCs w:val="0"/>
                      <w:color w:val="000000" w:themeColor="text1"/>
                      <w:sz w:val="21"/>
                      <w:szCs w:val="21"/>
                      <w:highlight w:val="none"/>
                      <w:u w:val="none" w:color="auto"/>
                      <w14:textFill>
                        <w14:solidFill>
                          <w14:schemeClr w14:val="tx1"/>
                        </w14:solidFill>
                      </w14:textFill>
                    </w:rPr>
                  </w:pPr>
                  <w:r>
                    <w:rPr>
                      <w:rFonts w:hint="default" w:ascii="Times New Roman" w:hAnsi="Times New Roman" w:cs="Times New Roman"/>
                      <w:b w:val="0"/>
                      <w:bCs w:val="0"/>
                      <w:color w:val="000000" w:themeColor="text1"/>
                      <w:sz w:val="21"/>
                      <w:szCs w:val="21"/>
                      <w:u w:val="none" w:color="auto"/>
                      <w14:textFill>
                        <w14:solidFill>
                          <w14:schemeClr w14:val="tx1"/>
                        </w14:solidFill>
                      </w14:textFill>
                    </w:rPr>
                    <w:t>木焦油、木醋液</w:t>
                  </w:r>
                </w:p>
              </w:tc>
              <w:tc>
                <w:tcPr>
                  <w:tcW w:w="956" w:type="pct"/>
                  <w:tcBorders>
                    <w:top w:val="single" w:color="auto" w:sz="4" w:space="0"/>
                    <w:left w:val="single" w:color="auto" w:sz="4" w:space="0"/>
                    <w:bottom w:val="single" w:color="auto" w:sz="4" w:space="0"/>
                    <w:right w:val="single" w:color="auto" w:sz="4" w:space="0"/>
                  </w:tcBorders>
                  <w:noWrap w:val="0"/>
                  <w:vAlign w:val="center"/>
                </w:tcPr>
                <w:p w14:paraId="364E2F56">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val="0"/>
                      <w:bCs w:val="0"/>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u w:val="none" w:color="auto"/>
                      <w:lang w:val="en-US" w:eastAsia="zh-CN"/>
                      <w14:textFill>
                        <w14:solidFill>
                          <w14:schemeClr w14:val="tx1"/>
                        </w14:solidFill>
                      </w14:textFill>
                    </w:rPr>
                    <w:t>3974.89</w:t>
                  </w:r>
                </w:p>
              </w:tc>
            </w:tr>
            <w:tr w14:paraId="71FE0BE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345" w:type="pct"/>
                  <w:tcBorders>
                    <w:top w:val="single" w:color="auto" w:sz="4" w:space="0"/>
                    <w:left w:val="single" w:color="auto" w:sz="4" w:space="0"/>
                    <w:bottom w:val="single" w:color="auto" w:sz="4" w:space="0"/>
                    <w:right w:val="single" w:color="auto" w:sz="4" w:space="0"/>
                  </w:tcBorders>
                  <w:noWrap w:val="0"/>
                  <w:vAlign w:val="center"/>
                </w:tcPr>
                <w:p w14:paraId="1EDC714B">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u w:val="none" w:color="auto"/>
                      <w:lang w:val="en-US" w:eastAsia="zh-CN"/>
                      <w14:textFill>
                        <w14:solidFill>
                          <w14:schemeClr w14:val="tx1"/>
                        </w14:solidFill>
                      </w14:textFill>
                    </w:rPr>
                    <w:t>/</w:t>
                  </w:r>
                </w:p>
              </w:tc>
              <w:tc>
                <w:tcPr>
                  <w:tcW w:w="1041" w:type="pct"/>
                  <w:tcBorders>
                    <w:top w:val="single" w:color="auto" w:sz="4" w:space="0"/>
                    <w:left w:val="single" w:color="auto" w:sz="4" w:space="0"/>
                    <w:bottom w:val="single" w:color="auto" w:sz="4" w:space="0"/>
                    <w:right w:val="single" w:color="auto" w:sz="4" w:space="0"/>
                  </w:tcBorders>
                  <w:noWrap w:val="0"/>
                  <w:vAlign w:val="center"/>
                </w:tcPr>
                <w:p w14:paraId="4069683B">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u w:val="none" w:color="auto"/>
                      <w:lang w:val="en-US" w:eastAsia="zh-CN"/>
                      <w14:textFill>
                        <w14:solidFill>
                          <w14:schemeClr w14:val="tx1"/>
                        </w14:solidFill>
                      </w14:textFill>
                    </w:rPr>
                    <w:t>/</w:t>
                  </w:r>
                </w:p>
              </w:tc>
              <w:tc>
                <w:tcPr>
                  <w:tcW w:w="1657" w:type="pct"/>
                  <w:tcBorders>
                    <w:top w:val="single" w:color="auto" w:sz="4" w:space="0"/>
                    <w:left w:val="single" w:color="auto" w:sz="4" w:space="0"/>
                    <w:bottom w:val="single" w:color="auto" w:sz="4" w:space="0"/>
                    <w:right w:val="single" w:color="auto" w:sz="4" w:space="0"/>
                  </w:tcBorders>
                  <w:noWrap w:val="0"/>
                  <w:vAlign w:val="center"/>
                </w:tcPr>
                <w:p w14:paraId="2390A176">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val="0"/>
                      <w:bCs w:val="0"/>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u w:val="none" w:color="auto"/>
                      <w:lang w:val="en-US" w:eastAsia="zh-CN"/>
                      <w14:textFill>
                        <w14:solidFill>
                          <w14:schemeClr w14:val="tx1"/>
                        </w14:solidFill>
                      </w14:textFill>
                    </w:rPr>
                    <w:t>颗粒物</w:t>
                  </w:r>
                </w:p>
              </w:tc>
              <w:tc>
                <w:tcPr>
                  <w:tcW w:w="956" w:type="pct"/>
                  <w:tcBorders>
                    <w:top w:val="single" w:color="auto" w:sz="4" w:space="0"/>
                    <w:left w:val="single" w:color="auto" w:sz="4" w:space="0"/>
                    <w:bottom w:val="single" w:color="auto" w:sz="4" w:space="0"/>
                    <w:right w:val="single" w:color="auto" w:sz="4" w:space="0"/>
                  </w:tcBorders>
                  <w:noWrap w:val="0"/>
                  <w:vAlign w:val="center"/>
                </w:tcPr>
                <w:p w14:paraId="25728AAA">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val="0"/>
                      <w:bCs w:val="0"/>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u w:val="none" w:color="auto"/>
                      <w:lang w:val="en-US" w:eastAsia="zh-CN"/>
                      <w14:textFill>
                        <w14:solidFill>
                          <w14:schemeClr w14:val="tx1"/>
                        </w14:solidFill>
                      </w14:textFill>
                    </w:rPr>
                    <w:t>34.2</w:t>
                  </w:r>
                </w:p>
              </w:tc>
            </w:tr>
            <w:tr w14:paraId="0DFE493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345" w:type="pct"/>
                  <w:tcBorders>
                    <w:top w:val="single" w:color="auto" w:sz="4" w:space="0"/>
                    <w:left w:val="single" w:color="auto" w:sz="4" w:space="0"/>
                    <w:bottom w:val="single" w:color="auto" w:sz="4" w:space="0"/>
                    <w:right w:val="single" w:color="auto" w:sz="4" w:space="0"/>
                  </w:tcBorders>
                  <w:noWrap w:val="0"/>
                  <w:vAlign w:val="center"/>
                </w:tcPr>
                <w:p w14:paraId="42FB627C">
                  <w:pPr>
                    <w:keepNext w:val="0"/>
                    <w:keepLines w:val="0"/>
                    <w:suppressLineNumbers w:val="0"/>
                    <w:spacing w:before="0" w:beforeAutospacing="0" w:after="0" w:afterAutospacing="0"/>
                    <w:ind w:left="0" w:right="0"/>
                    <w:jc w:val="center"/>
                    <w:rPr>
                      <w:rFonts w:hint="default" w:ascii="Times New Roman" w:hAnsi="Times New Roman" w:cs="Times New Roman"/>
                      <w:b w:val="0"/>
                      <w:bCs w:val="0"/>
                      <w:color w:val="000000" w:themeColor="text1"/>
                      <w:sz w:val="21"/>
                      <w:szCs w:val="21"/>
                      <w:highlight w:val="none"/>
                      <w:u w:val="none" w:color="auto"/>
                      <w:lang w:val="en-US" w:eastAsia="zh-CN"/>
                      <w14:textFill>
                        <w14:solidFill>
                          <w14:schemeClr w14:val="tx1"/>
                        </w14:solidFill>
                      </w14:textFill>
                    </w:rPr>
                  </w:pPr>
                </w:p>
              </w:tc>
              <w:tc>
                <w:tcPr>
                  <w:tcW w:w="1041" w:type="pct"/>
                  <w:tcBorders>
                    <w:top w:val="single" w:color="auto" w:sz="4" w:space="0"/>
                    <w:left w:val="single" w:color="auto" w:sz="4" w:space="0"/>
                    <w:bottom w:val="single" w:color="auto" w:sz="4" w:space="0"/>
                    <w:right w:val="single" w:color="auto" w:sz="4" w:space="0"/>
                  </w:tcBorders>
                  <w:noWrap w:val="0"/>
                  <w:vAlign w:val="center"/>
                </w:tcPr>
                <w:p w14:paraId="16F0A584">
                  <w:pPr>
                    <w:keepNext w:val="0"/>
                    <w:keepLines w:val="0"/>
                    <w:suppressLineNumbers w:val="0"/>
                    <w:spacing w:before="0" w:beforeAutospacing="0" w:after="0" w:afterAutospacing="0"/>
                    <w:ind w:left="0" w:right="0"/>
                    <w:jc w:val="center"/>
                    <w:rPr>
                      <w:rFonts w:hint="default" w:ascii="Times New Roman" w:hAnsi="Times New Roman" w:cs="Times New Roman"/>
                      <w:b w:val="0"/>
                      <w:bCs w:val="0"/>
                      <w:color w:val="000000" w:themeColor="text1"/>
                      <w:sz w:val="21"/>
                      <w:szCs w:val="21"/>
                      <w:highlight w:val="none"/>
                      <w:u w:val="none" w:color="auto"/>
                      <w:lang w:val="en-US" w:eastAsia="zh-CN"/>
                      <w14:textFill>
                        <w14:solidFill>
                          <w14:schemeClr w14:val="tx1"/>
                        </w14:solidFill>
                      </w14:textFill>
                    </w:rPr>
                  </w:pPr>
                </w:p>
              </w:tc>
              <w:tc>
                <w:tcPr>
                  <w:tcW w:w="1657" w:type="pct"/>
                  <w:tcBorders>
                    <w:top w:val="single" w:color="auto" w:sz="4" w:space="0"/>
                    <w:left w:val="single" w:color="auto" w:sz="4" w:space="0"/>
                    <w:bottom w:val="single" w:color="auto" w:sz="4" w:space="0"/>
                    <w:right w:val="single" w:color="auto" w:sz="4" w:space="0"/>
                  </w:tcBorders>
                  <w:noWrap w:val="0"/>
                  <w:vAlign w:val="center"/>
                </w:tcPr>
                <w:p w14:paraId="72F3D1D3">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b w:val="0"/>
                      <w:bCs w:val="0"/>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u w:val="none" w:color="auto"/>
                      <w:lang w:val="en-US" w:eastAsia="zh-CN"/>
                      <w14:textFill>
                        <w14:solidFill>
                          <w14:schemeClr w14:val="tx1"/>
                        </w14:solidFill>
                      </w14:textFill>
                    </w:rPr>
                    <w:t>二氧化硫</w:t>
                  </w:r>
                </w:p>
              </w:tc>
              <w:tc>
                <w:tcPr>
                  <w:tcW w:w="956" w:type="pct"/>
                  <w:tcBorders>
                    <w:top w:val="single" w:color="auto" w:sz="4" w:space="0"/>
                    <w:left w:val="single" w:color="auto" w:sz="4" w:space="0"/>
                    <w:bottom w:val="single" w:color="auto" w:sz="4" w:space="0"/>
                    <w:right w:val="single" w:color="auto" w:sz="4" w:space="0"/>
                  </w:tcBorders>
                  <w:noWrap w:val="0"/>
                  <w:vAlign w:val="center"/>
                </w:tcPr>
                <w:p w14:paraId="00F9BCC2">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b w:val="0"/>
                      <w:bCs w:val="0"/>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u w:val="none" w:color="auto"/>
                      <w:lang w:val="en-US" w:eastAsia="zh-CN"/>
                      <w14:textFill>
                        <w14:solidFill>
                          <w14:schemeClr w14:val="tx1"/>
                        </w14:solidFill>
                      </w14:textFill>
                    </w:rPr>
                    <w:t>7.05</w:t>
                  </w:r>
                </w:p>
              </w:tc>
            </w:tr>
            <w:tr w14:paraId="2194FF0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345" w:type="pct"/>
                  <w:tcBorders>
                    <w:top w:val="single" w:color="auto" w:sz="4" w:space="0"/>
                    <w:left w:val="single" w:color="auto" w:sz="4" w:space="0"/>
                    <w:bottom w:val="single" w:color="auto" w:sz="4" w:space="0"/>
                    <w:right w:val="single" w:color="auto" w:sz="4" w:space="0"/>
                  </w:tcBorders>
                  <w:noWrap w:val="0"/>
                  <w:vAlign w:val="center"/>
                </w:tcPr>
                <w:p w14:paraId="3A538132">
                  <w:pPr>
                    <w:keepNext w:val="0"/>
                    <w:keepLines w:val="0"/>
                    <w:suppressLineNumbers w:val="0"/>
                    <w:spacing w:before="0" w:beforeAutospacing="0" w:after="0" w:afterAutospacing="0"/>
                    <w:ind w:left="0" w:right="0"/>
                    <w:jc w:val="center"/>
                    <w:rPr>
                      <w:rFonts w:hint="default" w:ascii="Times New Roman" w:hAnsi="Times New Roman" w:cs="Times New Roman"/>
                      <w:b w:val="0"/>
                      <w:bCs w:val="0"/>
                      <w:color w:val="000000" w:themeColor="text1"/>
                      <w:sz w:val="21"/>
                      <w:szCs w:val="21"/>
                      <w:highlight w:val="none"/>
                      <w:u w:val="none" w:color="auto"/>
                      <w:lang w:val="en-US" w:eastAsia="zh-CN"/>
                      <w14:textFill>
                        <w14:solidFill>
                          <w14:schemeClr w14:val="tx1"/>
                        </w14:solidFill>
                      </w14:textFill>
                    </w:rPr>
                  </w:pPr>
                </w:p>
              </w:tc>
              <w:tc>
                <w:tcPr>
                  <w:tcW w:w="1041" w:type="pct"/>
                  <w:tcBorders>
                    <w:top w:val="single" w:color="auto" w:sz="4" w:space="0"/>
                    <w:left w:val="single" w:color="auto" w:sz="4" w:space="0"/>
                    <w:bottom w:val="single" w:color="auto" w:sz="4" w:space="0"/>
                    <w:right w:val="single" w:color="auto" w:sz="4" w:space="0"/>
                  </w:tcBorders>
                  <w:noWrap w:val="0"/>
                  <w:vAlign w:val="center"/>
                </w:tcPr>
                <w:p w14:paraId="04E8007E">
                  <w:pPr>
                    <w:keepNext w:val="0"/>
                    <w:keepLines w:val="0"/>
                    <w:suppressLineNumbers w:val="0"/>
                    <w:spacing w:before="0" w:beforeAutospacing="0" w:after="0" w:afterAutospacing="0"/>
                    <w:ind w:left="0" w:right="0"/>
                    <w:jc w:val="center"/>
                    <w:rPr>
                      <w:rFonts w:hint="default" w:ascii="Times New Roman" w:hAnsi="Times New Roman" w:cs="Times New Roman"/>
                      <w:b w:val="0"/>
                      <w:bCs w:val="0"/>
                      <w:color w:val="000000" w:themeColor="text1"/>
                      <w:sz w:val="21"/>
                      <w:szCs w:val="21"/>
                      <w:highlight w:val="none"/>
                      <w:u w:val="none" w:color="auto"/>
                      <w:lang w:val="en-US" w:eastAsia="zh-CN"/>
                      <w14:textFill>
                        <w14:solidFill>
                          <w14:schemeClr w14:val="tx1"/>
                        </w14:solidFill>
                      </w14:textFill>
                    </w:rPr>
                  </w:pPr>
                </w:p>
              </w:tc>
              <w:tc>
                <w:tcPr>
                  <w:tcW w:w="1657" w:type="pct"/>
                  <w:tcBorders>
                    <w:top w:val="single" w:color="auto" w:sz="4" w:space="0"/>
                    <w:left w:val="single" w:color="auto" w:sz="4" w:space="0"/>
                    <w:bottom w:val="single" w:color="auto" w:sz="4" w:space="0"/>
                    <w:right w:val="single" w:color="auto" w:sz="4" w:space="0"/>
                  </w:tcBorders>
                  <w:noWrap w:val="0"/>
                  <w:vAlign w:val="center"/>
                </w:tcPr>
                <w:p w14:paraId="080791FC">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b w:val="0"/>
                      <w:bCs w:val="0"/>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u w:val="none" w:color="auto"/>
                      <w:lang w:val="en-US" w:eastAsia="zh-CN"/>
                      <w14:textFill>
                        <w14:solidFill>
                          <w14:schemeClr w14:val="tx1"/>
                        </w14:solidFill>
                      </w14:textFill>
                    </w:rPr>
                    <w:t>氮氧化物</w:t>
                  </w:r>
                </w:p>
              </w:tc>
              <w:tc>
                <w:tcPr>
                  <w:tcW w:w="956" w:type="pct"/>
                  <w:tcBorders>
                    <w:top w:val="single" w:color="auto" w:sz="4" w:space="0"/>
                    <w:left w:val="single" w:color="auto" w:sz="4" w:space="0"/>
                    <w:bottom w:val="single" w:color="auto" w:sz="4" w:space="0"/>
                    <w:right w:val="single" w:color="auto" w:sz="4" w:space="0"/>
                  </w:tcBorders>
                  <w:noWrap w:val="0"/>
                  <w:vAlign w:val="center"/>
                </w:tcPr>
                <w:p w14:paraId="56BE41AE">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b w:val="0"/>
                      <w:bCs w:val="0"/>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u w:val="none" w:color="auto"/>
                      <w:lang w:val="en-US" w:eastAsia="zh-CN"/>
                      <w14:textFill>
                        <w14:solidFill>
                          <w14:schemeClr w14:val="tx1"/>
                        </w14:solidFill>
                      </w14:textFill>
                    </w:rPr>
                    <w:t>4.5</w:t>
                  </w:r>
                </w:p>
              </w:tc>
            </w:tr>
            <w:tr w14:paraId="25000BA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345" w:type="pct"/>
                  <w:tcBorders>
                    <w:top w:val="single" w:color="auto" w:sz="4" w:space="0"/>
                    <w:left w:val="single" w:color="auto" w:sz="4" w:space="0"/>
                    <w:bottom w:val="single" w:color="auto" w:sz="4" w:space="0"/>
                    <w:right w:val="single" w:color="auto" w:sz="4" w:space="0"/>
                  </w:tcBorders>
                  <w:noWrap w:val="0"/>
                  <w:vAlign w:val="center"/>
                </w:tcPr>
                <w:p w14:paraId="679983CE">
                  <w:pPr>
                    <w:keepNext w:val="0"/>
                    <w:keepLines w:val="0"/>
                    <w:suppressLineNumbers w:val="0"/>
                    <w:spacing w:before="0" w:beforeAutospacing="0" w:after="0" w:afterAutospacing="0"/>
                    <w:ind w:left="0" w:right="0"/>
                    <w:jc w:val="center"/>
                    <w:rPr>
                      <w:rFonts w:hint="default" w:ascii="Times New Roman" w:hAnsi="Times New Roman" w:cs="Times New Roman"/>
                      <w:b w:val="0"/>
                      <w:bCs w:val="0"/>
                      <w:color w:val="000000" w:themeColor="text1"/>
                      <w:sz w:val="21"/>
                      <w:szCs w:val="21"/>
                      <w:highlight w:val="none"/>
                      <w:u w:val="none" w:color="auto"/>
                      <w:lang w:val="en-US" w:eastAsia="zh-CN"/>
                      <w14:textFill>
                        <w14:solidFill>
                          <w14:schemeClr w14:val="tx1"/>
                        </w14:solidFill>
                      </w14:textFill>
                    </w:rPr>
                  </w:pPr>
                </w:p>
              </w:tc>
              <w:tc>
                <w:tcPr>
                  <w:tcW w:w="1041" w:type="pct"/>
                  <w:tcBorders>
                    <w:top w:val="single" w:color="auto" w:sz="4" w:space="0"/>
                    <w:left w:val="single" w:color="auto" w:sz="4" w:space="0"/>
                    <w:bottom w:val="single" w:color="auto" w:sz="4" w:space="0"/>
                    <w:right w:val="single" w:color="auto" w:sz="4" w:space="0"/>
                  </w:tcBorders>
                  <w:noWrap w:val="0"/>
                  <w:vAlign w:val="center"/>
                </w:tcPr>
                <w:p w14:paraId="06CF4F40">
                  <w:pPr>
                    <w:keepNext w:val="0"/>
                    <w:keepLines w:val="0"/>
                    <w:suppressLineNumbers w:val="0"/>
                    <w:spacing w:before="0" w:beforeAutospacing="0" w:after="0" w:afterAutospacing="0"/>
                    <w:ind w:left="0" w:right="0"/>
                    <w:jc w:val="center"/>
                    <w:rPr>
                      <w:rFonts w:hint="default" w:ascii="Times New Roman" w:hAnsi="Times New Roman" w:cs="Times New Roman"/>
                      <w:b w:val="0"/>
                      <w:bCs w:val="0"/>
                      <w:color w:val="000000" w:themeColor="text1"/>
                      <w:sz w:val="21"/>
                      <w:szCs w:val="21"/>
                      <w:highlight w:val="none"/>
                      <w:u w:val="none" w:color="auto"/>
                      <w:lang w:val="en-US" w:eastAsia="zh-CN"/>
                      <w14:textFill>
                        <w14:solidFill>
                          <w14:schemeClr w14:val="tx1"/>
                        </w14:solidFill>
                      </w14:textFill>
                    </w:rPr>
                  </w:pPr>
                </w:p>
              </w:tc>
              <w:tc>
                <w:tcPr>
                  <w:tcW w:w="1657" w:type="pct"/>
                  <w:tcBorders>
                    <w:top w:val="single" w:color="auto" w:sz="4" w:space="0"/>
                    <w:left w:val="single" w:color="auto" w:sz="4" w:space="0"/>
                    <w:bottom w:val="single" w:color="auto" w:sz="4" w:space="0"/>
                    <w:right w:val="single" w:color="auto" w:sz="4" w:space="0"/>
                  </w:tcBorders>
                  <w:noWrap w:val="0"/>
                  <w:vAlign w:val="center"/>
                </w:tcPr>
                <w:p w14:paraId="50A0C381">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b w:val="0"/>
                      <w:bCs w:val="0"/>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u w:val="none" w:color="auto"/>
                      <w:lang w:val="en-US" w:eastAsia="zh-CN"/>
                      <w14:textFill>
                        <w14:solidFill>
                          <w14:schemeClr w14:val="tx1"/>
                        </w14:solidFill>
                      </w14:textFill>
                    </w:rPr>
                    <w:t>损耗</w:t>
                  </w:r>
                </w:p>
              </w:tc>
              <w:tc>
                <w:tcPr>
                  <w:tcW w:w="956" w:type="pct"/>
                  <w:tcBorders>
                    <w:top w:val="single" w:color="auto" w:sz="4" w:space="0"/>
                    <w:left w:val="single" w:color="auto" w:sz="4" w:space="0"/>
                    <w:bottom w:val="single" w:color="auto" w:sz="4" w:space="0"/>
                    <w:right w:val="single" w:color="auto" w:sz="4" w:space="0"/>
                  </w:tcBorders>
                  <w:noWrap w:val="0"/>
                  <w:vAlign w:val="center"/>
                </w:tcPr>
                <w:p w14:paraId="7505B16C">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b w:val="0"/>
                      <w:bCs w:val="0"/>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u w:val="none" w:color="auto"/>
                      <w:lang w:val="en-US" w:eastAsia="zh-CN"/>
                      <w14:textFill>
                        <w14:solidFill>
                          <w14:schemeClr w14:val="tx1"/>
                        </w14:solidFill>
                      </w14:textFill>
                    </w:rPr>
                    <w:t>42.29</w:t>
                  </w:r>
                </w:p>
              </w:tc>
            </w:tr>
            <w:tr w14:paraId="5C45F14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345" w:type="pct"/>
                  <w:tcBorders>
                    <w:top w:val="single" w:color="auto" w:sz="4" w:space="0"/>
                    <w:left w:val="single" w:color="auto" w:sz="4" w:space="0"/>
                    <w:bottom w:val="single" w:color="auto" w:sz="4" w:space="0"/>
                    <w:right w:val="single" w:color="auto" w:sz="4" w:space="0"/>
                  </w:tcBorders>
                  <w:noWrap w:val="0"/>
                  <w:vAlign w:val="center"/>
                </w:tcPr>
                <w:p w14:paraId="7F456987">
                  <w:pPr>
                    <w:keepNext w:val="0"/>
                    <w:keepLines w:val="0"/>
                    <w:suppressLineNumbers w:val="0"/>
                    <w:spacing w:before="0" w:beforeAutospacing="0" w:after="0" w:afterAutospacing="0"/>
                    <w:ind w:left="0" w:right="0"/>
                    <w:jc w:val="center"/>
                    <w:rPr>
                      <w:rFonts w:hint="default" w:ascii="Times New Roman" w:hAnsi="Times New Roman" w:cs="Times New Roman"/>
                      <w:b w:val="0"/>
                      <w:bCs w:val="0"/>
                      <w:color w:val="000000" w:themeColor="text1"/>
                      <w:sz w:val="21"/>
                      <w:szCs w:val="21"/>
                      <w:highlight w:val="none"/>
                      <w:u w:val="none" w:color="auto"/>
                      <w:lang w:val="en-US" w:eastAsia="zh-CN"/>
                      <w14:textFill>
                        <w14:solidFill>
                          <w14:schemeClr w14:val="tx1"/>
                        </w14:solidFill>
                      </w14:textFill>
                    </w:rPr>
                  </w:pPr>
                </w:p>
              </w:tc>
              <w:tc>
                <w:tcPr>
                  <w:tcW w:w="1041" w:type="pct"/>
                  <w:tcBorders>
                    <w:top w:val="single" w:color="auto" w:sz="4" w:space="0"/>
                    <w:left w:val="single" w:color="auto" w:sz="4" w:space="0"/>
                    <w:bottom w:val="single" w:color="auto" w:sz="4" w:space="0"/>
                    <w:right w:val="single" w:color="auto" w:sz="4" w:space="0"/>
                  </w:tcBorders>
                  <w:noWrap w:val="0"/>
                  <w:vAlign w:val="center"/>
                </w:tcPr>
                <w:p w14:paraId="6E64044D">
                  <w:pPr>
                    <w:keepNext w:val="0"/>
                    <w:keepLines w:val="0"/>
                    <w:suppressLineNumbers w:val="0"/>
                    <w:spacing w:before="0" w:beforeAutospacing="0" w:after="0" w:afterAutospacing="0"/>
                    <w:ind w:left="0" w:right="0"/>
                    <w:jc w:val="center"/>
                    <w:rPr>
                      <w:rFonts w:hint="default" w:ascii="Times New Roman" w:hAnsi="Times New Roman" w:cs="Times New Roman"/>
                      <w:b w:val="0"/>
                      <w:bCs w:val="0"/>
                      <w:color w:val="000000" w:themeColor="text1"/>
                      <w:sz w:val="21"/>
                      <w:szCs w:val="21"/>
                      <w:highlight w:val="none"/>
                      <w:u w:val="none" w:color="auto"/>
                      <w:lang w:val="en-US" w:eastAsia="zh-CN"/>
                      <w14:textFill>
                        <w14:solidFill>
                          <w14:schemeClr w14:val="tx1"/>
                        </w14:solidFill>
                      </w14:textFill>
                    </w:rPr>
                  </w:pPr>
                </w:p>
              </w:tc>
              <w:tc>
                <w:tcPr>
                  <w:tcW w:w="1657" w:type="pct"/>
                  <w:tcBorders>
                    <w:top w:val="single" w:color="auto" w:sz="4" w:space="0"/>
                    <w:left w:val="single" w:color="auto" w:sz="4" w:space="0"/>
                    <w:bottom w:val="single" w:color="auto" w:sz="4" w:space="0"/>
                    <w:right w:val="single" w:color="auto" w:sz="4" w:space="0"/>
                  </w:tcBorders>
                  <w:noWrap w:val="0"/>
                  <w:vAlign w:val="center"/>
                </w:tcPr>
                <w:p w14:paraId="711265D0">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b w:val="0"/>
                      <w:bCs w:val="0"/>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u w:val="none" w:color="auto"/>
                      <w:lang w:val="en-US" w:eastAsia="zh-CN"/>
                      <w14:textFill>
                        <w14:solidFill>
                          <w14:schemeClr w14:val="tx1"/>
                        </w14:solidFill>
                      </w14:textFill>
                    </w:rPr>
                    <w:t>原料装卸转运粉尘</w:t>
                  </w:r>
                </w:p>
              </w:tc>
              <w:tc>
                <w:tcPr>
                  <w:tcW w:w="956" w:type="pct"/>
                  <w:tcBorders>
                    <w:top w:val="single" w:color="auto" w:sz="4" w:space="0"/>
                    <w:left w:val="single" w:color="auto" w:sz="4" w:space="0"/>
                    <w:bottom w:val="single" w:color="auto" w:sz="4" w:space="0"/>
                    <w:right w:val="single" w:color="auto" w:sz="4" w:space="0"/>
                  </w:tcBorders>
                  <w:noWrap w:val="0"/>
                  <w:vAlign w:val="center"/>
                </w:tcPr>
                <w:p w14:paraId="3D3555D5">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b w:val="0"/>
                      <w:bCs w:val="0"/>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u w:val="none" w:color="auto"/>
                      <w:lang w:val="en-US" w:eastAsia="zh-CN"/>
                      <w14:textFill>
                        <w14:solidFill>
                          <w14:schemeClr w14:val="tx1"/>
                        </w14:solidFill>
                      </w14:textFill>
                    </w:rPr>
                    <w:t>4.27</w:t>
                  </w:r>
                </w:p>
              </w:tc>
            </w:tr>
            <w:tr w14:paraId="51482AC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345" w:type="pct"/>
                  <w:tcBorders>
                    <w:top w:val="single" w:color="auto" w:sz="4" w:space="0"/>
                    <w:left w:val="single" w:color="auto" w:sz="4" w:space="0"/>
                    <w:bottom w:val="single" w:color="auto" w:sz="4" w:space="0"/>
                    <w:right w:val="single" w:color="auto" w:sz="4" w:space="0"/>
                  </w:tcBorders>
                  <w:noWrap w:val="0"/>
                  <w:vAlign w:val="center"/>
                </w:tcPr>
                <w:p w14:paraId="45898444">
                  <w:pPr>
                    <w:keepNext w:val="0"/>
                    <w:keepLines w:val="0"/>
                    <w:suppressLineNumbers w:val="0"/>
                    <w:spacing w:before="0" w:beforeAutospacing="0" w:after="0" w:afterAutospacing="0"/>
                    <w:ind w:left="0" w:right="0"/>
                    <w:jc w:val="center"/>
                    <w:rPr>
                      <w:rFonts w:hint="default" w:ascii="Times New Roman" w:hAnsi="Times New Roman" w:cs="Times New Roman"/>
                      <w:b w:val="0"/>
                      <w:bCs w:val="0"/>
                      <w:color w:val="000000" w:themeColor="text1"/>
                      <w:sz w:val="21"/>
                      <w:szCs w:val="21"/>
                      <w:highlight w:val="none"/>
                      <w:u w:val="none" w:color="auto"/>
                      <w:lang w:val="en-US" w:eastAsia="zh-CN"/>
                      <w14:textFill>
                        <w14:solidFill>
                          <w14:schemeClr w14:val="tx1"/>
                        </w14:solidFill>
                      </w14:textFill>
                    </w:rPr>
                  </w:pPr>
                </w:p>
              </w:tc>
              <w:tc>
                <w:tcPr>
                  <w:tcW w:w="1041" w:type="pct"/>
                  <w:tcBorders>
                    <w:top w:val="single" w:color="auto" w:sz="4" w:space="0"/>
                    <w:left w:val="single" w:color="auto" w:sz="4" w:space="0"/>
                    <w:bottom w:val="single" w:color="auto" w:sz="4" w:space="0"/>
                    <w:right w:val="single" w:color="auto" w:sz="4" w:space="0"/>
                  </w:tcBorders>
                  <w:noWrap w:val="0"/>
                  <w:vAlign w:val="center"/>
                </w:tcPr>
                <w:p w14:paraId="00F81116">
                  <w:pPr>
                    <w:keepNext w:val="0"/>
                    <w:keepLines w:val="0"/>
                    <w:suppressLineNumbers w:val="0"/>
                    <w:spacing w:before="0" w:beforeAutospacing="0" w:after="0" w:afterAutospacing="0"/>
                    <w:ind w:left="0" w:right="0"/>
                    <w:jc w:val="center"/>
                    <w:rPr>
                      <w:rFonts w:hint="default" w:ascii="Times New Roman" w:hAnsi="Times New Roman" w:cs="Times New Roman"/>
                      <w:b w:val="0"/>
                      <w:bCs w:val="0"/>
                      <w:color w:val="000000" w:themeColor="text1"/>
                      <w:sz w:val="21"/>
                      <w:szCs w:val="21"/>
                      <w:highlight w:val="none"/>
                      <w:u w:val="none" w:color="auto"/>
                      <w:lang w:val="en-US" w:eastAsia="zh-CN"/>
                      <w14:textFill>
                        <w14:solidFill>
                          <w14:schemeClr w14:val="tx1"/>
                        </w14:solidFill>
                      </w14:textFill>
                    </w:rPr>
                  </w:pPr>
                </w:p>
              </w:tc>
              <w:tc>
                <w:tcPr>
                  <w:tcW w:w="1657" w:type="pct"/>
                  <w:tcBorders>
                    <w:top w:val="single" w:color="auto" w:sz="4" w:space="0"/>
                    <w:left w:val="single" w:color="auto" w:sz="4" w:space="0"/>
                    <w:bottom w:val="single" w:color="auto" w:sz="4" w:space="0"/>
                    <w:right w:val="single" w:color="auto" w:sz="4" w:space="0"/>
                  </w:tcBorders>
                  <w:noWrap w:val="0"/>
                  <w:vAlign w:val="center"/>
                </w:tcPr>
                <w:p w14:paraId="1A4EA76B">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b w:val="0"/>
                      <w:bCs w:val="0"/>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u w:val="none" w:color="auto"/>
                      <w:lang w:val="en-US" w:eastAsia="zh-CN"/>
                      <w14:textFill>
                        <w14:solidFill>
                          <w14:schemeClr w14:val="tx1"/>
                        </w14:solidFill>
                      </w14:textFill>
                    </w:rPr>
                    <w:t>破碎粉尘</w:t>
                  </w:r>
                </w:p>
              </w:tc>
              <w:tc>
                <w:tcPr>
                  <w:tcW w:w="956" w:type="pct"/>
                  <w:tcBorders>
                    <w:top w:val="single" w:color="auto" w:sz="4" w:space="0"/>
                    <w:left w:val="single" w:color="auto" w:sz="4" w:space="0"/>
                    <w:bottom w:val="single" w:color="auto" w:sz="4" w:space="0"/>
                    <w:right w:val="single" w:color="auto" w:sz="4" w:space="0"/>
                  </w:tcBorders>
                  <w:noWrap w:val="0"/>
                  <w:vAlign w:val="center"/>
                </w:tcPr>
                <w:p w14:paraId="7F83238B">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b w:val="0"/>
                      <w:bCs w:val="0"/>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u w:val="none" w:color="auto"/>
                      <w:lang w:val="en-US" w:eastAsia="zh-CN"/>
                      <w14:textFill>
                        <w14:solidFill>
                          <w14:schemeClr w14:val="tx1"/>
                        </w14:solidFill>
                      </w14:textFill>
                    </w:rPr>
                    <w:t>7.76</w:t>
                  </w:r>
                </w:p>
              </w:tc>
            </w:tr>
            <w:tr w14:paraId="11AA8E4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345" w:type="pct"/>
                  <w:tcBorders>
                    <w:top w:val="single" w:color="auto" w:sz="4" w:space="0"/>
                    <w:left w:val="single" w:color="auto" w:sz="4" w:space="0"/>
                    <w:bottom w:val="single" w:color="auto" w:sz="4" w:space="0"/>
                    <w:right w:val="single" w:color="auto" w:sz="4" w:space="0"/>
                  </w:tcBorders>
                  <w:noWrap w:val="0"/>
                  <w:vAlign w:val="center"/>
                </w:tcPr>
                <w:p w14:paraId="7B0BF160">
                  <w:pPr>
                    <w:keepNext w:val="0"/>
                    <w:keepLines w:val="0"/>
                    <w:suppressLineNumbers w:val="0"/>
                    <w:spacing w:before="0" w:beforeAutospacing="0" w:after="0" w:afterAutospacing="0"/>
                    <w:ind w:left="0" w:right="0"/>
                    <w:jc w:val="center"/>
                    <w:rPr>
                      <w:rFonts w:hint="default" w:ascii="Times New Roman" w:hAnsi="Times New Roman" w:cs="Times New Roman"/>
                      <w:b w:val="0"/>
                      <w:bCs w:val="0"/>
                      <w:color w:val="000000" w:themeColor="text1"/>
                      <w:sz w:val="21"/>
                      <w:szCs w:val="21"/>
                      <w:highlight w:val="none"/>
                      <w:u w:val="none" w:color="auto"/>
                      <w:lang w:val="en-US" w:eastAsia="zh-CN"/>
                      <w14:textFill>
                        <w14:solidFill>
                          <w14:schemeClr w14:val="tx1"/>
                        </w14:solidFill>
                      </w14:textFill>
                    </w:rPr>
                  </w:pPr>
                </w:p>
              </w:tc>
              <w:tc>
                <w:tcPr>
                  <w:tcW w:w="1041" w:type="pct"/>
                  <w:tcBorders>
                    <w:top w:val="single" w:color="auto" w:sz="4" w:space="0"/>
                    <w:left w:val="single" w:color="auto" w:sz="4" w:space="0"/>
                    <w:bottom w:val="single" w:color="auto" w:sz="4" w:space="0"/>
                    <w:right w:val="single" w:color="auto" w:sz="4" w:space="0"/>
                  </w:tcBorders>
                  <w:noWrap w:val="0"/>
                  <w:vAlign w:val="center"/>
                </w:tcPr>
                <w:p w14:paraId="4160A33B">
                  <w:pPr>
                    <w:keepNext w:val="0"/>
                    <w:keepLines w:val="0"/>
                    <w:suppressLineNumbers w:val="0"/>
                    <w:spacing w:before="0" w:beforeAutospacing="0" w:after="0" w:afterAutospacing="0"/>
                    <w:ind w:left="0" w:right="0"/>
                    <w:jc w:val="center"/>
                    <w:rPr>
                      <w:rFonts w:hint="default" w:ascii="Times New Roman" w:hAnsi="Times New Roman" w:cs="Times New Roman"/>
                      <w:b w:val="0"/>
                      <w:bCs w:val="0"/>
                      <w:color w:val="000000" w:themeColor="text1"/>
                      <w:sz w:val="21"/>
                      <w:szCs w:val="21"/>
                      <w:highlight w:val="none"/>
                      <w:u w:val="none" w:color="auto"/>
                      <w:lang w:val="en-US" w:eastAsia="zh-CN"/>
                      <w14:textFill>
                        <w14:solidFill>
                          <w14:schemeClr w14:val="tx1"/>
                        </w14:solidFill>
                      </w14:textFill>
                    </w:rPr>
                  </w:pPr>
                </w:p>
              </w:tc>
              <w:tc>
                <w:tcPr>
                  <w:tcW w:w="1657" w:type="pct"/>
                  <w:tcBorders>
                    <w:top w:val="single" w:color="auto" w:sz="4" w:space="0"/>
                    <w:left w:val="single" w:color="auto" w:sz="4" w:space="0"/>
                    <w:bottom w:val="single" w:color="auto" w:sz="4" w:space="0"/>
                    <w:right w:val="single" w:color="auto" w:sz="4" w:space="0"/>
                  </w:tcBorders>
                  <w:noWrap w:val="0"/>
                  <w:vAlign w:val="center"/>
                </w:tcPr>
                <w:p w14:paraId="106EB71A">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b w:val="0"/>
                      <w:bCs w:val="0"/>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u w:val="none" w:color="auto"/>
                      <w:lang w:val="en-US" w:eastAsia="zh-CN"/>
                      <w14:textFill>
                        <w14:solidFill>
                          <w14:schemeClr w14:val="tx1"/>
                        </w14:solidFill>
                      </w14:textFill>
                    </w:rPr>
                    <w:t>筛分粉尘</w:t>
                  </w:r>
                </w:p>
              </w:tc>
              <w:tc>
                <w:tcPr>
                  <w:tcW w:w="956" w:type="pct"/>
                  <w:tcBorders>
                    <w:top w:val="single" w:color="auto" w:sz="4" w:space="0"/>
                    <w:left w:val="single" w:color="auto" w:sz="4" w:space="0"/>
                    <w:bottom w:val="single" w:color="auto" w:sz="4" w:space="0"/>
                    <w:right w:val="single" w:color="auto" w:sz="4" w:space="0"/>
                  </w:tcBorders>
                  <w:noWrap w:val="0"/>
                  <w:vAlign w:val="center"/>
                </w:tcPr>
                <w:p w14:paraId="11C57976">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b w:val="0"/>
                      <w:bCs w:val="0"/>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u w:val="none" w:color="auto"/>
                      <w:lang w:val="en-US" w:eastAsia="zh-CN"/>
                      <w14:textFill>
                        <w14:solidFill>
                          <w14:schemeClr w14:val="tx1"/>
                        </w14:solidFill>
                      </w14:textFill>
                    </w:rPr>
                    <w:t>7.76</w:t>
                  </w:r>
                </w:p>
              </w:tc>
            </w:tr>
            <w:tr w14:paraId="0822531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345" w:type="pct"/>
                  <w:tcBorders>
                    <w:top w:val="single" w:color="auto" w:sz="4" w:space="0"/>
                    <w:left w:val="single" w:color="auto" w:sz="4" w:space="0"/>
                    <w:bottom w:val="single" w:color="auto" w:sz="4" w:space="0"/>
                    <w:right w:val="single" w:color="auto" w:sz="4" w:space="0"/>
                  </w:tcBorders>
                  <w:noWrap w:val="0"/>
                  <w:vAlign w:val="center"/>
                </w:tcPr>
                <w:p w14:paraId="139BA8C5">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u w:val="none" w:color="auto"/>
                      <w:lang w:val="en-US" w:eastAsia="zh-CN"/>
                      <w14:textFill>
                        <w14:solidFill>
                          <w14:schemeClr w14:val="tx1"/>
                        </w14:solidFill>
                      </w14:textFill>
                    </w:rPr>
                    <w:t>/</w:t>
                  </w:r>
                </w:p>
              </w:tc>
              <w:tc>
                <w:tcPr>
                  <w:tcW w:w="1041" w:type="pct"/>
                  <w:tcBorders>
                    <w:top w:val="single" w:color="auto" w:sz="4" w:space="0"/>
                    <w:left w:val="single" w:color="auto" w:sz="4" w:space="0"/>
                    <w:bottom w:val="single" w:color="auto" w:sz="4" w:space="0"/>
                    <w:right w:val="single" w:color="auto" w:sz="4" w:space="0"/>
                  </w:tcBorders>
                  <w:noWrap w:val="0"/>
                  <w:vAlign w:val="center"/>
                </w:tcPr>
                <w:p w14:paraId="1C118076">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u w:val="none" w:color="auto"/>
                      <w:lang w:val="en-US" w:eastAsia="zh-CN"/>
                      <w14:textFill>
                        <w14:solidFill>
                          <w14:schemeClr w14:val="tx1"/>
                        </w14:solidFill>
                      </w14:textFill>
                    </w:rPr>
                    <w:t>/</w:t>
                  </w:r>
                </w:p>
              </w:tc>
              <w:tc>
                <w:tcPr>
                  <w:tcW w:w="1657" w:type="pct"/>
                  <w:tcBorders>
                    <w:top w:val="single" w:color="auto" w:sz="4" w:space="0"/>
                    <w:left w:val="single" w:color="auto" w:sz="4" w:space="0"/>
                    <w:bottom w:val="single" w:color="auto" w:sz="4" w:space="0"/>
                    <w:right w:val="single" w:color="auto" w:sz="4" w:space="0"/>
                  </w:tcBorders>
                  <w:noWrap w:val="0"/>
                  <w:vAlign w:val="center"/>
                </w:tcPr>
                <w:p w14:paraId="49C8107A">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val="0"/>
                      <w:bCs w:val="0"/>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u w:val="none" w:color="auto"/>
                      <w:lang w:val="en-US" w:eastAsia="zh-CN"/>
                      <w14:textFill>
                        <w14:solidFill>
                          <w14:schemeClr w14:val="tx1"/>
                        </w14:solidFill>
                      </w14:textFill>
                    </w:rPr>
                    <w:t>物料烘干产生的粉尘（不含烘干炉燃料燃烧）</w:t>
                  </w:r>
                </w:p>
              </w:tc>
              <w:tc>
                <w:tcPr>
                  <w:tcW w:w="956" w:type="pct"/>
                  <w:tcBorders>
                    <w:top w:val="single" w:color="auto" w:sz="4" w:space="0"/>
                    <w:left w:val="single" w:color="auto" w:sz="4" w:space="0"/>
                    <w:bottom w:val="single" w:color="auto" w:sz="4" w:space="0"/>
                    <w:right w:val="single" w:color="auto" w:sz="4" w:space="0"/>
                  </w:tcBorders>
                  <w:noWrap w:val="0"/>
                  <w:vAlign w:val="center"/>
                </w:tcPr>
                <w:p w14:paraId="3BC18D5B">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val="0"/>
                      <w:bCs w:val="0"/>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u w:val="none" w:color="auto"/>
                      <w:lang w:val="en-US" w:eastAsia="zh-CN"/>
                      <w14:textFill>
                        <w14:solidFill>
                          <w14:schemeClr w14:val="tx1"/>
                        </w14:solidFill>
                      </w14:textFill>
                    </w:rPr>
                    <w:t>12.03</w:t>
                  </w:r>
                </w:p>
              </w:tc>
            </w:tr>
            <w:tr w14:paraId="3D25CE2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345" w:type="pct"/>
                  <w:tcBorders>
                    <w:top w:val="single" w:color="auto" w:sz="4" w:space="0"/>
                    <w:left w:val="single" w:color="auto" w:sz="4" w:space="0"/>
                    <w:bottom w:val="single" w:color="auto" w:sz="4" w:space="0"/>
                    <w:right w:val="single" w:color="auto" w:sz="4" w:space="0"/>
                  </w:tcBorders>
                  <w:noWrap w:val="0"/>
                  <w:vAlign w:val="center"/>
                </w:tcPr>
                <w:p w14:paraId="5A184F4D">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u w:val="none" w:color="auto"/>
                      <w:lang w:val="en-US" w:eastAsia="zh-CN"/>
                      <w14:textFill>
                        <w14:solidFill>
                          <w14:schemeClr w14:val="tx1"/>
                        </w14:solidFill>
                      </w14:textFill>
                    </w:rPr>
                    <w:t>/</w:t>
                  </w:r>
                </w:p>
              </w:tc>
              <w:tc>
                <w:tcPr>
                  <w:tcW w:w="1041" w:type="pct"/>
                  <w:tcBorders>
                    <w:top w:val="single" w:color="auto" w:sz="4" w:space="0"/>
                    <w:left w:val="single" w:color="auto" w:sz="4" w:space="0"/>
                    <w:bottom w:val="single" w:color="auto" w:sz="4" w:space="0"/>
                    <w:right w:val="single" w:color="auto" w:sz="4" w:space="0"/>
                  </w:tcBorders>
                  <w:noWrap w:val="0"/>
                  <w:vAlign w:val="center"/>
                </w:tcPr>
                <w:p w14:paraId="17A57E6F">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u w:val="none" w:color="auto"/>
                      <w:lang w:val="en-US" w:eastAsia="zh-CN"/>
                      <w14:textFill>
                        <w14:solidFill>
                          <w14:schemeClr w14:val="tx1"/>
                        </w14:solidFill>
                      </w14:textFill>
                    </w:rPr>
                    <w:t>/</w:t>
                  </w:r>
                </w:p>
              </w:tc>
              <w:tc>
                <w:tcPr>
                  <w:tcW w:w="1657" w:type="pct"/>
                  <w:tcBorders>
                    <w:top w:val="single" w:color="auto" w:sz="4" w:space="0"/>
                    <w:left w:val="single" w:color="auto" w:sz="4" w:space="0"/>
                    <w:bottom w:val="single" w:color="auto" w:sz="4" w:space="0"/>
                    <w:right w:val="single" w:color="auto" w:sz="4" w:space="0"/>
                  </w:tcBorders>
                  <w:noWrap w:val="0"/>
                  <w:vAlign w:val="center"/>
                </w:tcPr>
                <w:p w14:paraId="2FB10C41">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val="0"/>
                      <w:bCs w:val="0"/>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u w:val="none" w:color="auto"/>
                      <w:lang w:val="en-US" w:eastAsia="zh-CN"/>
                      <w14:textFill>
                        <w14:solidFill>
                          <w14:schemeClr w14:val="tx1"/>
                        </w14:solidFill>
                      </w14:textFill>
                    </w:rPr>
                    <w:t>制棒废气</w:t>
                  </w:r>
                </w:p>
              </w:tc>
              <w:tc>
                <w:tcPr>
                  <w:tcW w:w="956" w:type="pct"/>
                  <w:tcBorders>
                    <w:top w:val="single" w:color="auto" w:sz="4" w:space="0"/>
                    <w:left w:val="single" w:color="auto" w:sz="4" w:space="0"/>
                    <w:bottom w:val="single" w:color="auto" w:sz="4" w:space="0"/>
                    <w:right w:val="single" w:color="auto" w:sz="4" w:space="0"/>
                  </w:tcBorders>
                  <w:noWrap w:val="0"/>
                  <w:vAlign w:val="center"/>
                </w:tcPr>
                <w:p w14:paraId="50FDAAA6">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val="0"/>
                      <w:bCs w:val="0"/>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u w:val="none" w:color="auto"/>
                      <w:lang w:val="en-US" w:eastAsia="zh-CN"/>
                      <w14:textFill>
                        <w14:solidFill>
                          <w14:schemeClr w14:val="tx1"/>
                        </w14:solidFill>
                      </w14:textFill>
                    </w:rPr>
                    <w:t>2.01</w:t>
                  </w:r>
                </w:p>
              </w:tc>
            </w:tr>
            <w:tr w14:paraId="7B87CEA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345" w:type="pct"/>
                  <w:tcBorders>
                    <w:top w:val="single" w:color="auto" w:sz="4" w:space="0"/>
                    <w:left w:val="single" w:color="auto" w:sz="4" w:space="0"/>
                    <w:bottom w:val="single" w:color="auto" w:sz="4" w:space="0"/>
                    <w:right w:val="single" w:color="auto" w:sz="4" w:space="0"/>
                  </w:tcBorders>
                  <w:noWrap w:val="0"/>
                  <w:vAlign w:val="center"/>
                </w:tcPr>
                <w:p w14:paraId="6467A5E2">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u w:val="none" w:color="auto"/>
                      <w:lang w:val="en-US" w:eastAsia="zh-CN"/>
                      <w14:textFill>
                        <w14:solidFill>
                          <w14:schemeClr w14:val="tx1"/>
                        </w14:solidFill>
                      </w14:textFill>
                    </w:rPr>
                    <w:t>/</w:t>
                  </w:r>
                </w:p>
              </w:tc>
              <w:tc>
                <w:tcPr>
                  <w:tcW w:w="1041" w:type="pct"/>
                  <w:tcBorders>
                    <w:top w:val="single" w:color="auto" w:sz="4" w:space="0"/>
                    <w:left w:val="single" w:color="auto" w:sz="4" w:space="0"/>
                    <w:bottom w:val="single" w:color="auto" w:sz="4" w:space="0"/>
                    <w:right w:val="single" w:color="auto" w:sz="4" w:space="0"/>
                  </w:tcBorders>
                  <w:noWrap w:val="0"/>
                  <w:vAlign w:val="center"/>
                </w:tcPr>
                <w:p w14:paraId="092FBD6D">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u w:val="none" w:color="auto"/>
                      <w:lang w:val="en-US" w:eastAsia="zh-CN"/>
                      <w14:textFill>
                        <w14:solidFill>
                          <w14:schemeClr w14:val="tx1"/>
                        </w14:solidFill>
                      </w14:textFill>
                    </w:rPr>
                    <w:t>/</w:t>
                  </w:r>
                </w:p>
              </w:tc>
              <w:tc>
                <w:tcPr>
                  <w:tcW w:w="1657" w:type="pct"/>
                  <w:tcBorders>
                    <w:top w:val="single" w:color="auto" w:sz="4" w:space="0"/>
                    <w:left w:val="single" w:color="auto" w:sz="4" w:space="0"/>
                    <w:bottom w:val="single" w:color="auto" w:sz="4" w:space="0"/>
                    <w:right w:val="single" w:color="auto" w:sz="4" w:space="0"/>
                  </w:tcBorders>
                  <w:noWrap w:val="0"/>
                  <w:vAlign w:val="center"/>
                </w:tcPr>
                <w:p w14:paraId="79F13910">
                  <w:pPr>
                    <w:keepNext w:val="0"/>
                    <w:keepLines w:val="0"/>
                    <w:widowControl/>
                    <w:suppressLineNumbers w:val="0"/>
                    <w:spacing w:before="0" w:beforeAutospacing="0" w:after="0" w:afterAutospacing="0"/>
                    <w:ind w:left="0" w:leftChars="0" w:right="0" w:rightChars="0"/>
                    <w:jc w:val="center"/>
                    <w:rPr>
                      <w:rFonts w:hint="default" w:ascii="Times New Roman" w:hAnsi="Times New Roman" w:cs="Times New Roman"/>
                      <w:b w:val="0"/>
                      <w:bCs w:val="0"/>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u w:val="none" w:color="auto"/>
                      <w:lang w:val="en-US" w:eastAsia="zh-CN"/>
                      <w14:textFill>
                        <w14:solidFill>
                          <w14:schemeClr w14:val="tx1"/>
                        </w14:solidFill>
                      </w14:textFill>
                    </w:rPr>
                    <w:t>冷却锯切粉尘</w:t>
                  </w:r>
                </w:p>
              </w:tc>
              <w:tc>
                <w:tcPr>
                  <w:tcW w:w="956" w:type="pct"/>
                  <w:tcBorders>
                    <w:top w:val="single" w:color="auto" w:sz="4" w:space="0"/>
                    <w:left w:val="single" w:color="auto" w:sz="4" w:space="0"/>
                    <w:bottom w:val="single" w:color="auto" w:sz="4" w:space="0"/>
                    <w:right w:val="single" w:color="auto" w:sz="4" w:space="0"/>
                  </w:tcBorders>
                  <w:noWrap w:val="0"/>
                  <w:vAlign w:val="center"/>
                </w:tcPr>
                <w:p w14:paraId="4689A57C">
                  <w:pPr>
                    <w:pStyle w:val="49"/>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cs="Times New Roman"/>
                      <w:b w:val="0"/>
                      <w:bCs w:val="0"/>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u w:val="none" w:color="auto"/>
                      <w:lang w:val="en-US" w:eastAsia="zh-CN"/>
                      <w14:textFill>
                        <w14:solidFill>
                          <w14:schemeClr w14:val="tx1"/>
                        </w14:solidFill>
                      </w14:textFill>
                    </w:rPr>
                    <w:t>2.01</w:t>
                  </w:r>
                </w:p>
              </w:tc>
            </w:tr>
            <w:tr w14:paraId="6BAB4D2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345" w:type="pct"/>
                  <w:tcBorders>
                    <w:top w:val="single" w:color="auto" w:sz="4" w:space="0"/>
                    <w:left w:val="single" w:color="auto" w:sz="4" w:space="0"/>
                    <w:bottom w:val="single" w:color="auto" w:sz="4" w:space="0"/>
                    <w:right w:val="single" w:color="auto" w:sz="4" w:space="0"/>
                  </w:tcBorders>
                  <w:noWrap w:val="0"/>
                  <w:vAlign w:val="center"/>
                </w:tcPr>
                <w:p w14:paraId="3343D2FF">
                  <w:pPr>
                    <w:keepNext w:val="0"/>
                    <w:keepLines w:val="0"/>
                    <w:suppressLineNumbers w:val="0"/>
                    <w:spacing w:before="0" w:beforeAutospacing="0" w:after="0" w:afterAutospacing="0"/>
                    <w:ind w:left="0" w:right="0"/>
                    <w:jc w:val="center"/>
                    <w:rPr>
                      <w:rFonts w:hint="default" w:ascii="Times New Roman" w:hAnsi="Times New Roman" w:cs="Times New Roman"/>
                      <w:b w:val="0"/>
                      <w:bCs w:val="0"/>
                      <w:color w:val="000000" w:themeColor="text1"/>
                      <w:sz w:val="21"/>
                      <w:szCs w:val="21"/>
                      <w:highlight w:val="none"/>
                      <w:u w:val="none" w:color="auto"/>
                      <w:lang w:val="en-US" w:eastAsia="zh-CN"/>
                      <w14:textFill>
                        <w14:solidFill>
                          <w14:schemeClr w14:val="tx1"/>
                        </w14:solidFill>
                      </w14:textFill>
                    </w:rPr>
                  </w:pPr>
                </w:p>
              </w:tc>
              <w:tc>
                <w:tcPr>
                  <w:tcW w:w="1041" w:type="pct"/>
                  <w:tcBorders>
                    <w:top w:val="single" w:color="auto" w:sz="4" w:space="0"/>
                    <w:left w:val="single" w:color="auto" w:sz="4" w:space="0"/>
                    <w:bottom w:val="single" w:color="auto" w:sz="4" w:space="0"/>
                    <w:right w:val="single" w:color="auto" w:sz="4" w:space="0"/>
                  </w:tcBorders>
                  <w:noWrap w:val="0"/>
                  <w:vAlign w:val="center"/>
                </w:tcPr>
                <w:p w14:paraId="19760F06">
                  <w:pPr>
                    <w:keepNext w:val="0"/>
                    <w:keepLines w:val="0"/>
                    <w:suppressLineNumbers w:val="0"/>
                    <w:spacing w:before="0" w:beforeAutospacing="0" w:after="0" w:afterAutospacing="0"/>
                    <w:ind w:left="0" w:right="0"/>
                    <w:jc w:val="center"/>
                    <w:rPr>
                      <w:rFonts w:hint="default" w:ascii="Times New Roman" w:hAnsi="Times New Roman" w:cs="Times New Roman"/>
                      <w:b w:val="0"/>
                      <w:bCs w:val="0"/>
                      <w:color w:val="000000" w:themeColor="text1"/>
                      <w:sz w:val="21"/>
                      <w:szCs w:val="21"/>
                      <w:highlight w:val="none"/>
                      <w:u w:val="none" w:color="auto"/>
                      <w:lang w:val="en-US" w:eastAsia="zh-CN"/>
                      <w14:textFill>
                        <w14:solidFill>
                          <w14:schemeClr w14:val="tx1"/>
                        </w14:solidFill>
                      </w14:textFill>
                    </w:rPr>
                  </w:pPr>
                </w:p>
              </w:tc>
              <w:tc>
                <w:tcPr>
                  <w:tcW w:w="1657" w:type="pct"/>
                  <w:tcBorders>
                    <w:top w:val="single" w:color="auto" w:sz="4" w:space="0"/>
                    <w:left w:val="single" w:color="auto" w:sz="4" w:space="0"/>
                    <w:bottom w:val="single" w:color="auto" w:sz="4" w:space="0"/>
                    <w:right w:val="single" w:color="auto" w:sz="4" w:space="0"/>
                  </w:tcBorders>
                  <w:noWrap w:val="0"/>
                  <w:vAlign w:val="center"/>
                </w:tcPr>
                <w:p w14:paraId="763F7C71">
                  <w:pPr>
                    <w:keepNext w:val="0"/>
                    <w:keepLines w:val="0"/>
                    <w:widowControl/>
                    <w:suppressLineNumbers w:val="0"/>
                    <w:spacing w:before="0" w:beforeAutospacing="0" w:after="0" w:afterAutospacing="0"/>
                    <w:ind w:left="0" w:leftChars="0" w:right="0" w:rightChars="0"/>
                    <w:jc w:val="center"/>
                    <w:rPr>
                      <w:rFonts w:hint="default" w:ascii="Times New Roman" w:hAnsi="Times New Roman" w:cs="Times New Roman"/>
                      <w:b w:val="0"/>
                      <w:bCs w:val="0"/>
                      <w:color w:val="000000" w:themeColor="text1"/>
                      <w:sz w:val="21"/>
                      <w:szCs w:val="21"/>
                      <w:u w:val="none" w:color="auto"/>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u w:val="none" w:color="auto"/>
                      <w:lang w:val="en-US" w:eastAsia="zh-CN"/>
                      <w14:textFill>
                        <w14:solidFill>
                          <w14:schemeClr w14:val="tx1"/>
                        </w14:solidFill>
                      </w14:textFill>
                    </w:rPr>
                    <w:t>包装粉尘</w:t>
                  </w:r>
                </w:p>
              </w:tc>
              <w:tc>
                <w:tcPr>
                  <w:tcW w:w="956" w:type="pct"/>
                  <w:tcBorders>
                    <w:top w:val="single" w:color="auto" w:sz="4" w:space="0"/>
                    <w:left w:val="single" w:color="auto" w:sz="4" w:space="0"/>
                    <w:bottom w:val="single" w:color="auto" w:sz="4" w:space="0"/>
                    <w:right w:val="single" w:color="auto" w:sz="4" w:space="0"/>
                  </w:tcBorders>
                  <w:noWrap w:val="0"/>
                  <w:vAlign w:val="center"/>
                </w:tcPr>
                <w:p w14:paraId="63DDC16A">
                  <w:pPr>
                    <w:pStyle w:val="49"/>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cs="Times New Roman"/>
                      <w:b w:val="0"/>
                      <w:bCs w:val="0"/>
                      <w:color w:val="000000" w:themeColor="text1"/>
                      <w:sz w:val="21"/>
                      <w:szCs w:val="21"/>
                      <w:u w:val="none" w:color="auto"/>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u w:val="none" w:color="auto"/>
                      <w:lang w:val="en-US" w:eastAsia="zh-CN"/>
                      <w14:textFill>
                        <w14:solidFill>
                          <w14:schemeClr w14:val="tx1"/>
                        </w14:solidFill>
                      </w14:textFill>
                    </w:rPr>
                    <w:t>0.3</w:t>
                  </w:r>
                </w:p>
              </w:tc>
            </w:tr>
            <w:tr w14:paraId="45BEA5C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345"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22C3F33A">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val="0"/>
                      <w:bCs w:val="0"/>
                      <w:color w:val="000000" w:themeColor="text1"/>
                      <w:kern w:val="2"/>
                      <w:sz w:val="21"/>
                      <w:szCs w:val="21"/>
                      <w:highlight w:val="none"/>
                      <w:u w:val="none" w:color="auto"/>
                      <w:lang w:val="en-US" w:eastAsia="zh-CN" w:bidi="ar-SA"/>
                      <w14:textFill>
                        <w14:solidFill>
                          <w14:schemeClr w14:val="tx1"/>
                        </w14:solidFill>
                      </w14:textFill>
                    </w:rPr>
                  </w:pPr>
                  <w:r>
                    <w:rPr>
                      <w:rFonts w:hint="default" w:ascii="Times New Roman" w:hAnsi="Times New Roman" w:cs="Times New Roman"/>
                      <w:b w:val="0"/>
                      <w:bCs w:val="0"/>
                      <w:color w:val="000000" w:themeColor="text1"/>
                      <w:sz w:val="21"/>
                      <w:szCs w:val="21"/>
                      <w:highlight w:val="none"/>
                      <w:u w:val="none" w:color="auto"/>
                      <w:lang w:val="en-US" w:eastAsia="zh-CN"/>
                      <w14:textFill>
                        <w14:solidFill>
                          <w14:schemeClr w14:val="tx1"/>
                        </w14:solidFill>
                      </w14:textFill>
                    </w:rPr>
                    <w:t>/</w:t>
                  </w:r>
                </w:p>
              </w:tc>
              <w:tc>
                <w:tcPr>
                  <w:tcW w:w="1041"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60A0EB83">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val="0"/>
                      <w:bCs w:val="0"/>
                      <w:color w:val="000000" w:themeColor="text1"/>
                      <w:kern w:val="2"/>
                      <w:sz w:val="21"/>
                      <w:szCs w:val="21"/>
                      <w:highlight w:val="none"/>
                      <w:u w:val="none" w:color="auto"/>
                      <w:lang w:val="en-US" w:eastAsia="zh-CN" w:bidi="ar-SA"/>
                      <w14:textFill>
                        <w14:solidFill>
                          <w14:schemeClr w14:val="tx1"/>
                        </w14:solidFill>
                      </w14:textFill>
                    </w:rPr>
                  </w:pPr>
                  <w:r>
                    <w:rPr>
                      <w:rFonts w:hint="default" w:ascii="Times New Roman" w:hAnsi="Times New Roman" w:cs="Times New Roman"/>
                      <w:b w:val="0"/>
                      <w:bCs w:val="0"/>
                      <w:color w:val="000000" w:themeColor="text1"/>
                      <w:sz w:val="21"/>
                      <w:szCs w:val="21"/>
                      <w:highlight w:val="none"/>
                      <w:u w:val="none" w:color="auto"/>
                      <w:lang w:val="en-US" w:eastAsia="zh-CN"/>
                      <w14:textFill>
                        <w14:solidFill>
                          <w14:schemeClr w14:val="tx1"/>
                        </w14:solidFill>
                      </w14:textFill>
                    </w:rPr>
                    <w:t>/</w:t>
                  </w:r>
                </w:p>
              </w:tc>
              <w:tc>
                <w:tcPr>
                  <w:tcW w:w="1657"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55A88568">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val="0"/>
                      <w:bCs w:val="0"/>
                      <w:color w:val="000000" w:themeColor="text1"/>
                      <w:kern w:val="2"/>
                      <w:sz w:val="21"/>
                      <w:szCs w:val="21"/>
                      <w:highlight w:val="none"/>
                      <w:u w:val="none" w:color="auto"/>
                      <w:lang w:val="en-US" w:eastAsia="zh-CN" w:bidi="ar-SA"/>
                      <w14:textFill>
                        <w14:solidFill>
                          <w14:schemeClr w14:val="tx1"/>
                        </w14:solidFill>
                      </w14:textFill>
                    </w:rPr>
                  </w:pPr>
                  <w:r>
                    <w:rPr>
                      <w:rFonts w:hint="default" w:ascii="Times New Roman" w:hAnsi="Times New Roman" w:cs="Times New Roman"/>
                      <w:b w:val="0"/>
                      <w:bCs w:val="0"/>
                      <w:color w:val="000000" w:themeColor="text1"/>
                      <w:sz w:val="21"/>
                      <w:szCs w:val="21"/>
                      <w:highlight w:val="none"/>
                      <w:u w:val="none" w:color="auto"/>
                      <w:lang w:val="en-US" w:eastAsia="zh-CN"/>
                      <w14:textFill>
                        <w14:solidFill>
                          <w14:schemeClr w14:val="tx1"/>
                        </w14:solidFill>
                      </w14:textFill>
                    </w:rPr>
                    <w:t>物料损耗水蒸气</w:t>
                  </w:r>
                </w:p>
              </w:tc>
              <w:tc>
                <w:tcPr>
                  <w:tcW w:w="956"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7671297E">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val="0"/>
                      <w:bCs w:val="0"/>
                      <w:color w:val="000000" w:themeColor="text1"/>
                      <w:kern w:val="2"/>
                      <w:sz w:val="21"/>
                      <w:szCs w:val="21"/>
                      <w:highlight w:val="none"/>
                      <w:u w:val="none" w:color="auto"/>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highlight w:val="none"/>
                      <w:u w:val="none" w:color="auto"/>
                      <w:lang w:val="en-US" w:eastAsia="zh-CN"/>
                      <w14:textFill>
                        <w14:solidFill>
                          <w14:schemeClr w14:val="tx1"/>
                        </w14:solidFill>
                      </w14:textFill>
                    </w:rPr>
                    <w:t>2845.60</w:t>
                  </w:r>
                </w:p>
              </w:tc>
            </w:tr>
            <w:tr w14:paraId="0052153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345" w:type="pct"/>
                  <w:tcBorders>
                    <w:top w:val="single" w:color="auto" w:sz="4" w:space="0"/>
                    <w:left w:val="single" w:color="auto" w:sz="4" w:space="0"/>
                    <w:bottom w:val="single" w:color="auto" w:sz="4" w:space="0"/>
                    <w:right w:val="single" w:color="auto" w:sz="4" w:space="0"/>
                  </w:tcBorders>
                  <w:noWrap w:val="0"/>
                  <w:vAlign w:val="center"/>
                </w:tcPr>
                <w:p w14:paraId="5FC28BF6">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u w:val="none" w:color="auto"/>
                      <w:lang w:val="en-US" w:eastAsia="zh-CN"/>
                      <w14:textFill>
                        <w14:solidFill>
                          <w14:schemeClr w14:val="tx1"/>
                        </w14:solidFill>
                      </w14:textFill>
                    </w:rPr>
                    <w:t>合计</w:t>
                  </w:r>
                </w:p>
              </w:tc>
              <w:tc>
                <w:tcPr>
                  <w:tcW w:w="1041" w:type="pct"/>
                  <w:tcBorders>
                    <w:top w:val="single" w:color="auto" w:sz="4" w:space="0"/>
                    <w:left w:val="single" w:color="auto" w:sz="4" w:space="0"/>
                    <w:bottom w:val="single" w:color="auto" w:sz="4" w:space="0"/>
                    <w:right w:val="single" w:color="auto" w:sz="4" w:space="0"/>
                  </w:tcBorders>
                  <w:noWrap w:val="0"/>
                  <w:vAlign w:val="center"/>
                </w:tcPr>
                <w:p w14:paraId="20FB97E0">
                  <w:pPr>
                    <w:keepNext w:val="0"/>
                    <w:keepLines w:val="0"/>
                    <w:suppressLineNumbers w:val="0"/>
                    <w:spacing w:before="0" w:beforeAutospacing="0" w:after="0" w:afterAutospacing="0"/>
                    <w:ind w:left="0" w:right="0"/>
                    <w:jc w:val="center"/>
                    <w:rPr>
                      <w:rFonts w:hint="default" w:ascii="Times New Roman" w:hAnsi="Times New Roman" w:cs="Times New Roman"/>
                      <w:b w:val="0"/>
                      <w:bCs w:val="0"/>
                      <w:color w:val="000000" w:themeColor="text1"/>
                      <w:sz w:val="21"/>
                      <w:szCs w:val="21"/>
                      <w:highlight w:val="none"/>
                      <w:u w:val="none" w:color="auto"/>
                      <w:lang w:val="en-US"/>
                      <w14:textFill>
                        <w14:solidFill>
                          <w14:schemeClr w14:val="tx1"/>
                        </w14:solidFill>
                      </w14:textFill>
                    </w:rPr>
                  </w:pPr>
                  <w:r>
                    <w:rPr>
                      <w:rFonts w:hint="default" w:ascii="Times New Roman" w:hAnsi="Times New Roman" w:cs="Times New Roman"/>
                      <w:b w:val="0"/>
                      <w:bCs w:val="0"/>
                      <w:color w:val="000000" w:themeColor="text1"/>
                      <w:sz w:val="21"/>
                      <w:szCs w:val="21"/>
                      <w:highlight w:val="none"/>
                      <w:u w:val="none" w:color="auto"/>
                      <w:lang w:val="en-US" w:eastAsia="zh-CN"/>
                      <w14:textFill>
                        <w14:solidFill>
                          <w14:schemeClr w14:val="tx1"/>
                        </w14:solidFill>
                      </w14:textFill>
                    </w:rPr>
                    <w:t>11382.39</w:t>
                  </w:r>
                </w:p>
              </w:tc>
              <w:tc>
                <w:tcPr>
                  <w:tcW w:w="1657" w:type="pct"/>
                  <w:tcBorders>
                    <w:top w:val="single" w:color="auto" w:sz="4" w:space="0"/>
                    <w:left w:val="single" w:color="auto" w:sz="4" w:space="0"/>
                    <w:bottom w:val="single" w:color="auto" w:sz="4" w:space="0"/>
                    <w:right w:val="single" w:color="auto" w:sz="4" w:space="0"/>
                  </w:tcBorders>
                  <w:noWrap w:val="0"/>
                  <w:vAlign w:val="center"/>
                </w:tcPr>
                <w:p w14:paraId="0063EDFF">
                  <w:pPr>
                    <w:keepNext w:val="0"/>
                    <w:keepLines w:val="0"/>
                    <w:suppressLineNumbers w:val="0"/>
                    <w:spacing w:before="0" w:beforeAutospacing="0" w:after="0" w:afterAutospacing="0"/>
                    <w:ind w:left="0" w:right="0"/>
                    <w:jc w:val="center"/>
                    <w:rPr>
                      <w:rFonts w:hint="default" w:ascii="Times New Roman" w:hAnsi="Times New Roman" w:cs="Times New Roman"/>
                      <w:b w:val="0"/>
                      <w:bCs w:val="0"/>
                      <w:color w:val="000000" w:themeColor="text1"/>
                      <w:sz w:val="21"/>
                      <w:szCs w:val="21"/>
                      <w:highlight w:val="none"/>
                      <w:u w:val="none" w:color="auto"/>
                      <w14:textFill>
                        <w14:solidFill>
                          <w14:schemeClr w14:val="tx1"/>
                        </w14:solidFill>
                      </w14:textFill>
                    </w:rPr>
                  </w:pPr>
                  <w:r>
                    <w:rPr>
                      <w:rFonts w:hint="default" w:ascii="Times New Roman" w:hAnsi="Times New Roman" w:cs="Times New Roman"/>
                      <w:b w:val="0"/>
                      <w:bCs w:val="0"/>
                      <w:color w:val="000000" w:themeColor="text1"/>
                      <w:sz w:val="21"/>
                      <w:szCs w:val="21"/>
                      <w:highlight w:val="none"/>
                      <w:u w:val="none" w:color="auto"/>
                      <w14:textFill>
                        <w14:solidFill>
                          <w14:schemeClr w14:val="tx1"/>
                        </w14:solidFill>
                      </w14:textFill>
                    </w:rPr>
                    <w:t>合计</w:t>
                  </w:r>
                </w:p>
              </w:tc>
              <w:tc>
                <w:tcPr>
                  <w:tcW w:w="956" w:type="pct"/>
                  <w:tcBorders>
                    <w:top w:val="single" w:color="auto" w:sz="4" w:space="0"/>
                    <w:left w:val="single" w:color="auto" w:sz="4" w:space="0"/>
                    <w:bottom w:val="single" w:color="auto" w:sz="4" w:space="0"/>
                    <w:right w:val="single" w:color="auto" w:sz="4" w:space="0"/>
                  </w:tcBorders>
                  <w:noWrap w:val="0"/>
                  <w:vAlign w:val="center"/>
                </w:tcPr>
                <w:p w14:paraId="0373A7EE">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u w:val="none" w:color="auto"/>
                      <w:lang w:val="en-US" w:eastAsia="zh-CN"/>
                      <w14:textFill>
                        <w14:solidFill>
                          <w14:schemeClr w14:val="tx1"/>
                        </w14:solidFill>
                      </w14:textFill>
                    </w:rPr>
                    <w:t>11382.39</w:t>
                  </w:r>
                </w:p>
              </w:tc>
            </w:tr>
          </w:tbl>
          <w:p w14:paraId="53103D05">
            <w:pPr>
              <w:keepNext w:val="0"/>
              <w:keepLines w:val="0"/>
              <w:suppressLineNumbers w:val="0"/>
              <w:spacing w:before="0" w:beforeAutospacing="0" w:after="0" w:afterAutospacing="0" w:line="360" w:lineRule="auto"/>
              <w:ind w:left="0" w:right="0" w:firstLine="480" w:firstLineChars="200"/>
              <w:rPr>
                <w:rFonts w:hint="eastAsia"/>
                <w:bCs/>
                <w:color w:val="000000" w:themeColor="text1"/>
                <w:sz w:val="24"/>
                <w:szCs w:val="24"/>
                <w:u w:val="none" w:color="auto"/>
                <w:lang w:val="en-US" w:eastAsia="zh-CN"/>
                <w14:textFill>
                  <w14:solidFill>
                    <w14:schemeClr w14:val="tx1"/>
                  </w14:solidFill>
                </w14:textFill>
              </w:rPr>
            </w:pPr>
            <w:r>
              <w:rPr>
                <w:rFonts w:hint="eastAsia"/>
                <w:bCs/>
                <w:color w:val="000000" w:themeColor="text1"/>
                <w:sz w:val="24"/>
                <w:szCs w:val="24"/>
                <w:u w:val="none" w:color="auto"/>
                <w:lang w:val="en-US" w:eastAsia="zh-CN"/>
                <w14:textFill>
                  <w14:solidFill>
                    <w14:schemeClr w14:val="tx1"/>
                  </w14:solidFill>
                </w14:textFill>
              </w:rPr>
              <w:t>机制炭生产线炭化工序物料平衡如下：</w:t>
            </w:r>
          </w:p>
          <w:p w14:paraId="6600D4C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eastAsia="宋体" w:cs="Times New Roman"/>
                <w:b/>
                <w:color w:val="000000" w:themeColor="text1"/>
                <w:sz w:val="24"/>
                <w:szCs w:val="24"/>
                <w:highlight w:val="none"/>
                <w:u w:val="none" w:color="auto"/>
                <w14:textFill>
                  <w14:solidFill>
                    <w14:schemeClr w14:val="tx1"/>
                  </w14:solidFill>
                </w14:textFill>
              </w:rPr>
            </w:pPr>
            <w:r>
              <w:rPr>
                <w:rFonts w:hint="default" w:ascii="Times New Roman" w:hAnsi="Times New Roman" w:eastAsia="宋体" w:cs="Times New Roman"/>
                <w:b/>
                <w:color w:val="000000" w:themeColor="text1"/>
                <w:sz w:val="24"/>
                <w:szCs w:val="24"/>
                <w:highlight w:val="none"/>
                <w:u w:val="none" w:color="auto"/>
                <w14:textFill>
                  <w14:solidFill>
                    <w14:schemeClr w14:val="tx1"/>
                  </w14:solidFill>
                </w14:textFill>
              </w:rPr>
              <w:t>表2-</w:t>
            </w:r>
            <w:r>
              <w:rPr>
                <w:rFonts w:hint="eastAsia" w:cs="Times New Roman"/>
                <w:b/>
                <w:color w:val="000000" w:themeColor="text1"/>
                <w:sz w:val="24"/>
                <w:szCs w:val="24"/>
                <w:highlight w:val="none"/>
                <w:u w:val="none" w:color="auto"/>
                <w:lang w:val="en-US" w:eastAsia="zh-CN"/>
                <w14:textFill>
                  <w14:solidFill>
                    <w14:schemeClr w14:val="tx1"/>
                  </w14:solidFill>
                </w14:textFill>
              </w:rPr>
              <w:t>11</w:t>
            </w:r>
            <w:r>
              <w:rPr>
                <w:rFonts w:hint="default" w:ascii="Times New Roman" w:hAnsi="Times New Roman" w:eastAsia="宋体" w:cs="Times New Roman"/>
                <w:b/>
                <w:color w:val="000000" w:themeColor="text1"/>
                <w:sz w:val="24"/>
                <w:szCs w:val="24"/>
                <w:highlight w:val="none"/>
                <w:u w:val="none" w:color="auto"/>
                <w14:textFill>
                  <w14:solidFill>
                    <w14:schemeClr w14:val="tx1"/>
                  </w14:solidFill>
                </w14:textFill>
              </w:rPr>
              <w:t xml:space="preserve">   </w:t>
            </w:r>
            <w:r>
              <w:rPr>
                <w:rFonts w:hint="eastAsia" w:ascii="Times New Roman" w:hAnsi="Times New Roman" w:eastAsia="宋体" w:cs="Times New Roman"/>
                <w:b/>
                <w:color w:val="000000" w:themeColor="text1"/>
                <w:sz w:val="24"/>
                <w:szCs w:val="24"/>
                <w:highlight w:val="none"/>
                <w:u w:val="none" w:color="auto"/>
                <w14:textFill>
                  <w14:solidFill>
                    <w14:schemeClr w14:val="tx1"/>
                  </w14:solidFill>
                </w14:textFill>
              </w:rPr>
              <w:t>项目</w:t>
            </w:r>
            <w:r>
              <w:rPr>
                <w:rFonts w:hint="eastAsia" w:ascii="Times New Roman" w:hAnsi="Times New Roman" w:eastAsia="宋体" w:cs="Times New Roman"/>
                <w:b/>
                <w:color w:val="000000" w:themeColor="text1"/>
                <w:sz w:val="24"/>
                <w:szCs w:val="24"/>
                <w:highlight w:val="none"/>
                <w:u w:val="none" w:color="auto"/>
                <w:lang w:val="en-US" w:eastAsia="zh-CN"/>
                <w14:textFill>
                  <w14:solidFill>
                    <w14:schemeClr w14:val="tx1"/>
                  </w14:solidFill>
                </w14:textFill>
              </w:rPr>
              <w:t>机制炭</w:t>
            </w:r>
            <w:r>
              <w:rPr>
                <w:rFonts w:hint="eastAsia" w:cs="Times New Roman"/>
                <w:b/>
                <w:color w:val="000000" w:themeColor="text1"/>
                <w:sz w:val="24"/>
                <w:szCs w:val="24"/>
                <w:highlight w:val="none"/>
                <w:u w:val="none" w:color="auto"/>
                <w:lang w:val="en-US" w:eastAsia="zh-CN"/>
                <w14:textFill>
                  <w14:solidFill>
                    <w14:schemeClr w14:val="tx1"/>
                  </w14:solidFill>
                </w14:textFill>
              </w:rPr>
              <w:t>炭化工序</w:t>
            </w:r>
            <w:r>
              <w:rPr>
                <w:rFonts w:hint="eastAsia" w:ascii="Times New Roman" w:hAnsi="Times New Roman" w:eastAsia="宋体" w:cs="Times New Roman"/>
                <w:b/>
                <w:color w:val="000000" w:themeColor="text1"/>
                <w:sz w:val="24"/>
                <w:szCs w:val="24"/>
                <w:highlight w:val="none"/>
                <w:u w:val="none" w:color="auto"/>
                <w14:textFill>
                  <w14:solidFill>
                    <w14:schemeClr w14:val="tx1"/>
                  </w14:solidFill>
                </w14:textFill>
              </w:rPr>
              <w:t>物料平衡</w:t>
            </w:r>
            <w:r>
              <w:rPr>
                <w:rFonts w:hint="default" w:ascii="Times New Roman" w:hAnsi="Times New Roman" w:eastAsia="宋体" w:cs="Times New Roman"/>
                <w:b/>
                <w:color w:val="000000" w:themeColor="text1"/>
                <w:sz w:val="24"/>
                <w:szCs w:val="24"/>
                <w:highlight w:val="none"/>
                <w:u w:val="none" w:color="auto"/>
                <w14:textFill>
                  <w14:solidFill>
                    <w14:schemeClr w14:val="tx1"/>
                  </w14:solidFill>
                </w14:textFill>
              </w:rPr>
              <w:t>一览表</w:t>
            </w:r>
          </w:p>
          <w:tbl>
            <w:tblPr>
              <w:tblStyle w:val="29"/>
              <w:tblW w:w="9253"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723"/>
              <w:gridCol w:w="2694"/>
              <w:gridCol w:w="2664"/>
              <w:gridCol w:w="2172"/>
            </w:tblGrid>
            <w:tr w14:paraId="343A51F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931" w:type="pct"/>
                  <w:tcBorders>
                    <w:top w:val="single" w:color="auto" w:sz="4" w:space="0"/>
                    <w:left w:val="single" w:color="auto" w:sz="4" w:space="0"/>
                    <w:bottom w:val="single" w:color="auto" w:sz="4" w:space="0"/>
                    <w:right w:val="single" w:color="auto" w:sz="4" w:space="0"/>
                  </w:tcBorders>
                  <w:noWrap w:val="0"/>
                  <w:vAlign w:val="center"/>
                </w:tcPr>
                <w:p w14:paraId="400A06B8">
                  <w:pPr>
                    <w:keepNext w:val="0"/>
                    <w:keepLines w:val="0"/>
                    <w:suppressLineNumbers w:val="0"/>
                    <w:spacing w:before="0" w:beforeAutospacing="0" w:after="0" w:afterAutospacing="0"/>
                    <w:ind w:left="0" w:right="0"/>
                    <w:jc w:val="center"/>
                    <w:rPr>
                      <w:rFonts w:hint="default" w:eastAsia="宋体"/>
                      <w:color w:val="000000" w:themeColor="text1"/>
                      <w:sz w:val="21"/>
                      <w:szCs w:val="21"/>
                      <w:u w:val="none" w:color="auto"/>
                      <w:lang w:val="en-US" w:eastAsia="zh-CN"/>
                      <w14:textFill>
                        <w14:solidFill>
                          <w14:schemeClr w14:val="tx1"/>
                        </w14:solidFill>
                      </w14:textFill>
                    </w:rPr>
                  </w:pPr>
                  <w:r>
                    <w:rPr>
                      <w:rFonts w:hint="eastAsia"/>
                      <w:color w:val="000000" w:themeColor="text1"/>
                      <w:sz w:val="21"/>
                      <w:szCs w:val="21"/>
                      <w:u w:val="none" w:color="auto"/>
                      <w:lang w:val="en-US" w:eastAsia="zh-CN"/>
                      <w14:textFill>
                        <w14:solidFill>
                          <w14:schemeClr w14:val="tx1"/>
                        </w14:solidFill>
                      </w14:textFill>
                    </w:rPr>
                    <w:t>进入炭化工序原料</w:t>
                  </w:r>
                  <w:r>
                    <w:rPr>
                      <w:rFonts w:hint="eastAsia"/>
                      <w:color w:val="000000" w:themeColor="text1"/>
                      <w:sz w:val="21"/>
                      <w:szCs w:val="21"/>
                      <w:u w:val="none" w:color="auto"/>
                      <w14:textFill>
                        <w14:solidFill>
                          <w14:schemeClr w14:val="tx1"/>
                        </w14:solidFill>
                      </w14:textFill>
                    </w:rPr>
                    <w:t>（t/a）</w:t>
                  </w:r>
                </w:p>
              </w:tc>
              <w:tc>
                <w:tcPr>
                  <w:tcW w:w="1455" w:type="pct"/>
                  <w:tcBorders>
                    <w:top w:val="single" w:color="auto" w:sz="4" w:space="0"/>
                    <w:left w:val="single" w:color="auto" w:sz="4" w:space="0"/>
                    <w:bottom w:val="single" w:color="auto" w:sz="4" w:space="0"/>
                    <w:right w:val="single" w:color="auto" w:sz="4" w:space="0"/>
                  </w:tcBorders>
                  <w:noWrap w:val="0"/>
                  <w:vAlign w:val="center"/>
                </w:tcPr>
                <w:p w14:paraId="6EAE4EBE">
                  <w:pPr>
                    <w:keepNext w:val="0"/>
                    <w:keepLines w:val="0"/>
                    <w:suppressLineNumbers w:val="0"/>
                    <w:spacing w:before="0" w:beforeAutospacing="0" w:after="0" w:afterAutospacing="0"/>
                    <w:ind w:left="0" w:right="0"/>
                    <w:jc w:val="center"/>
                    <w:rPr>
                      <w:rFonts w:hint="eastAsia" w:eastAsia="宋体"/>
                      <w:color w:val="000000" w:themeColor="text1"/>
                      <w:sz w:val="21"/>
                      <w:szCs w:val="21"/>
                      <w:u w:val="none" w:color="auto"/>
                      <w:lang w:val="en-US" w:eastAsia="zh-CN"/>
                      <w14:textFill>
                        <w14:solidFill>
                          <w14:schemeClr w14:val="tx1"/>
                        </w14:solidFill>
                      </w14:textFill>
                    </w:rPr>
                  </w:pPr>
                  <w:r>
                    <w:rPr>
                      <w:rFonts w:hint="eastAsia"/>
                      <w:color w:val="000000" w:themeColor="text1"/>
                      <w:sz w:val="21"/>
                      <w:szCs w:val="21"/>
                      <w:u w:val="none" w:color="auto"/>
                      <w:lang w:val="en-US" w:eastAsia="zh-CN"/>
                      <w14:textFill>
                        <w14:solidFill>
                          <w14:schemeClr w14:val="tx1"/>
                        </w14:solidFill>
                      </w14:textFill>
                    </w:rPr>
                    <w:t>数量</w:t>
                  </w:r>
                  <w:r>
                    <w:rPr>
                      <w:rFonts w:hint="eastAsia"/>
                      <w:color w:val="000000" w:themeColor="text1"/>
                      <w:sz w:val="21"/>
                      <w:szCs w:val="21"/>
                      <w:u w:val="none" w:color="auto"/>
                      <w14:textFill>
                        <w14:solidFill>
                          <w14:schemeClr w14:val="tx1"/>
                        </w14:solidFill>
                      </w14:textFill>
                    </w:rPr>
                    <w:t>（t/a）</w:t>
                  </w:r>
                </w:p>
              </w:tc>
              <w:tc>
                <w:tcPr>
                  <w:tcW w:w="1439" w:type="pct"/>
                  <w:tcBorders>
                    <w:top w:val="single" w:color="auto" w:sz="4" w:space="0"/>
                    <w:left w:val="single" w:color="auto" w:sz="4" w:space="0"/>
                    <w:bottom w:val="single" w:color="auto" w:sz="4" w:space="0"/>
                    <w:right w:val="single" w:color="auto" w:sz="4" w:space="0"/>
                  </w:tcBorders>
                  <w:noWrap w:val="0"/>
                  <w:vAlign w:val="center"/>
                </w:tcPr>
                <w:p w14:paraId="3A1314B6">
                  <w:pPr>
                    <w:keepNext w:val="0"/>
                    <w:keepLines w:val="0"/>
                    <w:suppressLineNumbers w:val="0"/>
                    <w:spacing w:before="0" w:beforeAutospacing="0" w:after="0" w:afterAutospacing="0"/>
                    <w:ind w:left="0" w:right="0"/>
                    <w:jc w:val="center"/>
                    <w:rPr>
                      <w:rFonts w:hint="default" w:eastAsia="宋体"/>
                      <w:color w:val="000000" w:themeColor="text1"/>
                      <w:sz w:val="21"/>
                      <w:szCs w:val="21"/>
                      <w:u w:val="none" w:color="auto"/>
                      <w:lang w:val="en-US" w:eastAsia="zh-CN"/>
                      <w14:textFill>
                        <w14:solidFill>
                          <w14:schemeClr w14:val="tx1"/>
                        </w14:solidFill>
                      </w14:textFill>
                    </w:rPr>
                  </w:pPr>
                  <w:r>
                    <w:rPr>
                      <w:rFonts w:hint="eastAsia"/>
                      <w:color w:val="000000" w:themeColor="text1"/>
                      <w:sz w:val="21"/>
                      <w:szCs w:val="21"/>
                      <w:u w:val="none" w:color="auto"/>
                      <w:lang w:val="en-US" w:eastAsia="zh-CN"/>
                      <w14:textFill>
                        <w14:solidFill>
                          <w14:schemeClr w14:val="tx1"/>
                        </w14:solidFill>
                      </w14:textFill>
                    </w:rPr>
                    <w:t>产出物料名称</w:t>
                  </w:r>
                </w:p>
              </w:tc>
              <w:tc>
                <w:tcPr>
                  <w:tcW w:w="1173" w:type="pct"/>
                  <w:tcBorders>
                    <w:top w:val="single" w:color="auto" w:sz="4" w:space="0"/>
                    <w:left w:val="single" w:color="auto" w:sz="4" w:space="0"/>
                    <w:bottom w:val="single" w:color="auto" w:sz="4" w:space="0"/>
                    <w:right w:val="single" w:color="auto" w:sz="4" w:space="0"/>
                  </w:tcBorders>
                  <w:noWrap w:val="0"/>
                  <w:vAlign w:val="center"/>
                </w:tcPr>
                <w:p w14:paraId="3D6F3F34">
                  <w:pPr>
                    <w:keepNext w:val="0"/>
                    <w:keepLines w:val="0"/>
                    <w:suppressLineNumbers w:val="0"/>
                    <w:spacing w:before="0" w:beforeAutospacing="0" w:after="0" w:afterAutospacing="0"/>
                    <w:ind w:left="0" w:right="0"/>
                    <w:jc w:val="center"/>
                    <w:rPr>
                      <w:rFonts w:hint="default"/>
                      <w:color w:val="000000" w:themeColor="text1"/>
                      <w:sz w:val="21"/>
                      <w:szCs w:val="21"/>
                      <w:u w:val="none" w:color="auto"/>
                      <w14:textFill>
                        <w14:solidFill>
                          <w14:schemeClr w14:val="tx1"/>
                        </w14:solidFill>
                      </w14:textFill>
                    </w:rPr>
                  </w:pPr>
                  <w:r>
                    <w:rPr>
                      <w:rFonts w:hint="eastAsia"/>
                      <w:color w:val="000000" w:themeColor="text1"/>
                      <w:sz w:val="21"/>
                      <w:szCs w:val="21"/>
                      <w:u w:val="none" w:color="auto"/>
                      <w14:textFill>
                        <w14:solidFill>
                          <w14:schemeClr w14:val="tx1"/>
                        </w14:solidFill>
                      </w14:textFill>
                    </w:rPr>
                    <w:t>数量（t/a）</w:t>
                  </w:r>
                </w:p>
              </w:tc>
            </w:tr>
            <w:tr w14:paraId="3822583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931" w:type="pct"/>
                  <w:vMerge w:val="restart"/>
                  <w:tcBorders>
                    <w:top w:val="single" w:color="auto" w:sz="4" w:space="0"/>
                    <w:left w:val="single" w:color="auto" w:sz="4" w:space="0"/>
                    <w:right w:val="single" w:color="auto" w:sz="4" w:space="0"/>
                  </w:tcBorders>
                  <w:shd w:val="clear" w:color="auto" w:fill="FFFFFF"/>
                  <w:noWrap w:val="0"/>
                  <w:vAlign w:val="center"/>
                </w:tcPr>
                <w:p w14:paraId="285B9367">
                  <w:pPr>
                    <w:keepNext w:val="0"/>
                    <w:keepLines w:val="0"/>
                    <w:widowControl/>
                    <w:suppressLineNumbers w:val="0"/>
                    <w:spacing w:before="0" w:beforeAutospacing="0" w:after="0" w:afterAutospacing="0"/>
                    <w:ind w:left="0" w:leftChars="0" w:right="0" w:rightChars="0"/>
                    <w:jc w:val="center"/>
                    <w:rPr>
                      <w:rFonts w:hint="eastAsia" w:eastAsia="宋体"/>
                      <w:color w:val="000000" w:themeColor="text1"/>
                      <w:sz w:val="21"/>
                      <w:szCs w:val="21"/>
                      <w:highlight w:val="none"/>
                      <w:u w:val="none" w:color="auto"/>
                      <w:lang w:val="en-US" w:eastAsia="zh-CN"/>
                      <w14:textFill>
                        <w14:solidFill>
                          <w14:schemeClr w14:val="tx1"/>
                        </w14:solidFill>
                      </w14:textFill>
                    </w:rPr>
                  </w:pPr>
                  <w:r>
                    <w:rPr>
                      <w:rFonts w:hint="eastAsia" w:cs="Times New Roman"/>
                      <w:color w:val="000000" w:themeColor="text1"/>
                      <w:kern w:val="0"/>
                      <w:sz w:val="21"/>
                      <w:szCs w:val="21"/>
                      <w:u w:val="none" w:color="auto"/>
                      <w:lang w:val="en-US" w:eastAsia="zh-CN"/>
                      <w14:textFill>
                        <w14:solidFill>
                          <w14:schemeClr w14:val="tx1"/>
                        </w14:solidFill>
                      </w14:textFill>
                    </w:rPr>
                    <w:t>9447.73（含水率10%）</w:t>
                  </w:r>
                </w:p>
              </w:tc>
              <w:tc>
                <w:tcPr>
                  <w:tcW w:w="1455" w:type="pct"/>
                  <w:tcBorders>
                    <w:top w:val="single" w:color="auto" w:sz="4" w:space="0"/>
                    <w:left w:val="single" w:color="auto" w:sz="4" w:space="0"/>
                    <w:bottom w:val="single" w:color="auto" w:sz="4" w:space="0"/>
                    <w:right w:val="single" w:color="auto" w:sz="4" w:space="0"/>
                  </w:tcBorders>
                  <w:shd w:val="clear" w:color="auto" w:fill="FFFFFF"/>
                  <w:noWrap w:val="0"/>
                  <w:vAlign w:val="center"/>
                </w:tcPr>
                <w:p w14:paraId="1FDE996A">
                  <w:pPr>
                    <w:pStyle w:val="49"/>
                    <w:keepNext w:val="0"/>
                    <w:keepLines w:val="0"/>
                    <w:suppressLineNumbers w:val="0"/>
                    <w:spacing w:before="0" w:beforeAutospacing="0" w:after="0" w:afterAutospacing="0"/>
                    <w:ind w:left="0" w:leftChars="0" w:right="0" w:rightChars="0" w:firstLine="0" w:firstLineChars="0"/>
                    <w:jc w:val="center"/>
                    <w:rPr>
                      <w:rFonts w:hint="default" w:cs="Times New Roman"/>
                      <w:color w:val="000000" w:themeColor="text1"/>
                      <w:kern w:val="2"/>
                      <w:sz w:val="21"/>
                      <w:szCs w:val="21"/>
                      <w:u w:val="none" w:color="auto"/>
                      <w:lang w:val="en-US" w:eastAsia="zh-CN" w:bidi="ar-SA"/>
                      <w14:textFill>
                        <w14:solidFill>
                          <w14:schemeClr w14:val="tx1"/>
                        </w14:solidFill>
                      </w14:textFill>
                    </w:rPr>
                  </w:pPr>
                  <w:r>
                    <w:rPr>
                      <w:rFonts w:hint="eastAsia" w:cs="Times New Roman"/>
                      <w:color w:val="000000" w:themeColor="text1"/>
                      <w:kern w:val="2"/>
                      <w:sz w:val="21"/>
                      <w:szCs w:val="21"/>
                      <w:u w:val="none" w:color="auto"/>
                      <w:lang w:val="en-US" w:eastAsia="zh-CN" w:bidi="ar-SA"/>
                      <w14:textFill>
                        <w14:solidFill>
                          <w14:schemeClr w14:val="tx1"/>
                        </w14:solidFill>
                      </w14:textFill>
                    </w:rPr>
                    <w:t>水分944.77</w:t>
                  </w:r>
                </w:p>
              </w:tc>
              <w:tc>
                <w:tcPr>
                  <w:tcW w:w="1439" w:type="pct"/>
                  <w:tcBorders>
                    <w:top w:val="single" w:color="auto" w:sz="4" w:space="0"/>
                    <w:left w:val="single" w:color="auto" w:sz="4" w:space="0"/>
                    <w:bottom w:val="single" w:color="auto" w:sz="4" w:space="0"/>
                    <w:right w:val="single" w:color="auto" w:sz="4" w:space="0"/>
                  </w:tcBorders>
                  <w:noWrap w:val="0"/>
                  <w:vAlign w:val="center"/>
                </w:tcPr>
                <w:p w14:paraId="7EBDF662">
                  <w:pPr>
                    <w:keepNext w:val="0"/>
                    <w:keepLines w:val="0"/>
                    <w:suppressLineNumbers w:val="0"/>
                    <w:spacing w:before="0" w:beforeAutospacing="0" w:after="0" w:afterAutospacing="0"/>
                    <w:ind w:left="0" w:right="0"/>
                    <w:jc w:val="center"/>
                    <w:rPr>
                      <w:rFonts w:hint="default" w:eastAsia="宋体"/>
                      <w:color w:val="000000" w:themeColor="text1"/>
                      <w:sz w:val="21"/>
                      <w:szCs w:val="21"/>
                      <w:u w:val="none" w:color="auto"/>
                      <w:lang w:val="en-US" w:eastAsia="zh-CN"/>
                      <w14:textFill>
                        <w14:solidFill>
                          <w14:schemeClr w14:val="tx1"/>
                        </w14:solidFill>
                      </w14:textFill>
                    </w:rPr>
                  </w:pPr>
                  <w:r>
                    <w:rPr>
                      <w:rFonts w:hint="eastAsia"/>
                      <w:color w:val="000000" w:themeColor="text1"/>
                      <w:sz w:val="21"/>
                      <w:szCs w:val="21"/>
                      <w:u w:val="none" w:color="auto"/>
                      <w:lang w:val="en-US" w:eastAsia="zh-CN"/>
                      <w14:textFill>
                        <w14:solidFill>
                          <w14:schemeClr w14:val="tx1"/>
                        </w14:solidFill>
                      </w14:textFill>
                    </w:rPr>
                    <w:t>水分损耗</w:t>
                  </w:r>
                </w:p>
              </w:tc>
              <w:tc>
                <w:tcPr>
                  <w:tcW w:w="1173" w:type="pct"/>
                  <w:tcBorders>
                    <w:top w:val="single" w:color="auto" w:sz="4" w:space="0"/>
                    <w:left w:val="single" w:color="auto" w:sz="4" w:space="0"/>
                    <w:bottom w:val="single" w:color="auto" w:sz="4" w:space="0"/>
                    <w:right w:val="single" w:color="auto" w:sz="4" w:space="0"/>
                  </w:tcBorders>
                  <w:noWrap w:val="0"/>
                  <w:vAlign w:val="center"/>
                </w:tcPr>
                <w:p w14:paraId="564153CA">
                  <w:pPr>
                    <w:keepNext w:val="0"/>
                    <w:keepLines w:val="0"/>
                    <w:suppressLineNumbers w:val="0"/>
                    <w:spacing w:before="0" w:beforeAutospacing="0" w:after="0" w:afterAutospacing="0"/>
                    <w:ind w:left="0" w:right="0"/>
                    <w:jc w:val="center"/>
                    <w:rPr>
                      <w:rFonts w:hint="eastAsia"/>
                      <w:color w:val="000000" w:themeColor="text1"/>
                      <w:sz w:val="21"/>
                      <w:szCs w:val="21"/>
                      <w:u w:val="none" w:color="auto"/>
                      <w:lang w:val="en-US" w:eastAsia="zh-CN"/>
                      <w14:textFill>
                        <w14:solidFill>
                          <w14:schemeClr w14:val="tx1"/>
                        </w14:solidFill>
                      </w14:textFill>
                    </w:rPr>
                  </w:pPr>
                  <w:r>
                    <w:rPr>
                      <w:rFonts w:hint="eastAsia" w:cs="Times New Roman"/>
                      <w:color w:val="000000" w:themeColor="text1"/>
                      <w:kern w:val="2"/>
                      <w:sz w:val="21"/>
                      <w:szCs w:val="21"/>
                      <w:u w:val="none" w:color="auto"/>
                      <w:lang w:val="en-US" w:eastAsia="zh-CN" w:bidi="ar-SA"/>
                      <w14:textFill>
                        <w14:solidFill>
                          <w14:schemeClr w14:val="tx1"/>
                        </w14:solidFill>
                      </w14:textFill>
                    </w:rPr>
                    <w:t>944.77</w:t>
                  </w:r>
                </w:p>
              </w:tc>
            </w:tr>
            <w:tr w14:paraId="08C62BA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931" w:type="pct"/>
                  <w:vMerge w:val="continue"/>
                  <w:tcBorders>
                    <w:left w:val="single" w:color="auto" w:sz="4" w:space="0"/>
                    <w:right w:val="single" w:color="auto" w:sz="4" w:space="0"/>
                  </w:tcBorders>
                  <w:shd w:val="clear" w:color="auto" w:fill="FFFFFF"/>
                  <w:noWrap w:val="0"/>
                  <w:vAlign w:val="center"/>
                </w:tcPr>
                <w:p w14:paraId="36A14454">
                  <w:pPr>
                    <w:keepNext w:val="0"/>
                    <w:keepLines w:val="0"/>
                    <w:widowControl/>
                    <w:suppressLineNumbers w:val="0"/>
                    <w:spacing w:before="0" w:beforeAutospacing="0" w:after="0" w:afterAutospacing="0"/>
                    <w:ind w:left="0" w:leftChars="0" w:right="0" w:rightChars="0"/>
                    <w:jc w:val="center"/>
                    <w:rPr>
                      <w:rFonts w:hint="default" w:ascii="Times New Roman" w:hAnsi="Times New Roman" w:eastAsia="宋体" w:cs="Times New Roman"/>
                      <w:color w:val="000000" w:themeColor="text1"/>
                      <w:kern w:val="0"/>
                      <w:sz w:val="21"/>
                      <w:szCs w:val="21"/>
                      <w:u w:val="none" w:color="auto"/>
                      <w:lang w:val="en-US" w:eastAsia="zh-CN" w:bidi="ar-SA"/>
                      <w14:textFill>
                        <w14:solidFill>
                          <w14:schemeClr w14:val="tx1"/>
                        </w14:solidFill>
                      </w14:textFill>
                    </w:rPr>
                  </w:pPr>
                </w:p>
              </w:tc>
              <w:tc>
                <w:tcPr>
                  <w:tcW w:w="1455" w:type="pct"/>
                  <w:vMerge w:val="restart"/>
                  <w:tcBorders>
                    <w:top w:val="single" w:color="auto" w:sz="4" w:space="0"/>
                    <w:left w:val="single" w:color="auto" w:sz="4" w:space="0"/>
                    <w:right w:val="single" w:color="auto" w:sz="4" w:space="0"/>
                  </w:tcBorders>
                  <w:shd w:val="clear" w:color="auto" w:fill="FFFFFF"/>
                  <w:noWrap w:val="0"/>
                  <w:vAlign w:val="center"/>
                </w:tcPr>
                <w:p w14:paraId="7505B051">
                  <w:pPr>
                    <w:pStyle w:val="49"/>
                    <w:keepNext w:val="0"/>
                    <w:keepLines w:val="0"/>
                    <w:suppressLineNumbers w:val="0"/>
                    <w:spacing w:before="0" w:beforeAutospacing="0" w:after="0" w:afterAutospacing="0"/>
                    <w:ind w:left="0" w:leftChars="0" w:right="0" w:rightChars="0" w:firstLine="0" w:firstLineChars="0"/>
                    <w:jc w:val="center"/>
                    <w:rPr>
                      <w:rFonts w:hint="default" w:eastAsia="宋体"/>
                      <w:color w:val="000000" w:themeColor="text1"/>
                      <w:sz w:val="21"/>
                      <w:szCs w:val="21"/>
                      <w:highlight w:val="none"/>
                      <w:u w:val="none" w:color="auto"/>
                      <w:lang w:val="en-US" w:eastAsia="zh-CN"/>
                      <w14:textFill>
                        <w14:solidFill>
                          <w14:schemeClr w14:val="tx1"/>
                        </w14:solidFill>
                      </w14:textFill>
                    </w:rPr>
                  </w:pPr>
                  <w:r>
                    <w:rPr>
                      <w:rFonts w:hint="eastAsia" w:cs="Times New Roman"/>
                      <w:color w:val="000000" w:themeColor="text1"/>
                      <w:kern w:val="2"/>
                      <w:sz w:val="21"/>
                      <w:szCs w:val="21"/>
                      <w:u w:val="none" w:color="auto"/>
                      <w:lang w:val="en-US" w:eastAsia="zh-CN" w:bidi="ar-SA"/>
                      <w14:textFill>
                        <w14:solidFill>
                          <w14:schemeClr w14:val="tx1"/>
                        </w14:solidFill>
                      </w14:textFill>
                    </w:rPr>
                    <w:t>绝干原料8502.96</w:t>
                  </w:r>
                </w:p>
              </w:tc>
              <w:tc>
                <w:tcPr>
                  <w:tcW w:w="1439" w:type="pct"/>
                  <w:tcBorders>
                    <w:top w:val="single" w:color="auto" w:sz="4" w:space="0"/>
                    <w:left w:val="single" w:color="auto" w:sz="4" w:space="0"/>
                    <w:bottom w:val="single" w:color="auto" w:sz="4" w:space="0"/>
                    <w:right w:val="single" w:color="auto" w:sz="4" w:space="0"/>
                  </w:tcBorders>
                  <w:noWrap w:val="0"/>
                  <w:vAlign w:val="center"/>
                </w:tcPr>
                <w:p w14:paraId="67A1AD4E">
                  <w:pPr>
                    <w:keepNext w:val="0"/>
                    <w:keepLines w:val="0"/>
                    <w:suppressLineNumbers w:val="0"/>
                    <w:spacing w:before="0" w:beforeAutospacing="0" w:after="0" w:afterAutospacing="0"/>
                    <w:ind w:left="0" w:right="0"/>
                    <w:jc w:val="center"/>
                    <w:rPr>
                      <w:rFonts w:hint="eastAsia" w:eastAsia="宋体"/>
                      <w:color w:val="000000" w:themeColor="text1"/>
                      <w:sz w:val="21"/>
                      <w:szCs w:val="21"/>
                      <w:u w:val="none" w:color="auto"/>
                      <w:lang w:val="en-US" w:eastAsia="zh-CN"/>
                      <w14:textFill>
                        <w14:solidFill>
                          <w14:schemeClr w14:val="tx1"/>
                        </w14:solidFill>
                      </w14:textFill>
                    </w:rPr>
                  </w:pPr>
                  <w:r>
                    <w:rPr>
                      <w:rFonts w:hint="eastAsia"/>
                      <w:color w:val="000000" w:themeColor="text1"/>
                      <w:sz w:val="21"/>
                      <w:szCs w:val="21"/>
                      <w:u w:val="none" w:color="auto"/>
                      <w:lang w:val="en-US" w:eastAsia="zh-CN"/>
                      <w14:textFill>
                        <w14:solidFill>
                          <w14:schemeClr w14:val="tx1"/>
                        </w14:solidFill>
                      </w14:textFill>
                    </w:rPr>
                    <w:t>炭化后</w:t>
                  </w:r>
                  <w:r>
                    <w:rPr>
                      <w:rFonts w:hint="eastAsia"/>
                      <w:color w:val="000000" w:themeColor="text1"/>
                      <w:sz w:val="21"/>
                      <w:szCs w:val="21"/>
                      <w:u w:val="none" w:color="auto"/>
                      <w14:textFill>
                        <w14:solidFill>
                          <w14:schemeClr w14:val="tx1"/>
                        </w14:solidFill>
                      </w14:textFill>
                    </w:rPr>
                    <w:t>机制炭</w:t>
                  </w:r>
                </w:p>
              </w:tc>
              <w:tc>
                <w:tcPr>
                  <w:tcW w:w="1173" w:type="pct"/>
                  <w:tcBorders>
                    <w:top w:val="single" w:color="auto" w:sz="4" w:space="0"/>
                    <w:left w:val="single" w:color="auto" w:sz="4" w:space="0"/>
                    <w:bottom w:val="single" w:color="auto" w:sz="4" w:space="0"/>
                    <w:right w:val="single" w:color="auto" w:sz="4" w:space="0"/>
                  </w:tcBorders>
                  <w:noWrap w:val="0"/>
                  <w:vAlign w:val="center"/>
                </w:tcPr>
                <w:p w14:paraId="36E907A4">
                  <w:pPr>
                    <w:keepNext w:val="0"/>
                    <w:keepLines w:val="0"/>
                    <w:suppressLineNumbers w:val="0"/>
                    <w:spacing w:before="0" w:beforeAutospacing="0" w:after="0" w:afterAutospacing="0"/>
                    <w:ind w:left="0" w:right="0"/>
                    <w:jc w:val="center"/>
                    <w:rPr>
                      <w:rFonts w:hint="default" w:eastAsia="宋体"/>
                      <w:color w:val="000000" w:themeColor="text1"/>
                      <w:sz w:val="21"/>
                      <w:szCs w:val="21"/>
                      <w:highlight w:val="yellow"/>
                      <w:u w:val="none" w:color="auto"/>
                      <w:lang w:val="en-US" w:eastAsia="zh-CN"/>
                      <w14:textFill>
                        <w14:solidFill>
                          <w14:schemeClr w14:val="tx1"/>
                        </w14:solidFill>
                      </w14:textFill>
                    </w:rPr>
                  </w:pPr>
                  <w:r>
                    <w:rPr>
                      <w:rFonts w:hint="eastAsia"/>
                      <w:color w:val="000000" w:themeColor="text1"/>
                      <w:sz w:val="21"/>
                      <w:szCs w:val="21"/>
                      <w:u w:val="none" w:color="auto"/>
                      <w:lang w:val="en-US" w:eastAsia="zh-CN"/>
                      <w14:textFill>
                        <w14:solidFill>
                          <w14:schemeClr w14:val="tx1"/>
                        </w14:solidFill>
                      </w14:textFill>
                    </w:rPr>
                    <w:t>3002.31</w:t>
                  </w:r>
                </w:p>
              </w:tc>
            </w:tr>
            <w:tr w14:paraId="58B86FD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931" w:type="pct"/>
                  <w:vMerge w:val="continue"/>
                  <w:tcBorders>
                    <w:left w:val="single" w:color="auto" w:sz="4" w:space="0"/>
                    <w:right w:val="single" w:color="auto" w:sz="4" w:space="0"/>
                  </w:tcBorders>
                  <w:shd w:val="clear" w:color="auto" w:fill="FFFFFF"/>
                  <w:noWrap w:val="0"/>
                  <w:vAlign w:val="center"/>
                </w:tcPr>
                <w:p w14:paraId="24B6C378">
                  <w:pPr>
                    <w:keepNext w:val="0"/>
                    <w:keepLines w:val="0"/>
                    <w:widowControl/>
                    <w:suppressLineNumbers w:val="0"/>
                    <w:spacing w:before="0" w:beforeAutospacing="0" w:after="0" w:afterAutospacing="0"/>
                    <w:ind w:left="0" w:leftChars="0" w:right="0" w:rightChars="0"/>
                    <w:jc w:val="center"/>
                    <w:rPr>
                      <w:rFonts w:hint="default" w:ascii="Times New Roman" w:hAnsi="Times New Roman" w:eastAsia="宋体" w:cs="Times New Roman"/>
                      <w:color w:val="000000" w:themeColor="text1"/>
                      <w:kern w:val="0"/>
                      <w:sz w:val="21"/>
                      <w:szCs w:val="21"/>
                      <w:u w:val="none" w:color="auto"/>
                      <w:lang w:val="en-US" w:eastAsia="zh-CN" w:bidi="ar-SA"/>
                      <w14:textFill>
                        <w14:solidFill>
                          <w14:schemeClr w14:val="tx1"/>
                        </w14:solidFill>
                      </w14:textFill>
                    </w:rPr>
                  </w:pPr>
                </w:p>
              </w:tc>
              <w:tc>
                <w:tcPr>
                  <w:tcW w:w="1455" w:type="pct"/>
                  <w:vMerge w:val="continue"/>
                  <w:tcBorders>
                    <w:left w:val="single" w:color="auto" w:sz="4" w:space="0"/>
                    <w:right w:val="single" w:color="auto" w:sz="4" w:space="0"/>
                  </w:tcBorders>
                  <w:shd w:val="clear" w:color="auto" w:fill="FFFFFF"/>
                  <w:noWrap w:val="0"/>
                  <w:vAlign w:val="center"/>
                </w:tcPr>
                <w:p w14:paraId="1D5F3E1F">
                  <w:pPr>
                    <w:pStyle w:val="49"/>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p>
              </w:tc>
              <w:tc>
                <w:tcPr>
                  <w:tcW w:w="1439" w:type="pct"/>
                  <w:tcBorders>
                    <w:top w:val="single" w:color="auto" w:sz="4" w:space="0"/>
                    <w:left w:val="single" w:color="auto" w:sz="4" w:space="0"/>
                    <w:bottom w:val="single" w:color="auto" w:sz="4" w:space="0"/>
                    <w:right w:val="single" w:color="auto" w:sz="4" w:space="0"/>
                  </w:tcBorders>
                  <w:noWrap w:val="0"/>
                  <w:vAlign w:val="center"/>
                </w:tcPr>
                <w:p w14:paraId="08044DEB">
                  <w:pPr>
                    <w:keepNext w:val="0"/>
                    <w:keepLines w:val="0"/>
                    <w:suppressLineNumbers w:val="0"/>
                    <w:spacing w:before="0" w:beforeAutospacing="0" w:after="0" w:afterAutospacing="0"/>
                    <w:ind w:left="0" w:right="0"/>
                    <w:jc w:val="center"/>
                    <w:rPr>
                      <w:rFonts w:hint="default"/>
                      <w:color w:val="000000" w:themeColor="text1"/>
                      <w:sz w:val="21"/>
                      <w:szCs w:val="21"/>
                      <w:u w:val="none" w:color="auto"/>
                      <w14:textFill>
                        <w14:solidFill>
                          <w14:schemeClr w14:val="tx1"/>
                        </w14:solidFill>
                      </w14:textFill>
                    </w:rPr>
                  </w:pPr>
                  <w:r>
                    <w:rPr>
                      <w:rFonts w:hint="eastAsia"/>
                      <w:bCs/>
                      <w:color w:val="000000" w:themeColor="text1"/>
                      <w:sz w:val="21"/>
                      <w:szCs w:val="21"/>
                      <w:u w:val="none" w:color="auto"/>
                      <w14:textFill>
                        <w14:solidFill>
                          <w14:schemeClr w14:val="tx1"/>
                        </w14:solidFill>
                      </w14:textFill>
                    </w:rPr>
                    <w:t>木煤气</w:t>
                  </w:r>
                </w:p>
              </w:tc>
              <w:tc>
                <w:tcPr>
                  <w:tcW w:w="1173" w:type="pct"/>
                  <w:tcBorders>
                    <w:top w:val="single" w:color="auto" w:sz="4" w:space="0"/>
                    <w:left w:val="single" w:color="auto" w:sz="4" w:space="0"/>
                    <w:bottom w:val="single" w:color="auto" w:sz="4" w:space="0"/>
                    <w:right w:val="single" w:color="auto" w:sz="4" w:space="0"/>
                  </w:tcBorders>
                  <w:noWrap w:val="0"/>
                  <w:vAlign w:val="center"/>
                </w:tcPr>
                <w:p w14:paraId="51E84876">
                  <w:pPr>
                    <w:keepNext w:val="0"/>
                    <w:keepLines w:val="0"/>
                    <w:suppressLineNumbers w:val="0"/>
                    <w:spacing w:before="0" w:beforeAutospacing="0" w:after="0" w:afterAutospacing="0"/>
                    <w:ind w:left="0" w:right="0"/>
                    <w:jc w:val="center"/>
                    <w:rPr>
                      <w:rFonts w:hint="default" w:eastAsia="宋体"/>
                      <w:color w:val="000000" w:themeColor="text1"/>
                      <w:sz w:val="21"/>
                      <w:szCs w:val="21"/>
                      <w:highlight w:val="yellow"/>
                      <w:u w:val="none" w:color="auto"/>
                      <w:lang w:val="en-US" w:eastAsia="zh-CN"/>
                      <w14:textFill>
                        <w14:solidFill>
                          <w14:schemeClr w14:val="tx1"/>
                        </w14:solidFill>
                      </w14:textFill>
                    </w:rPr>
                  </w:pPr>
                  <w:r>
                    <w:rPr>
                      <w:rFonts w:hint="eastAsia"/>
                      <w:color w:val="000000" w:themeColor="text1"/>
                      <w:sz w:val="21"/>
                      <w:szCs w:val="21"/>
                      <w:u w:val="none" w:color="auto"/>
                      <w:lang w:val="en-US" w:eastAsia="zh-CN"/>
                      <w14:textFill>
                        <w14:solidFill>
                          <w14:schemeClr w14:val="tx1"/>
                        </w14:solidFill>
                      </w14:textFill>
                    </w:rPr>
                    <w:t>1437.72</w:t>
                  </w:r>
                </w:p>
              </w:tc>
            </w:tr>
            <w:tr w14:paraId="14F59CB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931" w:type="pct"/>
                  <w:vMerge w:val="continue"/>
                  <w:tcBorders>
                    <w:left w:val="single" w:color="auto" w:sz="4" w:space="0"/>
                    <w:right w:val="single" w:color="auto" w:sz="4" w:space="0"/>
                  </w:tcBorders>
                  <w:shd w:val="clear" w:color="auto" w:fill="FFFFFF"/>
                  <w:noWrap w:val="0"/>
                  <w:vAlign w:val="center"/>
                </w:tcPr>
                <w:p w14:paraId="27175EC0">
                  <w:pPr>
                    <w:keepNext w:val="0"/>
                    <w:keepLines w:val="0"/>
                    <w:widowControl/>
                    <w:suppressLineNumbers w:val="0"/>
                    <w:spacing w:before="0" w:beforeAutospacing="0" w:after="0" w:afterAutospacing="0"/>
                    <w:ind w:left="0" w:leftChars="0" w:right="0" w:rightChars="0"/>
                    <w:jc w:val="center"/>
                    <w:rPr>
                      <w:rFonts w:hint="default" w:ascii="Times New Roman" w:hAnsi="Times New Roman" w:eastAsia="宋体" w:cs="Times New Roman"/>
                      <w:color w:val="000000" w:themeColor="text1"/>
                      <w:kern w:val="0"/>
                      <w:sz w:val="21"/>
                      <w:szCs w:val="21"/>
                      <w:u w:val="none" w:color="auto"/>
                      <w:lang w:val="en-US" w:eastAsia="zh-CN" w:bidi="ar-SA"/>
                      <w14:textFill>
                        <w14:solidFill>
                          <w14:schemeClr w14:val="tx1"/>
                        </w14:solidFill>
                      </w14:textFill>
                    </w:rPr>
                  </w:pPr>
                </w:p>
              </w:tc>
              <w:tc>
                <w:tcPr>
                  <w:tcW w:w="1455" w:type="pct"/>
                  <w:vMerge w:val="continue"/>
                  <w:tcBorders>
                    <w:left w:val="single" w:color="auto" w:sz="4" w:space="0"/>
                    <w:right w:val="single" w:color="auto" w:sz="4" w:space="0"/>
                  </w:tcBorders>
                  <w:shd w:val="clear" w:color="auto" w:fill="FFFFFF"/>
                  <w:noWrap w:val="0"/>
                  <w:vAlign w:val="center"/>
                </w:tcPr>
                <w:p w14:paraId="5E985CC8">
                  <w:pPr>
                    <w:pStyle w:val="49"/>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p>
              </w:tc>
              <w:tc>
                <w:tcPr>
                  <w:tcW w:w="1439" w:type="pct"/>
                  <w:tcBorders>
                    <w:top w:val="single" w:color="auto" w:sz="4" w:space="0"/>
                    <w:left w:val="single" w:color="auto" w:sz="4" w:space="0"/>
                    <w:bottom w:val="single" w:color="auto" w:sz="4" w:space="0"/>
                    <w:right w:val="single" w:color="auto" w:sz="4" w:space="0"/>
                  </w:tcBorders>
                  <w:noWrap w:val="0"/>
                  <w:vAlign w:val="center"/>
                </w:tcPr>
                <w:p w14:paraId="0E0D2F6C">
                  <w:pPr>
                    <w:keepNext w:val="0"/>
                    <w:keepLines w:val="0"/>
                    <w:suppressLineNumbers w:val="0"/>
                    <w:spacing w:before="0" w:beforeAutospacing="0" w:after="0" w:afterAutospacing="0"/>
                    <w:ind w:left="0" w:right="0"/>
                    <w:jc w:val="center"/>
                    <w:rPr>
                      <w:rFonts w:hint="default"/>
                      <w:color w:val="000000" w:themeColor="text1"/>
                      <w:sz w:val="21"/>
                      <w:szCs w:val="21"/>
                      <w:u w:val="none" w:color="auto"/>
                      <w14:textFill>
                        <w14:solidFill>
                          <w14:schemeClr w14:val="tx1"/>
                        </w14:solidFill>
                      </w14:textFill>
                    </w:rPr>
                  </w:pPr>
                  <w:r>
                    <w:rPr>
                      <w:rFonts w:hint="eastAsia"/>
                      <w:bCs/>
                      <w:color w:val="000000" w:themeColor="text1"/>
                      <w:sz w:val="21"/>
                      <w:szCs w:val="21"/>
                      <w:u w:val="none" w:color="auto"/>
                      <w14:textFill>
                        <w14:solidFill>
                          <w14:schemeClr w14:val="tx1"/>
                        </w14:solidFill>
                      </w14:textFill>
                    </w:rPr>
                    <w:t>木焦油、木醋液</w:t>
                  </w:r>
                </w:p>
              </w:tc>
              <w:tc>
                <w:tcPr>
                  <w:tcW w:w="1173" w:type="pct"/>
                  <w:tcBorders>
                    <w:top w:val="single" w:color="auto" w:sz="4" w:space="0"/>
                    <w:left w:val="single" w:color="auto" w:sz="4" w:space="0"/>
                    <w:bottom w:val="single" w:color="auto" w:sz="4" w:space="0"/>
                    <w:right w:val="single" w:color="auto" w:sz="4" w:space="0"/>
                  </w:tcBorders>
                  <w:noWrap w:val="0"/>
                  <w:vAlign w:val="center"/>
                </w:tcPr>
                <w:p w14:paraId="10AA357E">
                  <w:pPr>
                    <w:keepNext w:val="0"/>
                    <w:keepLines w:val="0"/>
                    <w:suppressLineNumbers w:val="0"/>
                    <w:spacing w:before="0" w:beforeAutospacing="0" w:after="0" w:afterAutospacing="0"/>
                    <w:ind w:left="0" w:right="0"/>
                    <w:jc w:val="center"/>
                    <w:rPr>
                      <w:rFonts w:hint="default" w:eastAsia="宋体"/>
                      <w:color w:val="000000" w:themeColor="text1"/>
                      <w:sz w:val="21"/>
                      <w:szCs w:val="21"/>
                      <w:u w:val="none" w:color="auto"/>
                      <w:lang w:val="en-US" w:eastAsia="zh-CN"/>
                      <w14:textFill>
                        <w14:solidFill>
                          <w14:schemeClr w14:val="tx1"/>
                        </w14:solidFill>
                      </w14:textFill>
                    </w:rPr>
                  </w:pPr>
                  <w:r>
                    <w:rPr>
                      <w:rFonts w:hint="eastAsia"/>
                      <w:color w:val="000000" w:themeColor="text1"/>
                      <w:sz w:val="21"/>
                      <w:szCs w:val="21"/>
                      <w:u w:val="none" w:color="auto"/>
                      <w:lang w:val="en-US" w:eastAsia="zh-CN"/>
                      <w14:textFill>
                        <w14:solidFill>
                          <w14:schemeClr w14:val="tx1"/>
                        </w14:solidFill>
                      </w14:textFill>
                    </w:rPr>
                    <w:t>3974.89</w:t>
                  </w:r>
                </w:p>
              </w:tc>
            </w:tr>
            <w:tr w14:paraId="3115030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931" w:type="pct"/>
                  <w:vMerge w:val="continue"/>
                  <w:tcBorders>
                    <w:left w:val="single" w:color="auto" w:sz="4" w:space="0"/>
                    <w:right w:val="single" w:color="auto" w:sz="4" w:space="0"/>
                  </w:tcBorders>
                  <w:noWrap w:val="0"/>
                  <w:vAlign w:val="center"/>
                </w:tcPr>
                <w:p w14:paraId="04FB0CEA">
                  <w:pPr>
                    <w:keepNext w:val="0"/>
                    <w:keepLines w:val="0"/>
                    <w:suppressLineNumbers w:val="0"/>
                    <w:spacing w:before="0" w:beforeAutospacing="0" w:after="0" w:afterAutospacing="0"/>
                    <w:ind w:left="0" w:right="0"/>
                    <w:jc w:val="center"/>
                    <w:rPr>
                      <w:rFonts w:hint="eastAsia" w:eastAsia="宋体"/>
                      <w:color w:val="000000" w:themeColor="text1"/>
                      <w:sz w:val="21"/>
                      <w:szCs w:val="21"/>
                      <w:highlight w:val="none"/>
                      <w:u w:val="none" w:color="auto"/>
                      <w:lang w:val="en-US" w:eastAsia="zh-CN"/>
                      <w14:textFill>
                        <w14:solidFill>
                          <w14:schemeClr w14:val="tx1"/>
                        </w14:solidFill>
                      </w14:textFill>
                    </w:rPr>
                  </w:pPr>
                </w:p>
              </w:tc>
              <w:tc>
                <w:tcPr>
                  <w:tcW w:w="1455" w:type="pct"/>
                  <w:vMerge w:val="continue"/>
                  <w:tcBorders>
                    <w:left w:val="single" w:color="auto" w:sz="4" w:space="0"/>
                    <w:right w:val="single" w:color="auto" w:sz="4" w:space="0"/>
                  </w:tcBorders>
                  <w:noWrap w:val="0"/>
                  <w:vAlign w:val="center"/>
                </w:tcPr>
                <w:p w14:paraId="7383538B">
                  <w:pPr>
                    <w:keepNext w:val="0"/>
                    <w:keepLines w:val="0"/>
                    <w:suppressLineNumbers w:val="0"/>
                    <w:spacing w:before="0" w:beforeAutospacing="0" w:after="0" w:afterAutospacing="0"/>
                    <w:ind w:left="0" w:right="0"/>
                    <w:jc w:val="center"/>
                    <w:rPr>
                      <w:rFonts w:hint="eastAsia" w:eastAsia="宋体"/>
                      <w:color w:val="000000" w:themeColor="text1"/>
                      <w:sz w:val="21"/>
                      <w:szCs w:val="21"/>
                      <w:highlight w:val="none"/>
                      <w:u w:val="none" w:color="auto"/>
                      <w:lang w:val="en-US" w:eastAsia="zh-CN"/>
                      <w14:textFill>
                        <w14:solidFill>
                          <w14:schemeClr w14:val="tx1"/>
                        </w14:solidFill>
                      </w14:textFill>
                    </w:rPr>
                  </w:pPr>
                </w:p>
              </w:tc>
              <w:tc>
                <w:tcPr>
                  <w:tcW w:w="1439" w:type="pct"/>
                  <w:tcBorders>
                    <w:top w:val="single" w:color="auto" w:sz="4" w:space="0"/>
                    <w:left w:val="single" w:color="auto" w:sz="4" w:space="0"/>
                    <w:bottom w:val="single" w:color="auto" w:sz="4" w:space="0"/>
                    <w:right w:val="single" w:color="auto" w:sz="4" w:space="0"/>
                  </w:tcBorders>
                  <w:noWrap w:val="0"/>
                  <w:vAlign w:val="center"/>
                </w:tcPr>
                <w:p w14:paraId="74641599">
                  <w:pPr>
                    <w:keepNext w:val="0"/>
                    <w:keepLines w:val="0"/>
                    <w:suppressLineNumbers w:val="0"/>
                    <w:spacing w:before="0" w:beforeAutospacing="0" w:after="0" w:afterAutospacing="0"/>
                    <w:ind w:left="0" w:right="0"/>
                    <w:jc w:val="center"/>
                    <w:rPr>
                      <w:rFonts w:hint="default" w:eastAsia="宋体"/>
                      <w:bCs/>
                      <w:color w:val="000000" w:themeColor="text1"/>
                      <w:sz w:val="21"/>
                      <w:szCs w:val="21"/>
                      <w:u w:val="none" w:color="auto"/>
                      <w:lang w:val="en-US" w:eastAsia="zh-CN"/>
                      <w14:textFill>
                        <w14:solidFill>
                          <w14:schemeClr w14:val="tx1"/>
                        </w14:solidFill>
                      </w14:textFill>
                    </w:rPr>
                  </w:pPr>
                  <w:r>
                    <w:rPr>
                      <w:rFonts w:hint="eastAsia"/>
                      <w:bCs/>
                      <w:color w:val="000000" w:themeColor="text1"/>
                      <w:sz w:val="21"/>
                      <w:szCs w:val="21"/>
                      <w:u w:val="none" w:color="auto"/>
                      <w:lang w:val="en-US" w:eastAsia="zh-CN"/>
                      <w14:textFill>
                        <w14:solidFill>
                          <w14:schemeClr w14:val="tx1"/>
                        </w14:solidFill>
                      </w14:textFill>
                    </w:rPr>
                    <w:t>颗粒物</w:t>
                  </w:r>
                </w:p>
              </w:tc>
              <w:tc>
                <w:tcPr>
                  <w:tcW w:w="1173" w:type="pct"/>
                  <w:tcBorders>
                    <w:top w:val="single" w:color="auto" w:sz="4" w:space="0"/>
                    <w:left w:val="single" w:color="auto" w:sz="4" w:space="0"/>
                    <w:bottom w:val="single" w:color="auto" w:sz="4" w:space="0"/>
                    <w:right w:val="single" w:color="auto" w:sz="4" w:space="0"/>
                  </w:tcBorders>
                  <w:noWrap w:val="0"/>
                  <w:vAlign w:val="center"/>
                </w:tcPr>
                <w:p w14:paraId="0DF62FA4">
                  <w:pPr>
                    <w:keepNext w:val="0"/>
                    <w:keepLines w:val="0"/>
                    <w:suppressLineNumbers w:val="0"/>
                    <w:spacing w:before="0" w:beforeAutospacing="0" w:after="0" w:afterAutospacing="0"/>
                    <w:ind w:left="0" w:right="0"/>
                    <w:jc w:val="center"/>
                    <w:rPr>
                      <w:rFonts w:hint="default" w:eastAsia="宋体"/>
                      <w:color w:val="000000" w:themeColor="text1"/>
                      <w:sz w:val="21"/>
                      <w:szCs w:val="21"/>
                      <w:u w:val="none" w:color="auto"/>
                      <w:lang w:val="en-US" w:eastAsia="zh-CN"/>
                      <w14:textFill>
                        <w14:solidFill>
                          <w14:schemeClr w14:val="tx1"/>
                        </w14:solidFill>
                      </w14:textFill>
                    </w:rPr>
                  </w:pPr>
                  <w:r>
                    <w:rPr>
                      <w:rFonts w:hint="eastAsia"/>
                      <w:color w:val="000000" w:themeColor="text1"/>
                      <w:sz w:val="21"/>
                      <w:szCs w:val="21"/>
                      <w:u w:val="none" w:color="auto"/>
                      <w:lang w:val="en-US" w:eastAsia="zh-CN"/>
                      <w14:textFill>
                        <w14:solidFill>
                          <w14:schemeClr w14:val="tx1"/>
                        </w14:solidFill>
                      </w14:textFill>
                    </w:rPr>
                    <w:t>34.2</w:t>
                  </w:r>
                </w:p>
              </w:tc>
            </w:tr>
            <w:tr w14:paraId="4D60280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931" w:type="pct"/>
                  <w:vMerge w:val="continue"/>
                  <w:tcBorders>
                    <w:left w:val="single" w:color="auto" w:sz="4" w:space="0"/>
                    <w:right w:val="single" w:color="auto" w:sz="4" w:space="0"/>
                  </w:tcBorders>
                  <w:noWrap w:val="0"/>
                  <w:vAlign w:val="center"/>
                </w:tcPr>
                <w:p w14:paraId="2A6BB5C4">
                  <w:pPr>
                    <w:keepNext w:val="0"/>
                    <w:keepLines w:val="0"/>
                    <w:suppressLineNumbers w:val="0"/>
                    <w:spacing w:before="0" w:beforeAutospacing="0" w:after="0" w:afterAutospacing="0"/>
                    <w:ind w:left="0" w:right="0"/>
                    <w:jc w:val="center"/>
                    <w:rPr>
                      <w:rFonts w:hint="eastAsia" w:eastAsia="宋体"/>
                      <w:color w:val="000000" w:themeColor="text1"/>
                      <w:sz w:val="21"/>
                      <w:szCs w:val="21"/>
                      <w:highlight w:val="none"/>
                      <w:u w:val="none" w:color="auto"/>
                      <w:lang w:val="en-US" w:eastAsia="zh-CN"/>
                      <w14:textFill>
                        <w14:solidFill>
                          <w14:schemeClr w14:val="tx1"/>
                        </w14:solidFill>
                      </w14:textFill>
                    </w:rPr>
                  </w:pPr>
                </w:p>
              </w:tc>
              <w:tc>
                <w:tcPr>
                  <w:tcW w:w="1455" w:type="pct"/>
                  <w:vMerge w:val="continue"/>
                  <w:tcBorders>
                    <w:left w:val="single" w:color="auto" w:sz="4" w:space="0"/>
                    <w:right w:val="single" w:color="auto" w:sz="4" w:space="0"/>
                  </w:tcBorders>
                  <w:noWrap w:val="0"/>
                  <w:vAlign w:val="center"/>
                </w:tcPr>
                <w:p w14:paraId="799CF36A">
                  <w:pPr>
                    <w:keepNext w:val="0"/>
                    <w:keepLines w:val="0"/>
                    <w:suppressLineNumbers w:val="0"/>
                    <w:spacing w:before="0" w:beforeAutospacing="0" w:after="0" w:afterAutospacing="0"/>
                    <w:ind w:left="0" w:right="0"/>
                    <w:jc w:val="center"/>
                    <w:rPr>
                      <w:rFonts w:hint="eastAsia" w:eastAsia="宋体"/>
                      <w:color w:val="000000" w:themeColor="text1"/>
                      <w:sz w:val="21"/>
                      <w:szCs w:val="21"/>
                      <w:highlight w:val="none"/>
                      <w:u w:val="none" w:color="auto"/>
                      <w:lang w:val="en-US" w:eastAsia="zh-CN"/>
                      <w14:textFill>
                        <w14:solidFill>
                          <w14:schemeClr w14:val="tx1"/>
                        </w14:solidFill>
                      </w14:textFill>
                    </w:rPr>
                  </w:pPr>
                </w:p>
              </w:tc>
              <w:tc>
                <w:tcPr>
                  <w:tcW w:w="1439" w:type="pct"/>
                  <w:tcBorders>
                    <w:top w:val="single" w:color="auto" w:sz="4" w:space="0"/>
                    <w:left w:val="single" w:color="auto" w:sz="4" w:space="0"/>
                    <w:bottom w:val="single" w:color="auto" w:sz="4" w:space="0"/>
                    <w:right w:val="single" w:color="auto" w:sz="4" w:space="0"/>
                  </w:tcBorders>
                  <w:noWrap w:val="0"/>
                  <w:vAlign w:val="center"/>
                </w:tcPr>
                <w:p w14:paraId="6D2567F9">
                  <w:pPr>
                    <w:keepNext w:val="0"/>
                    <w:keepLines w:val="0"/>
                    <w:suppressLineNumbers w:val="0"/>
                    <w:spacing w:before="0" w:beforeAutospacing="0" w:after="0" w:afterAutospacing="0"/>
                    <w:ind w:left="0" w:right="0"/>
                    <w:jc w:val="center"/>
                    <w:rPr>
                      <w:rFonts w:hint="default"/>
                      <w:bCs/>
                      <w:color w:val="000000" w:themeColor="text1"/>
                      <w:sz w:val="21"/>
                      <w:szCs w:val="21"/>
                      <w:u w:val="none" w:color="auto"/>
                      <w:lang w:val="en-US" w:eastAsia="zh-CN"/>
                      <w14:textFill>
                        <w14:solidFill>
                          <w14:schemeClr w14:val="tx1"/>
                        </w14:solidFill>
                      </w14:textFill>
                    </w:rPr>
                  </w:pPr>
                  <w:r>
                    <w:rPr>
                      <w:rFonts w:hint="eastAsia"/>
                      <w:bCs/>
                      <w:color w:val="000000" w:themeColor="text1"/>
                      <w:sz w:val="21"/>
                      <w:szCs w:val="21"/>
                      <w:u w:val="none" w:color="auto"/>
                      <w:lang w:val="en-US" w:eastAsia="zh-CN"/>
                      <w14:textFill>
                        <w14:solidFill>
                          <w14:schemeClr w14:val="tx1"/>
                        </w14:solidFill>
                      </w14:textFill>
                    </w:rPr>
                    <w:t>二氧化硫</w:t>
                  </w:r>
                </w:p>
              </w:tc>
              <w:tc>
                <w:tcPr>
                  <w:tcW w:w="1173" w:type="pct"/>
                  <w:tcBorders>
                    <w:top w:val="single" w:color="auto" w:sz="4" w:space="0"/>
                    <w:left w:val="single" w:color="auto" w:sz="4" w:space="0"/>
                    <w:bottom w:val="single" w:color="auto" w:sz="4" w:space="0"/>
                    <w:right w:val="single" w:color="auto" w:sz="4" w:space="0"/>
                  </w:tcBorders>
                  <w:noWrap w:val="0"/>
                  <w:vAlign w:val="center"/>
                </w:tcPr>
                <w:p w14:paraId="590429FD">
                  <w:pPr>
                    <w:keepNext w:val="0"/>
                    <w:keepLines w:val="0"/>
                    <w:suppressLineNumbers w:val="0"/>
                    <w:spacing w:before="0" w:beforeAutospacing="0" w:after="0" w:afterAutospacing="0"/>
                    <w:ind w:left="0" w:right="0"/>
                    <w:jc w:val="center"/>
                    <w:rPr>
                      <w:rFonts w:hint="default"/>
                      <w:color w:val="000000" w:themeColor="text1"/>
                      <w:sz w:val="21"/>
                      <w:szCs w:val="21"/>
                      <w:u w:val="none" w:color="auto"/>
                      <w:lang w:val="en-US" w:eastAsia="zh-CN"/>
                      <w14:textFill>
                        <w14:solidFill>
                          <w14:schemeClr w14:val="tx1"/>
                        </w14:solidFill>
                      </w14:textFill>
                    </w:rPr>
                  </w:pPr>
                  <w:r>
                    <w:rPr>
                      <w:rFonts w:hint="eastAsia"/>
                      <w:color w:val="000000" w:themeColor="text1"/>
                      <w:sz w:val="21"/>
                      <w:szCs w:val="21"/>
                      <w:u w:val="none" w:color="auto"/>
                      <w:lang w:val="en-US" w:eastAsia="zh-CN"/>
                      <w14:textFill>
                        <w14:solidFill>
                          <w14:schemeClr w14:val="tx1"/>
                        </w14:solidFill>
                      </w14:textFill>
                    </w:rPr>
                    <w:t>7.05</w:t>
                  </w:r>
                </w:p>
              </w:tc>
            </w:tr>
            <w:tr w14:paraId="18E4C29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931" w:type="pct"/>
                  <w:vMerge w:val="continue"/>
                  <w:tcBorders>
                    <w:left w:val="single" w:color="auto" w:sz="4" w:space="0"/>
                    <w:right w:val="single" w:color="auto" w:sz="4" w:space="0"/>
                  </w:tcBorders>
                  <w:noWrap w:val="0"/>
                  <w:vAlign w:val="center"/>
                </w:tcPr>
                <w:p w14:paraId="50340CAC">
                  <w:pPr>
                    <w:keepNext w:val="0"/>
                    <w:keepLines w:val="0"/>
                    <w:suppressLineNumbers w:val="0"/>
                    <w:spacing w:before="0" w:beforeAutospacing="0" w:after="0" w:afterAutospacing="0"/>
                    <w:ind w:left="0" w:right="0"/>
                    <w:jc w:val="center"/>
                    <w:rPr>
                      <w:rFonts w:hint="eastAsia" w:eastAsia="宋体"/>
                      <w:color w:val="000000" w:themeColor="text1"/>
                      <w:sz w:val="21"/>
                      <w:szCs w:val="21"/>
                      <w:highlight w:val="none"/>
                      <w:u w:val="none" w:color="auto"/>
                      <w:lang w:val="en-US" w:eastAsia="zh-CN"/>
                      <w14:textFill>
                        <w14:solidFill>
                          <w14:schemeClr w14:val="tx1"/>
                        </w14:solidFill>
                      </w14:textFill>
                    </w:rPr>
                  </w:pPr>
                </w:p>
              </w:tc>
              <w:tc>
                <w:tcPr>
                  <w:tcW w:w="1455" w:type="pct"/>
                  <w:vMerge w:val="continue"/>
                  <w:tcBorders>
                    <w:left w:val="single" w:color="auto" w:sz="4" w:space="0"/>
                    <w:right w:val="single" w:color="auto" w:sz="4" w:space="0"/>
                  </w:tcBorders>
                  <w:noWrap w:val="0"/>
                  <w:vAlign w:val="center"/>
                </w:tcPr>
                <w:p w14:paraId="28A5C68A">
                  <w:pPr>
                    <w:keepNext w:val="0"/>
                    <w:keepLines w:val="0"/>
                    <w:suppressLineNumbers w:val="0"/>
                    <w:spacing w:before="0" w:beforeAutospacing="0" w:after="0" w:afterAutospacing="0"/>
                    <w:ind w:left="0" w:right="0"/>
                    <w:jc w:val="center"/>
                    <w:rPr>
                      <w:rFonts w:hint="eastAsia" w:eastAsia="宋体"/>
                      <w:color w:val="000000" w:themeColor="text1"/>
                      <w:sz w:val="21"/>
                      <w:szCs w:val="21"/>
                      <w:highlight w:val="none"/>
                      <w:u w:val="none" w:color="auto"/>
                      <w:lang w:val="en-US" w:eastAsia="zh-CN"/>
                      <w14:textFill>
                        <w14:solidFill>
                          <w14:schemeClr w14:val="tx1"/>
                        </w14:solidFill>
                      </w14:textFill>
                    </w:rPr>
                  </w:pPr>
                </w:p>
              </w:tc>
              <w:tc>
                <w:tcPr>
                  <w:tcW w:w="1439" w:type="pct"/>
                  <w:tcBorders>
                    <w:top w:val="single" w:color="auto" w:sz="4" w:space="0"/>
                    <w:left w:val="single" w:color="auto" w:sz="4" w:space="0"/>
                    <w:bottom w:val="single" w:color="auto" w:sz="4" w:space="0"/>
                    <w:right w:val="single" w:color="auto" w:sz="4" w:space="0"/>
                  </w:tcBorders>
                  <w:noWrap w:val="0"/>
                  <w:vAlign w:val="center"/>
                </w:tcPr>
                <w:p w14:paraId="519A5CDA">
                  <w:pPr>
                    <w:keepNext w:val="0"/>
                    <w:keepLines w:val="0"/>
                    <w:suppressLineNumbers w:val="0"/>
                    <w:spacing w:before="0" w:beforeAutospacing="0" w:after="0" w:afterAutospacing="0"/>
                    <w:ind w:left="0" w:right="0"/>
                    <w:jc w:val="center"/>
                    <w:rPr>
                      <w:rFonts w:hint="eastAsia"/>
                      <w:bCs/>
                      <w:color w:val="000000" w:themeColor="text1"/>
                      <w:sz w:val="21"/>
                      <w:szCs w:val="21"/>
                      <w:u w:val="none" w:color="auto"/>
                      <w:lang w:val="en-US" w:eastAsia="zh-CN"/>
                      <w14:textFill>
                        <w14:solidFill>
                          <w14:schemeClr w14:val="tx1"/>
                        </w14:solidFill>
                      </w14:textFill>
                    </w:rPr>
                  </w:pPr>
                  <w:r>
                    <w:rPr>
                      <w:rFonts w:hint="eastAsia"/>
                      <w:bCs/>
                      <w:color w:val="000000" w:themeColor="text1"/>
                      <w:sz w:val="21"/>
                      <w:szCs w:val="21"/>
                      <w:u w:val="none" w:color="auto"/>
                      <w:lang w:val="en-US" w:eastAsia="zh-CN"/>
                      <w14:textFill>
                        <w14:solidFill>
                          <w14:schemeClr w14:val="tx1"/>
                        </w14:solidFill>
                      </w14:textFill>
                    </w:rPr>
                    <w:t>氮氧化物</w:t>
                  </w:r>
                </w:p>
              </w:tc>
              <w:tc>
                <w:tcPr>
                  <w:tcW w:w="1173" w:type="pct"/>
                  <w:tcBorders>
                    <w:top w:val="single" w:color="auto" w:sz="4" w:space="0"/>
                    <w:left w:val="single" w:color="auto" w:sz="4" w:space="0"/>
                    <w:bottom w:val="single" w:color="auto" w:sz="4" w:space="0"/>
                    <w:right w:val="single" w:color="auto" w:sz="4" w:space="0"/>
                  </w:tcBorders>
                  <w:noWrap w:val="0"/>
                  <w:vAlign w:val="center"/>
                </w:tcPr>
                <w:p w14:paraId="60B70A32">
                  <w:pPr>
                    <w:keepNext w:val="0"/>
                    <w:keepLines w:val="0"/>
                    <w:suppressLineNumbers w:val="0"/>
                    <w:spacing w:before="0" w:beforeAutospacing="0" w:after="0" w:afterAutospacing="0"/>
                    <w:ind w:left="0" w:right="0"/>
                    <w:jc w:val="center"/>
                    <w:rPr>
                      <w:rFonts w:hint="default"/>
                      <w:color w:val="000000" w:themeColor="text1"/>
                      <w:sz w:val="21"/>
                      <w:szCs w:val="21"/>
                      <w:u w:val="none" w:color="auto"/>
                      <w:lang w:val="en-US" w:eastAsia="zh-CN"/>
                      <w14:textFill>
                        <w14:solidFill>
                          <w14:schemeClr w14:val="tx1"/>
                        </w14:solidFill>
                      </w14:textFill>
                    </w:rPr>
                  </w:pPr>
                  <w:r>
                    <w:rPr>
                      <w:rFonts w:hint="eastAsia"/>
                      <w:color w:val="000000" w:themeColor="text1"/>
                      <w:sz w:val="21"/>
                      <w:szCs w:val="21"/>
                      <w:u w:val="none" w:color="auto"/>
                      <w:lang w:val="en-US" w:eastAsia="zh-CN"/>
                      <w14:textFill>
                        <w14:solidFill>
                          <w14:schemeClr w14:val="tx1"/>
                        </w14:solidFill>
                      </w14:textFill>
                    </w:rPr>
                    <w:t>4.5</w:t>
                  </w:r>
                </w:p>
              </w:tc>
            </w:tr>
            <w:tr w14:paraId="24C5878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931" w:type="pct"/>
                  <w:vMerge w:val="continue"/>
                  <w:tcBorders>
                    <w:left w:val="single" w:color="auto" w:sz="4" w:space="0"/>
                    <w:right w:val="single" w:color="auto" w:sz="4" w:space="0"/>
                  </w:tcBorders>
                  <w:noWrap w:val="0"/>
                  <w:vAlign w:val="center"/>
                </w:tcPr>
                <w:p w14:paraId="4217CCB3">
                  <w:pPr>
                    <w:keepNext w:val="0"/>
                    <w:keepLines w:val="0"/>
                    <w:suppressLineNumbers w:val="0"/>
                    <w:spacing w:before="0" w:beforeAutospacing="0" w:after="0" w:afterAutospacing="0"/>
                    <w:ind w:left="0" w:right="0"/>
                    <w:jc w:val="center"/>
                    <w:rPr>
                      <w:rFonts w:hint="eastAsia" w:eastAsia="宋体"/>
                      <w:color w:val="000000" w:themeColor="text1"/>
                      <w:sz w:val="21"/>
                      <w:szCs w:val="21"/>
                      <w:highlight w:val="none"/>
                      <w:u w:val="none" w:color="auto"/>
                      <w:lang w:val="en-US" w:eastAsia="zh-CN"/>
                      <w14:textFill>
                        <w14:solidFill>
                          <w14:schemeClr w14:val="tx1"/>
                        </w14:solidFill>
                      </w14:textFill>
                    </w:rPr>
                  </w:pPr>
                </w:p>
              </w:tc>
              <w:tc>
                <w:tcPr>
                  <w:tcW w:w="1455" w:type="pct"/>
                  <w:vMerge w:val="continue"/>
                  <w:tcBorders>
                    <w:left w:val="single" w:color="auto" w:sz="4" w:space="0"/>
                    <w:right w:val="single" w:color="auto" w:sz="4" w:space="0"/>
                  </w:tcBorders>
                  <w:noWrap w:val="0"/>
                  <w:vAlign w:val="center"/>
                </w:tcPr>
                <w:p w14:paraId="3AEBB5CA">
                  <w:pPr>
                    <w:keepNext w:val="0"/>
                    <w:keepLines w:val="0"/>
                    <w:suppressLineNumbers w:val="0"/>
                    <w:spacing w:before="0" w:beforeAutospacing="0" w:after="0" w:afterAutospacing="0"/>
                    <w:ind w:left="0" w:right="0"/>
                    <w:jc w:val="center"/>
                    <w:rPr>
                      <w:rFonts w:hint="eastAsia" w:eastAsia="宋体"/>
                      <w:color w:val="000000" w:themeColor="text1"/>
                      <w:sz w:val="21"/>
                      <w:szCs w:val="21"/>
                      <w:highlight w:val="none"/>
                      <w:u w:val="none" w:color="auto"/>
                      <w:lang w:val="en-US" w:eastAsia="zh-CN"/>
                      <w14:textFill>
                        <w14:solidFill>
                          <w14:schemeClr w14:val="tx1"/>
                        </w14:solidFill>
                      </w14:textFill>
                    </w:rPr>
                  </w:pPr>
                </w:p>
              </w:tc>
              <w:tc>
                <w:tcPr>
                  <w:tcW w:w="1439" w:type="pct"/>
                  <w:tcBorders>
                    <w:top w:val="single" w:color="auto" w:sz="4" w:space="0"/>
                    <w:left w:val="single" w:color="auto" w:sz="4" w:space="0"/>
                    <w:bottom w:val="single" w:color="auto" w:sz="4" w:space="0"/>
                    <w:right w:val="single" w:color="auto" w:sz="4" w:space="0"/>
                  </w:tcBorders>
                  <w:noWrap w:val="0"/>
                  <w:vAlign w:val="center"/>
                </w:tcPr>
                <w:p w14:paraId="38D63734">
                  <w:pPr>
                    <w:keepNext w:val="0"/>
                    <w:keepLines w:val="0"/>
                    <w:suppressLineNumbers w:val="0"/>
                    <w:spacing w:before="0" w:beforeAutospacing="0" w:after="0" w:afterAutospacing="0"/>
                    <w:ind w:left="0" w:right="0"/>
                    <w:jc w:val="center"/>
                    <w:rPr>
                      <w:rFonts w:hint="default"/>
                      <w:bCs/>
                      <w:color w:val="000000" w:themeColor="text1"/>
                      <w:sz w:val="21"/>
                      <w:szCs w:val="21"/>
                      <w:u w:val="none" w:color="auto"/>
                      <w:lang w:val="en-US" w:eastAsia="zh-CN"/>
                      <w14:textFill>
                        <w14:solidFill>
                          <w14:schemeClr w14:val="tx1"/>
                        </w14:solidFill>
                      </w14:textFill>
                    </w:rPr>
                  </w:pPr>
                  <w:r>
                    <w:rPr>
                      <w:rFonts w:hint="eastAsia"/>
                      <w:bCs/>
                      <w:color w:val="000000" w:themeColor="text1"/>
                      <w:sz w:val="21"/>
                      <w:szCs w:val="21"/>
                      <w:u w:val="none" w:color="auto"/>
                      <w:lang w:val="en-US" w:eastAsia="zh-CN"/>
                      <w14:textFill>
                        <w14:solidFill>
                          <w14:schemeClr w14:val="tx1"/>
                        </w14:solidFill>
                      </w14:textFill>
                    </w:rPr>
                    <w:t>损耗</w:t>
                  </w:r>
                </w:p>
              </w:tc>
              <w:tc>
                <w:tcPr>
                  <w:tcW w:w="1173" w:type="pct"/>
                  <w:tcBorders>
                    <w:top w:val="single" w:color="auto" w:sz="4" w:space="0"/>
                    <w:left w:val="single" w:color="auto" w:sz="4" w:space="0"/>
                    <w:bottom w:val="single" w:color="auto" w:sz="4" w:space="0"/>
                    <w:right w:val="single" w:color="auto" w:sz="4" w:space="0"/>
                  </w:tcBorders>
                  <w:noWrap w:val="0"/>
                  <w:vAlign w:val="center"/>
                </w:tcPr>
                <w:p w14:paraId="37BA4D96">
                  <w:pPr>
                    <w:keepNext w:val="0"/>
                    <w:keepLines w:val="0"/>
                    <w:suppressLineNumbers w:val="0"/>
                    <w:spacing w:before="0" w:beforeAutospacing="0" w:after="0" w:afterAutospacing="0"/>
                    <w:ind w:left="0" w:right="0"/>
                    <w:jc w:val="center"/>
                    <w:rPr>
                      <w:rFonts w:hint="default"/>
                      <w:color w:val="000000" w:themeColor="text1"/>
                      <w:sz w:val="21"/>
                      <w:szCs w:val="21"/>
                      <w:u w:val="none" w:color="auto"/>
                      <w:lang w:val="en-US" w:eastAsia="zh-CN"/>
                      <w14:textFill>
                        <w14:solidFill>
                          <w14:schemeClr w14:val="tx1"/>
                        </w14:solidFill>
                      </w14:textFill>
                    </w:rPr>
                  </w:pPr>
                  <w:r>
                    <w:rPr>
                      <w:rFonts w:hint="eastAsia"/>
                      <w:color w:val="000000" w:themeColor="text1"/>
                      <w:sz w:val="21"/>
                      <w:szCs w:val="21"/>
                      <w:u w:val="none" w:color="auto"/>
                      <w:lang w:val="en-US" w:eastAsia="zh-CN"/>
                      <w14:textFill>
                        <w14:solidFill>
                          <w14:schemeClr w14:val="tx1"/>
                        </w14:solidFill>
                      </w14:textFill>
                    </w:rPr>
                    <w:t>42.29</w:t>
                  </w:r>
                </w:p>
              </w:tc>
            </w:tr>
            <w:tr w14:paraId="4A04ED0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931" w:type="pct"/>
                  <w:tcBorders>
                    <w:left w:val="single" w:color="auto" w:sz="4" w:space="0"/>
                    <w:bottom w:val="single" w:color="auto" w:sz="4" w:space="0"/>
                    <w:right w:val="single" w:color="auto" w:sz="4" w:space="0"/>
                  </w:tcBorders>
                  <w:noWrap w:val="0"/>
                  <w:vAlign w:val="center"/>
                </w:tcPr>
                <w:p w14:paraId="3CF9DE47">
                  <w:pPr>
                    <w:keepNext w:val="0"/>
                    <w:keepLines w:val="0"/>
                    <w:suppressLineNumbers w:val="0"/>
                    <w:spacing w:before="0" w:beforeAutospacing="0" w:after="0" w:afterAutospacing="0"/>
                    <w:ind w:left="0" w:right="0"/>
                    <w:jc w:val="center"/>
                    <w:rPr>
                      <w:rFonts w:hint="default"/>
                      <w:color w:val="000000" w:themeColor="text1"/>
                      <w:sz w:val="21"/>
                      <w:szCs w:val="21"/>
                      <w:highlight w:val="none"/>
                      <w:u w:val="none" w:color="auto"/>
                      <w:lang w:val="en-US" w:eastAsia="zh-CN"/>
                      <w14:textFill>
                        <w14:solidFill>
                          <w14:schemeClr w14:val="tx1"/>
                        </w14:solidFill>
                      </w14:textFill>
                    </w:rPr>
                  </w:pPr>
                  <w:r>
                    <w:rPr>
                      <w:rFonts w:hint="eastAsia"/>
                      <w:color w:val="000000" w:themeColor="text1"/>
                      <w:sz w:val="21"/>
                      <w:szCs w:val="21"/>
                      <w:highlight w:val="none"/>
                      <w:u w:val="none" w:color="auto"/>
                      <w:lang w:val="en-US" w:eastAsia="zh-CN"/>
                      <w14:textFill>
                        <w14:solidFill>
                          <w14:schemeClr w14:val="tx1"/>
                        </w14:solidFill>
                      </w14:textFill>
                    </w:rPr>
                    <w:t>合计</w:t>
                  </w:r>
                </w:p>
              </w:tc>
              <w:tc>
                <w:tcPr>
                  <w:tcW w:w="1455" w:type="pct"/>
                  <w:tcBorders>
                    <w:left w:val="single" w:color="auto" w:sz="4" w:space="0"/>
                    <w:bottom w:val="single" w:color="auto" w:sz="4" w:space="0"/>
                    <w:right w:val="single" w:color="auto" w:sz="4" w:space="0"/>
                  </w:tcBorders>
                  <w:noWrap w:val="0"/>
                  <w:vAlign w:val="center"/>
                </w:tcPr>
                <w:p w14:paraId="40739D6E">
                  <w:pPr>
                    <w:keepNext w:val="0"/>
                    <w:keepLines w:val="0"/>
                    <w:suppressLineNumbers w:val="0"/>
                    <w:spacing w:before="0" w:beforeAutospacing="0" w:after="0" w:afterAutospacing="0"/>
                    <w:ind w:left="0" w:right="0"/>
                    <w:jc w:val="center"/>
                    <w:rPr>
                      <w:rFonts w:hint="eastAsia"/>
                      <w:color w:val="000000" w:themeColor="text1"/>
                      <w:sz w:val="21"/>
                      <w:szCs w:val="21"/>
                      <w:highlight w:val="none"/>
                      <w:u w:val="none" w:color="auto"/>
                      <w:lang w:val="en-US" w:eastAsia="zh-CN"/>
                      <w14:textFill>
                        <w14:solidFill>
                          <w14:schemeClr w14:val="tx1"/>
                        </w14:solidFill>
                      </w14:textFill>
                    </w:rPr>
                  </w:pPr>
                  <w:r>
                    <w:rPr>
                      <w:rFonts w:hint="eastAsia" w:cs="Times New Roman"/>
                      <w:color w:val="000000" w:themeColor="text1"/>
                      <w:kern w:val="0"/>
                      <w:sz w:val="21"/>
                      <w:szCs w:val="21"/>
                      <w:u w:val="none" w:color="auto"/>
                      <w:lang w:val="en-US" w:eastAsia="zh-CN"/>
                      <w14:textFill>
                        <w14:solidFill>
                          <w14:schemeClr w14:val="tx1"/>
                        </w14:solidFill>
                      </w14:textFill>
                    </w:rPr>
                    <w:t>9447.73</w:t>
                  </w:r>
                </w:p>
              </w:tc>
              <w:tc>
                <w:tcPr>
                  <w:tcW w:w="1439" w:type="pct"/>
                  <w:tcBorders>
                    <w:top w:val="single" w:color="auto" w:sz="4" w:space="0"/>
                    <w:left w:val="single" w:color="auto" w:sz="4" w:space="0"/>
                    <w:bottom w:val="single" w:color="auto" w:sz="4" w:space="0"/>
                    <w:right w:val="single" w:color="auto" w:sz="4" w:space="0"/>
                  </w:tcBorders>
                  <w:noWrap w:val="0"/>
                  <w:vAlign w:val="center"/>
                </w:tcPr>
                <w:p w14:paraId="7C84DF44">
                  <w:pPr>
                    <w:keepNext w:val="0"/>
                    <w:keepLines w:val="0"/>
                    <w:suppressLineNumbers w:val="0"/>
                    <w:spacing w:before="0" w:beforeAutospacing="0" w:after="0" w:afterAutospacing="0"/>
                    <w:ind w:left="0" w:right="0"/>
                    <w:jc w:val="center"/>
                    <w:rPr>
                      <w:rFonts w:hint="default"/>
                      <w:bCs/>
                      <w:color w:val="000000" w:themeColor="text1"/>
                      <w:sz w:val="21"/>
                      <w:szCs w:val="21"/>
                      <w:u w:val="none" w:color="auto"/>
                      <w:lang w:val="en-US" w:eastAsia="zh-CN"/>
                      <w14:textFill>
                        <w14:solidFill>
                          <w14:schemeClr w14:val="tx1"/>
                        </w14:solidFill>
                      </w14:textFill>
                    </w:rPr>
                  </w:pPr>
                  <w:r>
                    <w:rPr>
                      <w:rFonts w:hint="eastAsia"/>
                      <w:bCs/>
                      <w:color w:val="000000" w:themeColor="text1"/>
                      <w:sz w:val="21"/>
                      <w:szCs w:val="21"/>
                      <w:u w:val="none" w:color="auto"/>
                      <w:lang w:val="en-US" w:eastAsia="zh-CN"/>
                      <w14:textFill>
                        <w14:solidFill>
                          <w14:schemeClr w14:val="tx1"/>
                        </w14:solidFill>
                      </w14:textFill>
                    </w:rPr>
                    <w:t>合计</w:t>
                  </w:r>
                </w:p>
              </w:tc>
              <w:tc>
                <w:tcPr>
                  <w:tcW w:w="1173" w:type="pct"/>
                  <w:tcBorders>
                    <w:top w:val="single" w:color="auto" w:sz="4" w:space="0"/>
                    <w:left w:val="single" w:color="auto" w:sz="4" w:space="0"/>
                    <w:bottom w:val="single" w:color="auto" w:sz="4" w:space="0"/>
                    <w:right w:val="single" w:color="auto" w:sz="4" w:space="0"/>
                  </w:tcBorders>
                  <w:noWrap w:val="0"/>
                  <w:vAlign w:val="center"/>
                </w:tcPr>
                <w:p w14:paraId="5D8CDCBA">
                  <w:pPr>
                    <w:keepNext w:val="0"/>
                    <w:keepLines w:val="0"/>
                    <w:suppressLineNumbers w:val="0"/>
                    <w:spacing w:before="0" w:beforeAutospacing="0" w:after="0" w:afterAutospacing="0"/>
                    <w:ind w:left="0" w:right="0"/>
                    <w:jc w:val="center"/>
                    <w:rPr>
                      <w:rFonts w:hint="default"/>
                      <w:color w:val="000000" w:themeColor="text1"/>
                      <w:sz w:val="21"/>
                      <w:szCs w:val="21"/>
                      <w:u w:val="none" w:color="auto"/>
                      <w:lang w:val="en-US" w:eastAsia="zh-CN"/>
                      <w14:textFill>
                        <w14:solidFill>
                          <w14:schemeClr w14:val="tx1"/>
                        </w14:solidFill>
                      </w14:textFill>
                    </w:rPr>
                  </w:pPr>
                  <w:r>
                    <w:rPr>
                      <w:rFonts w:hint="eastAsia" w:cs="Times New Roman"/>
                      <w:color w:val="000000" w:themeColor="text1"/>
                      <w:kern w:val="0"/>
                      <w:sz w:val="21"/>
                      <w:szCs w:val="21"/>
                      <w:u w:val="none" w:color="auto"/>
                      <w:lang w:val="en-US" w:eastAsia="zh-CN"/>
                      <w14:textFill>
                        <w14:solidFill>
                          <w14:schemeClr w14:val="tx1"/>
                        </w14:solidFill>
                      </w14:textFill>
                    </w:rPr>
                    <w:t>9447.73</w:t>
                  </w:r>
                </w:p>
              </w:tc>
            </w:tr>
          </w:tbl>
          <w:p w14:paraId="34AE4A9B">
            <w:pPr>
              <w:keepNext w:val="0"/>
              <w:keepLines w:val="0"/>
              <w:suppressLineNumbers w:val="0"/>
              <w:spacing w:before="0" w:beforeAutospacing="0" w:after="0" w:afterAutospacing="0" w:line="360" w:lineRule="auto"/>
              <w:ind w:left="0" w:right="0" w:firstLine="480" w:firstLineChars="200"/>
              <w:rPr>
                <w:rFonts w:hint="default"/>
                <w:bCs/>
                <w:sz w:val="24"/>
                <w:szCs w:val="24"/>
                <w:lang w:val="en-US"/>
              </w:rPr>
            </w:pPr>
            <w:r>
              <w:rPr>
                <w:rFonts w:hint="eastAsia"/>
                <w:bCs/>
                <w:sz w:val="24"/>
                <w:szCs w:val="24"/>
                <w:lang w:eastAsia="zh-CN"/>
              </w:rPr>
              <w:t>（</w:t>
            </w:r>
            <w:r>
              <w:rPr>
                <w:rFonts w:hint="eastAsia"/>
                <w:bCs/>
                <w:sz w:val="24"/>
                <w:szCs w:val="24"/>
                <w:lang w:val="en-US" w:eastAsia="zh-CN"/>
              </w:rPr>
              <w:t>2</w:t>
            </w:r>
            <w:r>
              <w:rPr>
                <w:rFonts w:hint="eastAsia"/>
                <w:bCs/>
                <w:sz w:val="24"/>
                <w:szCs w:val="24"/>
                <w:lang w:eastAsia="zh-CN"/>
              </w:rPr>
              <w:t>）</w:t>
            </w:r>
            <w:r>
              <w:rPr>
                <w:rFonts w:hint="eastAsia"/>
                <w:bCs/>
                <w:sz w:val="24"/>
                <w:szCs w:val="24"/>
                <w:lang w:val="en-US" w:eastAsia="zh-CN"/>
              </w:rPr>
              <w:t>生物质颗粒</w:t>
            </w:r>
          </w:p>
          <w:p w14:paraId="6A2924A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bCs/>
                <w:color w:val="000000" w:themeColor="text1"/>
                <w:sz w:val="24"/>
                <w:szCs w:val="24"/>
                <w:lang w:eastAsia="zh-CN"/>
                <w14:textFill>
                  <w14:solidFill>
                    <w14:schemeClr w14:val="tx1"/>
                  </w14:solidFill>
                </w14:textFill>
              </w:rPr>
            </w:pPr>
            <w:r>
              <w:rPr>
                <w:rFonts w:hint="eastAsia"/>
                <w:bCs/>
                <w:color w:val="000000" w:themeColor="text1"/>
                <w:sz w:val="24"/>
                <w:szCs w:val="24"/>
                <w:lang w:val="en-US" w:eastAsia="zh-CN"/>
                <w14:textFill>
                  <w14:solidFill>
                    <w14:schemeClr w14:val="tx1"/>
                  </w14:solidFill>
                </w14:textFill>
              </w:rPr>
              <w:t>生物质颗粒生产线物料投入产出情况</w:t>
            </w:r>
            <w:r>
              <w:rPr>
                <w:rFonts w:hint="eastAsia"/>
                <w:bCs/>
                <w:color w:val="000000" w:themeColor="text1"/>
                <w:sz w:val="24"/>
                <w:szCs w:val="24"/>
                <w14:textFill>
                  <w14:solidFill>
                    <w14:schemeClr w14:val="tx1"/>
                  </w14:solidFill>
                </w14:textFill>
              </w:rPr>
              <w:t>见下表</w:t>
            </w:r>
            <w:r>
              <w:rPr>
                <w:rFonts w:hint="eastAsia"/>
                <w:bCs/>
                <w:color w:val="000000" w:themeColor="text1"/>
                <w:sz w:val="24"/>
                <w:szCs w:val="24"/>
                <w:lang w:eastAsia="zh-CN"/>
                <w14:textFill>
                  <w14:solidFill>
                    <w14:schemeClr w14:val="tx1"/>
                  </w14:solidFill>
                </w14:textFill>
              </w:rPr>
              <w:t>。</w:t>
            </w:r>
          </w:p>
          <w:p w14:paraId="09A2DA4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eastAsia="宋体" w:cs="Times New Roman"/>
                <w:b/>
                <w:color w:val="000000" w:themeColor="text1"/>
                <w:sz w:val="24"/>
                <w:szCs w:val="24"/>
                <w:highlight w:val="none"/>
                <w:u w:val="none" w:color="auto"/>
                <w14:textFill>
                  <w14:solidFill>
                    <w14:schemeClr w14:val="tx1"/>
                  </w14:solidFill>
                </w14:textFill>
              </w:rPr>
            </w:pPr>
            <w:r>
              <w:rPr>
                <w:rFonts w:hint="default" w:ascii="Times New Roman" w:hAnsi="Times New Roman" w:eastAsia="宋体" w:cs="Times New Roman"/>
                <w:b/>
                <w:color w:val="000000" w:themeColor="text1"/>
                <w:sz w:val="24"/>
                <w:szCs w:val="24"/>
                <w:highlight w:val="none"/>
                <w:u w:val="none" w:color="auto"/>
                <w14:textFill>
                  <w14:solidFill>
                    <w14:schemeClr w14:val="tx1"/>
                  </w14:solidFill>
                </w14:textFill>
              </w:rPr>
              <w:t>表2-</w:t>
            </w:r>
            <w:r>
              <w:rPr>
                <w:rFonts w:hint="eastAsia" w:ascii="Times New Roman" w:hAnsi="Times New Roman" w:eastAsia="宋体" w:cs="Times New Roman"/>
                <w:b/>
                <w:color w:val="000000" w:themeColor="text1"/>
                <w:sz w:val="24"/>
                <w:szCs w:val="24"/>
                <w:highlight w:val="none"/>
                <w:u w:val="none" w:color="auto"/>
                <w:lang w:val="en-US" w:eastAsia="zh-CN"/>
                <w14:textFill>
                  <w14:solidFill>
                    <w14:schemeClr w14:val="tx1"/>
                  </w14:solidFill>
                </w14:textFill>
              </w:rPr>
              <w:t>1</w:t>
            </w:r>
            <w:r>
              <w:rPr>
                <w:rFonts w:hint="eastAsia" w:cs="Times New Roman"/>
                <w:b/>
                <w:color w:val="000000" w:themeColor="text1"/>
                <w:sz w:val="24"/>
                <w:szCs w:val="24"/>
                <w:highlight w:val="none"/>
                <w:u w:val="none" w:color="auto"/>
                <w:lang w:val="en-US" w:eastAsia="zh-CN"/>
                <w14:textFill>
                  <w14:solidFill>
                    <w14:schemeClr w14:val="tx1"/>
                  </w14:solidFill>
                </w14:textFill>
              </w:rPr>
              <w:t>2</w:t>
            </w:r>
            <w:r>
              <w:rPr>
                <w:rFonts w:hint="default" w:ascii="Times New Roman" w:hAnsi="Times New Roman" w:eastAsia="宋体" w:cs="Times New Roman"/>
                <w:b/>
                <w:color w:val="000000" w:themeColor="text1"/>
                <w:sz w:val="24"/>
                <w:szCs w:val="24"/>
                <w:highlight w:val="none"/>
                <w:u w:val="none" w:color="auto"/>
                <w14:textFill>
                  <w14:solidFill>
                    <w14:schemeClr w14:val="tx1"/>
                  </w14:solidFill>
                </w14:textFill>
              </w:rPr>
              <w:t xml:space="preserve">   </w:t>
            </w:r>
            <w:r>
              <w:rPr>
                <w:rFonts w:hint="eastAsia" w:ascii="Times New Roman" w:hAnsi="Times New Roman" w:eastAsia="宋体" w:cs="Times New Roman"/>
                <w:b/>
                <w:color w:val="000000" w:themeColor="text1"/>
                <w:sz w:val="24"/>
                <w:szCs w:val="24"/>
                <w:highlight w:val="none"/>
                <w:u w:val="none" w:color="auto"/>
                <w14:textFill>
                  <w14:solidFill>
                    <w14:schemeClr w14:val="tx1"/>
                  </w14:solidFill>
                </w14:textFill>
              </w:rPr>
              <w:t>项目</w:t>
            </w:r>
            <w:r>
              <w:rPr>
                <w:rFonts w:hint="eastAsia" w:ascii="Times New Roman" w:hAnsi="Times New Roman" w:eastAsia="宋体" w:cs="Times New Roman"/>
                <w:b/>
                <w:color w:val="000000" w:themeColor="text1"/>
                <w:sz w:val="24"/>
                <w:szCs w:val="24"/>
                <w:highlight w:val="none"/>
                <w:u w:val="none" w:color="auto"/>
                <w:lang w:val="en-US" w:eastAsia="zh-CN"/>
                <w14:textFill>
                  <w14:solidFill>
                    <w14:schemeClr w14:val="tx1"/>
                  </w14:solidFill>
                </w14:textFill>
              </w:rPr>
              <w:t>生物质颗粒生产线</w:t>
            </w:r>
            <w:r>
              <w:rPr>
                <w:rFonts w:hint="eastAsia" w:ascii="Times New Roman" w:hAnsi="Times New Roman" w:eastAsia="宋体" w:cs="Times New Roman"/>
                <w:b/>
                <w:color w:val="000000" w:themeColor="text1"/>
                <w:sz w:val="24"/>
                <w:szCs w:val="24"/>
                <w:highlight w:val="none"/>
                <w:u w:val="none" w:color="auto"/>
                <w14:textFill>
                  <w14:solidFill>
                    <w14:schemeClr w14:val="tx1"/>
                  </w14:solidFill>
                </w14:textFill>
              </w:rPr>
              <w:t>物料平衡</w:t>
            </w:r>
            <w:r>
              <w:rPr>
                <w:rFonts w:hint="default" w:ascii="Times New Roman" w:hAnsi="Times New Roman" w:eastAsia="宋体" w:cs="Times New Roman"/>
                <w:b/>
                <w:color w:val="000000" w:themeColor="text1"/>
                <w:sz w:val="24"/>
                <w:szCs w:val="24"/>
                <w:highlight w:val="none"/>
                <w:u w:val="none" w:color="auto"/>
                <w14:textFill>
                  <w14:solidFill>
                    <w14:schemeClr w14:val="tx1"/>
                  </w14:solidFill>
                </w14:textFill>
              </w:rPr>
              <w:t>一览表</w:t>
            </w:r>
          </w:p>
          <w:tbl>
            <w:tblPr>
              <w:tblStyle w:val="29"/>
              <w:tblW w:w="9282"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2499"/>
              <w:gridCol w:w="2198"/>
              <w:gridCol w:w="2809"/>
              <w:gridCol w:w="1776"/>
            </w:tblGrid>
            <w:tr w14:paraId="2F65810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530" w:type="pct"/>
                  <w:gridSpan w:val="2"/>
                  <w:tcBorders>
                    <w:top w:val="single" w:color="auto" w:sz="4" w:space="0"/>
                    <w:left w:val="single" w:color="auto" w:sz="0" w:space="0"/>
                    <w:bottom w:val="single" w:color="auto" w:sz="4" w:space="0"/>
                    <w:right w:val="single" w:color="auto" w:sz="4" w:space="0"/>
                  </w:tcBorders>
                  <w:noWrap w:val="0"/>
                  <w:vAlign w:val="center"/>
                </w:tcPr>
                <w:p w14:paraId="69B193CB">
                  <w:pPr>
                    <w:keepNext w:val="0"/>
                    <w:keepLines w:val="0"/>
                    <w:suppressLineNumbers w:val="0"/>
                    <w:spacing w:before="0" w:beforeAutospacing="0" w:after="0" w:afterAutospacing="0"/>
                    <w:ind w:left="0" w:right="0"/>
                    <w:jc w:val="center"/>
                    <w:rPr>
                      <w:rFonts w:hint="eastAsia"/>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投入</w:t>
                  </w:r>
                </w:p>
              </w:tc>
              <w:tc>
                <w:tcPr>
                  <w:tcW w:w="2469" w:type="pct"/>
                  <w:gridSpan w:val="2"/>
                  <w:tcBorders>
                    <w:top w:val="single" w:color="auto" w:sz="4" w:space="0"/>
                    <w:left w:val="single" w:color="auto" w:sz="4" w:space="0"/>
                    <w:bottom w:val="single" w:color="auto" w:sz="4" w:space="0"/>
                    <w:right w:val="single" w:color="auto" w:sz="4" w:space="0"/>
                  </w:tcBorders>
                  <w:noWrap w:val="0"/>
                  <w:vAlign w:val="center"/>
                </w:tcPr>
                <w:p w14:paraId="1DE4C232">
                  <w:pPr>
                    <w:keepNext w:val="0"/>
                    <w:keepLines w:val="0"/>
                    <w:suppressLineNumbers w:val="0"/>
                    <w:spacing w:before="0" w:beforeAutospacing="0" w:after="0" w:afterAutospacing="0"/>
                    <w:ind w:left="0" w:right="0"/>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产出</w:t>
                  </w:r>
                </w:p>
              </w:tc>
            </w:tr>
            <w:tr w14:paraId="080A2B3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346" w:type="pct"/>
                  <w:tcBorders>
                    <w:top w:val="single" w:color="auto" w:sz="4" w:space="0"/>
                    <w:left w:val="single" w:color="auto" w:sz="4" w:space="0"/>
                    <w:bottom w:val="single" w:color="auto" w:sz="4" w:space="0"/>
                    <w:right w:val="single" w:color="auto" w:sz="4" w:space="0"/>
                  </w:tcBorders>
                  <w:noWrap w:val="0"/>
                  <w:vAlign w:val="center"/>
                </w:tcPr>
                <w:p w14:paraId="1E0131D6">
                  <w:pPr>
                    <w:keepNext w:val="0"/>
                    <w:keepLines w:val="0"/>
                    <w:suppressLineNumbers w:val="0"/>
                    <w:spacing w:before="0" w:beforeAutospacing="0" w:after="0" w:afterAutospacing="0"/>
                    <w:ind w:left="0" w:right="0"/>
                    <w:jc w:val="center"/>
                    <w:rPr>
                      <w:rFonts w:hint="eastAsia" w:eastAsia="宋体"/>
                      <w:color w:val="000000" w:themeColor="text1"/>
                      <w:sz w:val="21"/>
                      <w:szCs w:val="21"/>
                      <w:lang w:eastAsia="zh-CN"/>
                      <w14:textFill>
                        <w14:solidFill>
                          <w14:schemeClr w14:val="tx1"/>
                        </w14:solidFill>
                      </w14:textFill>
                    </w:rPr>
                  </w:pPr>
                  <w:r>
                    <w:rPr>
                      <w:rFonts w:hint="eastAsia"/>
                      <w:color w:val="000000" w:themeColor="text1"/>
                      <w:sz w:val="21"/>
                      <w:szCs w:val="21"/>
                      <w14:textFill>
                        <w14:solidFill>
                          <w14:schemeClr w14:val="tx1"/>
                        </w14:solidFill>
                      </w14:textFill>
                    </w:rPr>
                    <w:t>原料</w:t>
                  </w:r>
                  <w:r>
                    <w:rPr>
                      <w:rFonts w:hint="eastAsia"/>
                      <w:color w:val="000000" w:themeColor="text1"/>
                      <w:sz w:val="21"/>
                      <w:szCs w:val="21"/>
                      <w:lang w:val="en-US" w:eastAsia="zh-CN"/>
                      <w14:textFill>
                        <w14:solidFill>
                          <w14:schemeClr w14:val="tx1"/>
                        </w14:solidFill>
                      </w14:textFill>
                    </w:rPr>
                    <w:t>名称</w:t>
                  </w:r>
                </w:p>
              </w:tc>
              <w:tc>
                <w:tcPr>
                  <w:tcW w:w="1184" w:type="pct"/>
                  <w:tcBorders>
                    <w:top w:val="single" w:color="auto" w:sz="4" w:space="0"/>
                    <w:left w:val="single" w:color="auto" w:sz="4" w:space="0"/>
                    <w:bottom w:val="single" w:color="auto" w:sz="4" w:space="0"/>
                    <w:right w:val="single" w:color="auto" w:sz="4" w:space="0"/>
                  </w:tcBorders>
                  <w:noWrap w:val="0"/>
                  <w:vAlign w:val="center"/>
                </w:tcPr>
                <w:p w14:paraId="2873249B">
                  <w:pPr>
                    <w:keepNext w:val="0"/>
                    <w:keepLines w:val="0"/>
                    <w:suppressLineNumbers w:val="0"/>
                    <w:spacing w:before="0" w:beforeAutospacing="0" w:after="0" w:afterAutospacing="0"/>
                    <w:ind w:left="0" w:right="0"/>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数量（t/a）</w:t>
                  </w:r>
                </w:p>
              </w:tc>
              <w:tc>
                <w:tcPr>
                  <w:tcW w:w="1513" w:type="pct"/>
                  <w:tcBorders>
                    <w:top w:val="single" w:color="auto" w:sz="4" w:space="0"/>
                    <w:left w:val="single" w:color="auto" w:sz="4" w:space="0"/>
                    <w:bottom w:val="single" w:color="auto" w:sz="4" w:space="0"/>
                    <w:right w:val="single" w:color="auto" w:sz="4" w:space="0"/>
                  </w:tcBorders>
                  <w:noWrap w:val="0"/>
                  <w:vAlign w:val="center"/>
                </w:tcPr>
                <w:p w14:paraId="0D001FF5">
                  <w:pPr>
                    <w:keepNext w:val="0"/>
                    <w:keepLines w:val="0"/>
                    <w:suppressLineNumbers w:val="0"/>
                    <w:spacing w:before="0" w:beforeAutospacing="0" w:after="0" w:afterAutospacing="0"/>
                    <w:ind w:left="0" w:right="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产出物料名称</w:t>
                  </w:r>
                </w:p>
              </w:tc>
              <w:tc>
                <w:tcPr>
                  <w:tcW w:w="956" w:type="pct"/>
                  <w:tcBorders>
                    <w:top w:val="single" w:color="auto" w:sz="4" w:space="0"/>
                    <w:left w:val="single" w:color="auto" w:sz="4" w:space="0"/>
                    <w:bottom w:val="single" w:color="auto" w:sz="4" w:space="0"/>
                    <w:right w:val="single" w:color="auto" w:sz="4" w:space="0"/>
                  </w:tcBorders>
                  <w:noWrap w:val="0"/>
                  <w:vAlign w:val="center"/>
                </w:tcPr>
                <w:p w14:paraId="65E605E7">
                  <w:pPr>
                    <w:keepNext w:val="0"/>
                    <w:keepLines w:val="0"/>
                    <w:suppressLineNumbers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数量（t/a）</w:t>
                  </w:r>
                </w:p>
              </w:tc>
            </w:tr>
            <w:tr w14:paraId="5B6438F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346" w:type="pct"/>
                  <w:tcBorders>
                    <w:top w:val="single" w:color="auto" w:sz="4" w:space="0"/>
                    <w:left w:val="single" w:color="auto" w:sz="4" w:space="0"/>
                    <w:bottom w:val="single" w:color="auto" w:sz="4" w:space="0"/>
                    <w:right w:val="single" w:color="auto" w:sz="4" w:space="0"/>
                  </w:tcBorders>
                  <w:shd w:val="clear" w:color="auto" w:fill="FFFFFF"/>
                  <w:noWrap w:val="0"/>
                  <w:vAlign w:val="center"/>
                </w:tcPr>
                <w:p w14:paraId="0F71E1C9">
                  <w:pPr>
                    <w:keepNext w:val="0"/>
                    <w:keepLines w:val="0"/>
                    <w:widowControl/>
                    <w:suppressLineNumbers w:val="0"/>
                    <w:spacing w:before="0" w:beforeAutospacing="0" w:after="0" w:afterAutospacing="0"/>
                    <w:ind w:left="0" w:leftChars="0" w:right="0" w:rightChars="0"/>
                    <w:jc w:val="center"/>
                    <w:rPr>
                      <w:rFonts w:hint="eastAsia" w:ascii="Times New Roman" w:hAnsi="Times New Roman" w:eastAsia="宋体" w:cs="Times New Roman"/>
                      <w:color w:val="000000"/>
                      <w:kern w:val="0"/>
                      <w:sz w:val="21"/>
                      <w:szCs w:val="21"/>
                      <w:lang w:val="en-US" w:eastAsia="zh-CN" w:bidi="ar-SA"/>
                    </w:rPr>
                  </w:pPr>
                  <w:r>
                    <w:rPr>
                      <w:rFonts w:hint="eastAsia" w:ascii="宋体" w:hAnsi="宋体" w:eastAsia="宋体" w:cs="宋体"/>
                      <w:color w:val="000000"/>
                      <w:kern w:val="0"/>
                      <w:sz w:val="21"/>
                      <w:szCs w:val="21"/>
                      <w:lang w:val="en-US" w:eastAsia="zh-CN" w:bidi="ar"/>
                    </w:rPr>
                    <w:t>生物质（秸秆）</w:t>
                  </w:r>
                </w:p>
              </w:tc>
              <w:tc>
                <w:tcPr>
                  <w:tcW w:w="1184"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13C2A1EE">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250.351</w:t>
                  </w:r>
                </w:p>
              </w:tc>
              <w:tc>
                <w:tcPr>
                  <w:tcW w:w="1513" w:type="pct"/>
                  <w:tcBorders>
                    <w:top w:val="single" w:color="auto" w:sz="4" w:space="0"/>
                    <w:left w:val="single" w:color="auto" w:sz="4" w:space="0"/>
                    <w:bottom w:val="single" w:color="auto" w:sz="4" w:space="0"/>
                    <w:right w:val="single" w:color="auto" w:sz="4" w:space="0"/>
                  </w:tcBorders>
                  <w:noWrap w:val="0"/>
                  <w:vAlign w:val="center"/>
                </w:tcPr>
                <w:p w14:paraId="142A628A">
                  <w:pPr>
                    <w:keepNext w:val="0"/>
                    <w:keepLines w:val="0"/>
                    <w:suppressLineNumbers w:val="0"/>
                    <w:spacing w:before="0" w:beforeAutospacing="0" w:after="0" w:afterAutospacing="0"/>
                    <w:ind w:left="0" w:right="0"/>
                    <w:jc w:val="center"/>
                    <w:rPr>
                      <w:rFonts w:hint="eastAsia"/>
                      <w:bCs/>
                      <w:color w:val="000000" w:themeColor="text1"/>
                      <w:sz w:val="21"/>
                      <w:szCs w:val="21"/>
                      <w:lang w:val="en-US" w:eastAsia="zh-CN"/>
                      <w14:textFill>
                        <w14:solidFill>
                          <w14:schemeClr w14:val="tx1"/>
                        </w14:solidFill>
                      </w14:textFill>
                    </w:rPr>
                  </w:pPr>
                  <w:r>
                    <w:rPr>
                      <w:rFonts w:hint="eastAsia"/>
                      <w:bCs/>
                      <w:color w:val="000000" w:themeColor="text1"/>
                      <w:sz w:val="21"/>
                      <w:szCs w:val="21"/>
                      <w:lang w:val="en-US" w:eastAsia="zh-CN"/>
                      <w14:textFill>
                        <w14:solidFill>
                          <w14:schemeClr w14:val="tx1"/>
                        </w14:solidFill>
                      </w14:textFill>
                    </w:rPr>
                    <w:t>原料装卸和堆存过程</w:t>
                  </w:r>
                </w:p>
              </w:tc>
              <w:tc>
                <w:tcPr>
                  <w:tcW w:w="956" w:type="pct"/>
                  <w:tcBorders>
                    <w:top w:val="single" w:color="auto" w:sz="4" w:space="0"/>
                    <w:left w:val="single" w:color="auto" w:sz="4" w:space="0"/>
                    <w:bottom w:val="single" w:color="auto" w:sz="4" w:space="0"/>
                    <w:right w:val="single" w:color="auto" w:sz="4" w:space="0"/>
                  </w:tcBorders>
                  <w:noWrap w:val="0"/>
                  <w:vAlign w:val="center"/>
                </w:tcPr>
                <w:p w14:paraId="01E0119F">
                  <w:pPr>
                    <w:keepNext w:val="0"/>
                    <w:keepLines w:val="0"/>
                    <w:suppressLineNumbers w:val="0"/>
                    <w:spacing w:before="0" w:beforeAutospacing="0" w:after="0" w:afterAutospacing="0"/>
                    <w:ind w:left="0" w:right="0"/>
                    <w:jc w:val="center"/>
                    <w:rPr>
                      <w:rFonts w:hint="default"/>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0.25</w:t>
                  </w:r>
                </w:p>
              </w:tc>
            </w:tr>
            <w:tr w14:paraId="0D63A85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346" w:type="pct"/>
                  <w:tcBorders>
                    <w:top w:val="single" w:color="auto" w:sz="4" w:space="0"/>
                    <w:left w:val="single" w:color="auto" w:sz="4" w:space="0"/>
                    <w:bottom w:val="single" w:color="auto" w:sz="4" w:space="0"/>
                    <w:right w:val="single" w:color="auto" w:sz="4" w:space="0"/>
                  </w:tcBorders>
                  <w:shd w:val="clear" w:color="auto" w:fill="FFFFFF"/>
                  <w:noWrap w:val="0"/>
                  <w:vAlign w:val="center"/>
                </w:tcPr>
                <w:p w14:paraId="54F96D6D">
                  <w:pPr>
                    <w:keepNext w:val="0"/>
                    <w:keepLines w:val="0"/>
                    <w:widowControl/>
                    <w:suppressLineNumbers w:val="0"/>
                    <w:spacing w:before="0" w:beforeAutospacing="0" w:after="0" w:afterAutospacing="0"/>
                    <w:ind w:left="0" w:leftChars="0" w:right="0" w:rightChars="0"/>
                    <w:jc w:val="center"/>
                    <w:rPr>
                      <w:rFonts w:hint="eastAsia" w:ascii="Times New Roman" w:hAnsi="Times New Roman" w:eastAsia="宋体" w:cs="Times New Roman"/>
                      <w:color w:val="000000"/>
                      <w:kern w:val="0"/>
                      <w:sz w:val="21"/>
                      <w:szCs w:val="21"/>
                      <w:lang w:val="en-US" w:eastAsia="zh-CN" w:bidi="ar-SA"/>
                    </w:rPr>
                  </w:pPr>
                  <w:r>
                    <w:rPr>
                      <w:rFonts w:hint="eastAsia" w:ascii="宋体" w:hAnsi="宋体" w:eastAsia="宋体" w:cs="宋体"/>
                      <w:color w:val="000000"/>
                      <w:kern w:val="0"/>
                      <w:sz w:val="21"/>
                      <w:szCs w:val="21"/>
                      <w:lang w:val="en-US" w:eastAsia="zh-CN" w:bidi="ar"/>
                    </w:rPr>
                    <w:t>生物质（花生壳等）</w:t>
                  </w:r>
                </w:p>
              </w:tc>
              <w:tc>
                <w:tcPr>
                  <w:tcW w:w="1184"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73C83D08">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250.351</w:t>
                  </w:r>
                </w:p>
              </w:tc>
              <w:tc>
                <w:tcPr>
                  <w:tcW w:w="1513" w:type="pct"/>
                  <w:tcBorders>
                    <w:top w:val="single" w:color="auto" w:sz="4" w:space="0"/>
                    <w:left w:val="single" w:color="auto" w:sz="4" w:space="0"/>
                    <w:bottom w:val="single" w:color="auto" w:sz="4" w:space="0"/>
                    <w:right w:val="single" w:color="auto" w:sz="4" w:space="0"/>
                  </w:tcBorders>
                  <w:noWrap w:val="0"/>
                  <w:vAlign w:val="center"/>
                </w:tcPr>
                <w:p w14:paraId="5572794B">
                  <w:pPr>
                    <w:keepNext w:val="0"/>
                    <w:keepLines w:val="0"/>
                    <w:suppressLineNumbers w:val="0"/>
                    <w:spacing w:before="0" w:beforeAutospacing="0" w:after="0" w:afterAutospacing="0"/>
                    <w:ind w:left="0" w:right="0"/>
                    <w:jc w:val="center"/>
                    <w:rPr>
                      <w:rFonts w:hint="default" w:eastAsia="宋体"/>
                      <w:bCs/>
                      <w:color w:val="000000" w:themeColor="text1"/>
                      <w:sz w:val="21"/>
                      <w:szCs w:val="21"/>
                      <w:lang w:val="en-US" w:eastAsia="zh-CN"/>
                      <w14:textFill>
                        <w14:solidFill>
                          <w14:schemeClr w14:val="tx1"/>
                        </w14:solidFill>
                      </w14:textFill>
                    </w:rPr>
                  </w:pPr>
                  <w:r>
                    <w:rPr>
                      <w:rFonts w:hint="eastAsia"/>
                      <w:bCs/>
                      <w:color w:val="000000" w:themeColor="text1"/>
                      <w:sz w:val="21"/>
                      <w:szCs w:val="21"/>
                      <w:lang w:val="en-US" w:eastAsia="zh-CN"/>
                      <w14:textFill>
                        <w14:solidFill>
                          <w14:schemeClr w14:val="tx1"/>
                        </w14:solidFill>
                      </w14:textFill>
                    </w:rPr>
                    <w:t>破碎粉尘</w:t>
                  </w:r>
                </w:p>
              </w:tc>
              <w:tc>
                <w:tcPr>
                  <w:tcW w:w="956" w:type="pct"/>
                  <w:tcBorders>
                    <w:top w:val="single" w:color="auto" w:sz="4" w:space="0"/>
                    <w:left w:val="single" w:color="auto" w:sz="4" w:space="0"/>
                    <w:bottom w:val="single" w:color="auto" w:sz="4" w:space="0"/>
                    <w:right w:val="single" w:color="auto" w:sz="4" w:space="0"/>
                  </w:tcBorders>
                  <w:noWrap w:val="0"/>
                  <w:vAlign w:val="center"/>
                </w:tcPr>
                <w:p w14:paraId="64A6BC43">
                  <w:pPr>
                    <w:keepNext w:val="0"/>
                    <w:keepLines w:val="0"/>
                    <w:widowControl/>
                    <w:suppressLineNumbers w:val="0"/>
                    <w:jc w:val="center"/>
                    <w:textAlignment w:val="center"/>
                    <w:rPr>
                      <w:rFonts w:hint="default" w:eastAsia="宋体"/>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0.335</w:t>
                  </w:r>
                </w:p>
              </w:tc>
            </w:tr>
            <w:tr w14:paraId="0D4E113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346" w:type="pct"/>
                  <w:tcBorders>
                    <w:top w:val="single" w:color="auto" w:sz="4" w:space="0"/>
                    <w:left w:val="single" w:color="auto" w:sz="4" w:space="0"/>
                    <w:bottom w:val="single" w:color="auto" w:sz="4" w:space="0"/>
                    <w:right w:val="single" w:color="auto" w:sz="4" w:space="0"/>
                  </w:tcBorders>
                  <w:shd w:val="clear" w:color="auto" w:fill="FFFFFF"/>
                  <w:noWrap w:val="0"/>
                  <w:vAlign w:val="center"/>
                </w:tcPr>
                <w:p w14:paraId="2E4ABE54">
                  <w:pPr>
                    <w:keepNext w:val="0"/>
                    <w:keepLines w:val="0"/>
                    <w:widowControl/>
                    <w:suppressLineNumbers w:val="0"/>
                    <w:spacing w:before="0" w:beforeAutospacing="0" w:after="0" w:afterAutospacing="0"/>
                    <w:ind w:left="0" w:leftChars="0" w:right="0" w:rightChars="0"/>
                    <w:jc w:val="center"/>
                    <w:rPr>
                      <w:rFonts w:hint="default" w:ascii="Times New Roman" w:hAnsi="Times New Roman" w:eastAsia="宋体" w:cs="Times New Roman"/>
                      <w:color w:val="000000"/>
                      <w:kern w:val="0"/>
                      <w:sz w:val="21"/>
                      <w:szCs w:val="21"/>
                      <w:lang w:val="en-US" w:eastAsia="zh-CN" w:bidi="ar-SA"/>
                    </w:rPr>
                  </w:pPr>
                  <w:r>
                    <w:rPr>
                      <w:rFonts w:hint="eastAsia" w:cs="Times New Roman"/>
                      <w:color w:val="000000"/>
                      <w:kern w:val="0"/>
                      <w:sz w:val="21"/>
                      <w:szCs w:val="21"/>
                      <w:lang w:val="en-US" w:eastAsia="zh-CN" w:bidi="ar-SA"/>
                    </w:rPr>
                    <w:t>/</w:t>
                  </w:r>
                </w:p>
              </w:tc>
              <w:tc>
                <w:tcPr>
                  <w:tcW w:w="1184" w:type="pct"/>
                  <w:tcBorders>
                    <w:top w:val="single" w:color="auto" w:sz="4" w:space="0"/>
                    <w:left w:val="single" w:color="auto" w:sz="4" w:space="0"/>
                    <w:bottom w:val="single" w:color="auto" w:sz="4" w:space="0"/>
                    <w:right w:val="single" w:color="auto" w:sz="4" w:space="0"/>
                  </w:tcBorders>
                  <w:noWrap w:val="0"/>
                  <w:vAlign w:val="center"/>
                </w:tcPr>
                <w:p w14:paraId="306A608F">
                  <w:pPr>
                    <w:keepNext w:val="0"/>
                    <w:keepLines w:val="0"/>
                    <w:suppressLineNumbers w:val="0"/>
                    <w:spacing w:before="0" w:beforeAutospacing="0" w:after="0" w:afterAutospacing="0"/>
                    <w:ind w:left="0" w:right="0"/>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c>
                <w:tcPr>
                  <w:tcW w:w="1513" w:type="pct"/>
                  <w:tcBorders>
                    <w:top w:val="single" w:color="auto" w:sz="4" w:space="0"/>
                    <w:left w:val="single" w:color="auto" w:sz="4" w:space="0"/>
                    <w:bottom w:val="single" w:color="auto" w:sz="4" w:space="0"/>
                    <w:right w:val="single" w:color="auto" w:sz="4" w:space="0"/>
                  </w:tcBorders>
                  <w:noWrap w:val="0"/>
                  <w:vAlign w:val="center"/>
                </w:tcPr>
                <w:p w14:paraId="7F56CB0F">
                  <w:pPr>
                    <w:keepNext w:val="0"/>
                    <w:keepLines w:val="0"/>
                    <w:suppressLineNumbers w:val="0"/>
                    <w:spacing w:before="0" w:beforeAutospacing="0" w:after="0" w:afterAutospacing="0"/>
                    <w:ind w:left="0" w:right="0"/>
                    <w:jc w:val="center"/>
                    <w:rPr>
                      <w:rFonts w:hint="default"/>
                      <w:bCs/>
                      <w:color w:val="000000" w:themeColor="text1"/>
                      <w:sz w:val="21"/>
                      <w:szCs w:val="21"/>
                      <w:lang w:val="en-US" w:eastAsia="zh-CN"/>
                      <w14:textFill>
                        <w14:solidFill>
                          <w14:schemeClr w14:val="tx1"/>
                        </w14:solidFill>
                      </w14:textFill>
                    </w:rPr>
                  </w:pPr>
                  <w:r>
                    <w:rPr>
                      <w:rFonts w:hint="eastAsia"/>
                      <w:bCs/>
                      <w:color w:val="000000" w:themeColor="text1"/>
                      <w:sz w:val="21"/>
                      <w:szCs w:val="21"/>
                      <w:lang w:val="en-US" w:eastAsia="zh-CN"/>
                      <w14:textFill>
                        <w14:solidFill>
                          <w14:schemeClr w14:val="tx1"/>
                        </w14:solidFill>
                      </w14:textFill>
                    </w:rPr>
                    <w:t>筛分粉尘</w:t>
                  </w:r>
                </w:p>
              </w:tc>
              <w:tc>
                <w:tcPr>
                  <w:tcW w:w="956" w:type="pct"/>
                  <w:tcBorders>
                    <w:top w:val="single" w:color="auto" w:sz="4" w:space="0"/>
                    <w:left w:val="single" w:color="auto" w:sz="4" w:space="0"/>
                    <w:bottom w:val="single" w:color="auto" w:sz="4" w:space="0"/>
                    <w:right w:val="single" w:color="auto" w:sz="4" w:space="0"/>
                  </w:tcBorders>
                  <w:noWrap w:val="0"/>
                  <w:vAlign w:val="center"/>
                </w:tcPr>
                <w:p w14:paraId="39D9DEB4">
                  <w:pPr>
                    <w:keepNext w:val="0"/>
                    <w:keepLines w:val="0"/>
                    <w:widowControl/>
                    <w:suppressLineNumbers w:val="0"/>
                    <w:jc w:val="center"/>
                    <w:textAlignment w:val="center"/>
                    <w:rPr>
                      <w:rFonts w:hint="default"/>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0.050</w:t>
                  </w:r>
                </w:p>
              </w:tc>
            </w:tr>
            <w:tr w14:paraId="274BEDF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346" w:type="pct"/>
                  <w:tcBorders>
                    <w:top w:val="single" w:color="auto" w:sz="4" w:space="0"/>
                    <w:left w:val="single" w:color="auto" w:sz="4" w:space="0"/>
                    <w:bottom w:val="single" w:color="auto" w:sz="4" w:space="0"/>
                    <w:right w:val="single" w:color="auto" w:sz="4" w:space="0"/>
                  </w:tcBorders>
                  <w:noWrap w:val="0"/>
                  <w:vAlign w:val="center"/>
                </w:tcPr>
                <w:p w14:paraId="1D6DEA20">
                  <w:pPr>
                    <w:keepNext w:val="0"/>
                    <w:keepLines w:val="0"/>
                    <w:suppressLineNumbers w:val="0"/>
                    <w:spacing w:before="0" w:beforeAutospacing="0" w:after="0" w:afterAutospacing="0"/>
                    <w:ind w:left="0" w:right="0"/>
                    <w:jc w:val="cente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c>
                <w:tcPr>
                  <w:tcW w:w="1184" w:type="pct"/>
                  <w:tcBorders>
                    <w:top w:val="single" w:color="auto" w:sz="4" w:space="0"/>
                    <w:left w:val="single" w:color="auto" w:sz="4" w:space="0"/>
                    <w:bottom w:val="single" w:color="auto" w:sz="4" w:space="0"/>
                    <w:right w:val="single" w:color="auto" w:sz="4" w:space="0"/>
                  </w:tcBorders>
                  <w:noWrap w:val="0"/>
                  <w:vAlign w:val="center"/>
                </w:tcPr>
                <w:p w14:paraId="493C3B44">
                  <w:pPr>
                    <w:keepNext w:val="0"/>
                    <w:keepLines w:val="0"/>
                    <w:suppressLineNumbers w:val="0"/>
                    <w:spacing w:before="0" w:beforeAutospacing="0" w:after="0" w:afterAutospacing="0"/>
                    <w:ind w:left="0" w:right="0"/>
                    <w:jc w:val="cente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c>
                <w:tcPr>
                  <w:tcW w:w="1513" w:type="pct"/>
                  <w:tcBorders>
                    <w:top w:val="single" w:color="auto" w:sz="4" w:space="0"/>
                    <w:left w:val="single" w:color="auto" w:sz="4" w:space="0"/>
                    <w:bottom w:val="single" w:color="auto" w:sz="4" w:space="0"/>
                    <w:right w:val="single" w:color="auto" w:sz="4" w:space="0"/>
                  </w:tcBorders>
                  <w:noWrap w:val="0"/>
                  <w:vAlign w:val="center"/>
                </w:tcPr>
                <w:p w14:paraId="53C4F759">
                  <w:pPr>
                    <w:keepNext w:val="0"/>
                    <w:keepLines w:val="0"/>
                    <w:suppressLineNumbers w:val="0"/>
                    <w:spacing w:before="0" w:beforeAutospacing="0" w:after="0" w:afterAutospacing="0"/>
                    <w:ind w:left="0" w:right="0"/>
                    <w:jc w:val="center"/>
                    <w:rPr>
                      <w:rFonts w:hint="default"/>
                      <w:bCs/>
                      <w:color w:val="000000" w:themeColor="text1"/>
                      <w:sz w:val="21"/>
                      <w:szCs w:val="21"/>
                      <w:lang w:val="en-US" w:eastAsia="zh-CN"/>
                      <w14:textFill>
                        <w14:solidFill>
                          <w14:schemeClr w14:val="tx1"/>
                        </w14:solidFill>
                      </w14:textFill>
                    </w:rPr>
                  </w:pPr>
                  <w:r>
                    <w:rPr>
                      <w:rFonts w:hint="eastAsia"/>
                      <w:bCs/>
                      <w:color w:val="000000" w:themeColor="text1"/>
                      <w:sz w:val="21"/>
                      <w:szCs w:val="21"/>
                      <w:lang w:val="en-US" w:eastAsia="zh-CN"/>
                      <w14:textFill>
                        <w14:solidFill>
                          <w14:schemeClr w14:val="tx1"/>
                        </w14:solidFill>
                      </w14:textFill>
                    </w:rPr>
                    <w:t>造粒粉尘</w:t>
                  </w:r>
                </w:p>
              </w:tc>
              <w:tc>
                <w:tcPr>
                  <w:tcW w:w="956" w:type="pct"/>
                  <w:tcBorders>
                    <w:top w:val="single" w:color="auto" w:sz="4" w:space="0"/>
                    <w:left w:val="single" w:color="auto" w:sz="4" w:space="0"/>
                    <w:bottom w:val="single" w:color="auto" w:sz="4" w:space="0"/>
                    <w:right w:val="single" w:color="auto" w:sz="4" w:space="0"/>
                  </w:tcBorders>
                  <w:noWrap w:val="0"/>
                  <w:vAlign w:val="center"/>
                </w:tcPr>
                <w:p w14:paraId="66100816">
                  <w:pPr>
                    <w:keepNext w:val="0"/>
                    <w:keepLines w:val="0"/>
                    <w:widowControl/>
                    <w:suppressLineNumbers w:val="0"/>
                    <w:jc w:val="center"/>
                    <w:textAlignment w:val="center"/>
                    <w:rPr>
                      <w:rFonts w:hint="default"/>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0.017</w:t>
                  </w:r>
                </w:p>
              </w:tc>
            </w:tr>
            <w:tr w14:paraId="0012F41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346" w:type="pct"/>
                  <w:tcBorders>
                    <w:top w:val="single" w:color="auto" w:sz="4" w:space="0"/>
                    <w:left w:val="single" w:color="auto" w:sz="4" w:space="0"/>
                    <w:bottom w:val="single" w:color="auto" w:sz="4" w:space="0"/>
                    <w:right w:val="single" w:color="auto" w:sz="4" w:space="0"/>
                  </w:tcBorders>
                  <w:noWrap w:val="0"/>
                  <w:vAlign w:val="center"/>
                </w:tcPr>
                <w:p w14:paraId="39E4D769">
                  <w:pPr>
                    <w:keepNext w:val="0"/>
                    <w:keepLines w:val="0"/>
                    <w:suppressLineNumbers w:val="0"/>
                    <w:spacing w:before="0" w:beforeAutospacing="0" w:after="0" w:afterAutospacing="0"/>
                    <w:ind w:left="0" w:right="0"/>
                    <w:jc w:val="cente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c>
                <w:tcPr>
                  <w:tcW w:w="1184" w:type="pct"/>
                  <w:tcBorders>
                    <w:top w:val="single" w:color="auto" w:sz="4" w:space="0"/>
                    <w:left w:val="single" w:color="auto" w:sz="4" w:space="0"/>
                    <w:bottom w:val="single" w:color="auto" w:sz="4" w:space="0"/>
                    <w:right w:val="single" w:color="auto" w:sz="4" w:space="0"/>
                  </w:tcBorders>
                  <w:noWrap w:val="0"/>
                  <w:vAlign w:val="center"/>
                </w:tcPr>
                <w:p w14:paraId="51C9F909">
                  <w:pPr>
                    <w:keepNext w:val="0"/>
                    <w:keepLines w:val="0"/>
                    <w:suppressLineNumbers w:val="0"/>
                    <w:spacing w:before="0" w:beforeAutospacing="0" w:after="0" w:afterAutospacing="0"/>
                    <w:ind w:left="0" w:right="0"/>
                    <w:jc w:val="cente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c>
                <w:tcPr>
                  <w:tcW w:w="1513" w:type="pct"/>
                  <w:tcBorders>
                    <w:top w:val="single" w:color="auto" w:sz="4" w:space="0"/>
                    <w:left w:val="single" w:color="auto" w:sz="4" w:space="0"/>
                    <w:bottom w:val="single" w:color="auto" w:sz="4" w:space="0"/>
                    <w:right w:val="single" w:color="auto" w:sz="4" w:space="0"/>
                  </w:tcBorders>
                  <w:noWrap w:val="0"/>
                  <w:vAlign w:val="center"/>
                </w:tcPr>
                <w:p w14:paraId="6D0D34F3">
                  <w:pPr>
                    <w:keepNext w:val="0"/>
                    <w:keepLines w:val="0"/>
                    <w:suppressLineNumbers w:val="0"/>
                    <w:spacing w:before="0" w:beforeAutospacing="0" w:after="0" w:afterAutospacing="0"/>
                    <w:ind w:left="0" w:right="0"/>
                    <w:jc w:val="center"/>
                    <w:rPr>
                      <w:rFonts w:hint="default"/>
                      <w:bCs/>
                      <w:color w:val="000000" w:themeColor="text1"/>
                      <w:sz w:val="21"/>
                      <w:szCs w:val="21"/>
                      <w:lang w:val="en-US" w:eastAsia="zh-CN"/>
                      <w14:textFill>
                        <w14:solidFill>
                          <w14:schemeClr w14:val="tx1"/>
                        </w14:solidFill>
                      </w14:textFill>
                    </w:rPr>
                  </w:pPr>
                  <w:r>
                    <w:rPr>
                      <w:rFonts w:hint="eastAsia"/>
                      <w:bCs/>
                      <w:color w:val="000000" w:themeColor="text1"/>
                      <w:sz w:val="21"/>
                      <w:szCs w:val="21"/>
                      <w:lang w:val="en-US" w:eastAsia="zh-CN"/>
                      <w14:textFill>
                        <w14:solidFill>
                          <w14:schemeClr w14:val="tx1"/>
                        </w14:solidFill>
                      </w14:textFill>
                    </w:rPr>
                    <w:t>包装粉尘</w:t>
                  </w:r>
                </w:p>
              </w:tc>
              <w:tc>
                <w:tcPr>
                  <w:tcW w:w="956" w:type="pct"/>
                  <w:tcBorders>
                    <w:top w:val="single" w:color="auto" w:sz="4" w:space="0"/>
                    <w:left w:val="single" w:color="auto" w:sz="4" w:space="0"/>
                    <w:bottom w:val="single" w:color="auto" w:sz="4" w:space="0"/>
                    <w:right w:val="single" w:color="auto" w:sz="4" w:space="0"/>
                  </w:tcBorders>
                  <w:noWrap w:val="0"/>
                  <w:vAlign w:val="center"/>
                </w:tcPr>
                <w:p w14:paraId="38FA9846">
                  <w:pPr>
                    <w:keepNext w:val="0"/>
                    <w:keepLines w:val="0"/>
                    <w:widowControl/>
                    <w:suppressLineNumbers w:val="0"/>
                    <w:jc w:val="center"/>
                    <w:textAlignment w:val="center"/>
                    <w:rPr>
                      <w:rFonts w:hint="default"/>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0.050</w:t>
                  </w:r>
                </w:p>
              </w:tc>
            </w:tr>
            <w:tr w14:paraId="06CB561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346" w:type="pct"/>
                  <w:tcBorders>
                    <w:top w:val="single" w:color="auto" w:sz="4" w:space="0"/>
                    <w:left w:val="single" w:color="auto" w:sz="4" w:space="0"/>
                    <w:bottom w:val="single" w:color="auto" w:sz="4" w:space="0"/>
                    <w:right w:val="single" w:color="auto" w:sz="4" w:space="0"/>
                  </w:tcBorders>
                  <w:noWrap w:val="0"/>
                  <w:vAlign w:val="center"/>
                </w:tcPr>
                <w:p w14:paraId="53012D12">
                  <w:pPr>
                    <w:keepNext w:val="0"/>
                    <w:keepLines w:val="0"/>
                    <w:suppressLineNumbers w:val="0"/>
                    <w:spacing w:before="0" w:beforeAutospacing="0" w:after="0" w:afterAutospacing="0"/>
                    <w:ind w:left="0" w:right="0"/>
                    <w:jc w:val="center"/>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c>
                <w:tcPr>
                  <w:tcW w:w="1184" w:type="pct"/>
                  <w:tcBorders>
                    <w:top w:val="single" w:color="auto" w:sz="4" w:space="0"/>
                    <w:left w:val="single" w:color="auto" w:sz="4" w:space="0"/>
                    <w:bottom w:val="single" w:color="auto" w:sz="4" w:space="0"/>
                    <w:right w:val="single" w:color="auto" w:sz="4" w:space="0"/>
                  </w:tcBorders>
                  <w:noWrap w:val="0"/>
                  <w:vAlign w:val="center"/>
                </w:tcPr>
                <w:p w14:paraId="10B7309D">
                  <w:pPr>
                    <w:keepNext w:val="0"/>
                    <w:keepLines w:val="0"/>
                    <w:suppressLineNumbers w:val="0"/>
                    <w:spacing w:before="0" w:beforeAutospacing="0" w:after="0" w:afterAutospacing="0"/>
                    <w:ind w:left="0" w:right="0"/>
                    <w:jc w:val="center"/>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c>
                <w:tcPr>
                  <w:tcW w:w="1513" w:type="pct"/>
                  <w:tcBorders>
                    <w:top w:val="single" w:color="auto" w:sz="4" w:space="0"/>
                    <w:left w:val="single" w:color="auto" w:sz="4" w:space="0"/>
                    <w:bottom w:val="single" w:color="auto" w:sz="4" w:space="0"/>
                    <w:right w:val="single" w:color="auto" w:sz="4" w:space="0"/>
                  </w:tcBorders>
                  <w:noWrap w:val="0"/>
                  <w:vAlign w:val="center"/>
                </w:tcPr>
                <w:p w14:paraId="6FBC9B3D">
                  <w:pPr>
                    <w:keepNext w:val="0"/>
                    <w:keepLines w:val="0"/>
                    <w:suppressLineNumbers w:val="0"/>
                    <w:spacing w:before="0" w:beforeAutospacing="0" w:after="0" w:afterAutospacing="0"/>
                    <w:ind w:left="0" w:right="0"/>
                    <w:jc w:val="center"/>
                    <w:rPr>
                      <w:rFonts w:hint="default"/>
                      <w:bCs/>
                      <w:color w:val="000000" w:themeColor="text1"/>
                      <w:sz w:val="21"/>
                      <w:szCs w:val="21"/>
                      <w:lang w:val="en-US" w:eastAsia="zh-CN"/>
                      <w14:textFill>
                        <w14:solidFill>
                          <w14:schemeClr w14:val="tx1"/>
                        </w14:solidFill>
                      </w14:textFill>
                    </w:rPr>
                  </w:pPr>
                  <w:r>
                    <w:rPr>
                      <w:rFonts w:hint="eastAsia"/>
                      <w:bCs/>
                      <w:color w:val="000000" w:themeColor="text1"/>
                      <w:sz w:val="21"/>
                      <w:szCs w:val="21"/>
                      <w:lang w:val="en-US" w:eastAsia="zh-CN"/>
                      <w14:textFill>
                        <w14:solidFill>
                          <w14:schemeClr w14:val="tx1"/>
                        </w14:solidFill>
                      </w14:textFill>
                    </w:rPr>
                    <w:t>产品</w:t>
                  </w:r>
                </w:p>
              </w:tc>
              <w:tc>
                <w:tcPr>
                  <w:tcW w:w="956" w:type="pct"/>
                  <w:tcBorders>
                    <w:top w:val="single" w:color="auto" w:sz="4" w:space="0"/>
                    <w:left w:val="single" w:color="auto" w:sz="4" w:space="0"/>
                    <w:bottom w:val="single" w:color="auto" w:sz="4" w:space="0"/>
                    <w:right w:val="single" w:color="auto" w:sz="4" w:space="0"/>
                  </w:tcBorders>
                  <w:noWrap w:val="0"/>
                  <w:vAlign w:val="center"/>
                </w:tcPr>
                <w:p w14:paraId="2F2BECC3">
                  <w:pPr>
                    <w:keepNext w:val="0"/>
                    <w:keepLines w:val="0"/>
                    <w:suppressLineNumbers w:val="0"/>
                    <w:spacing w:before="0" w:beforeAutospacing="0" w:after="0" w:afterAutospacing="0"/>
                    <w:ind w:left="0" w:right="0"/>
                    <w:jc w:val="center"/>
                    <w:rPr>
                      <w:rFonts w:hint="default"/>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500</w:t>
                  </w:r>
                </w:p>
              </w:tc>
            </w:tr>
            <w:tr w14:paraId="760BDA8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346" w:type="pct"/>
                  <w:tcBorders>
                    <w:top w:val="single" w:color="auto" w:sz="4" w:space="0"/>
                    <w:left w:val="single" w:color="auto" w:sz="4" w:space="0"/>
                    <w:bottom w:val="single" w:color="auto" w:sz="4" w:space="0"/>
                    <w:right w:val="single" w:color="auto" w:sz="4" w:space="0"/>
                  </w:tcBorders>
                  <w:noWrap w:val="0"/>
                  <w:vAlign w:val="center"/>
                </w:tcPr>
                <w:p w14:paraId="3F895724">
                  <w:pPr>
                    <w:keepNext w:val="0"/>
                    <w:keepLines w:val="0"/>
                    <w:suppressLineNumbers w:val="0"/>
                    <w:spacing w:before="0" w:beforeAutospacing="0" w:after="0" w:afterAutospacing="0"/>
                    <w:ind w:left="0" w:right="0"/>
                    <w:jc w:val="cente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合计</w:t>
                  </w:r>
                </w:p>
              </w:tc>
              <w:tc>
                <w:tcPr>
                  <w:tcW w:w="1184" w:type="pct"/>
                  <w:tcBorders>
                    <w:top w:val="single" w:color="auto" w:sz="4" w:space="0"/>
                    <w:left w:val="single" w:color="auto" w:sz="4" w:space="0"/>
                    <w:bottom w:val="single" w:color="auto" w:sz="4" w:space="0"/>
                    <w:right w:val="single" w:color="auto" w:sz="4" w:space="0"/>
                  </w:tcBorders>
                  <w:noWrap w:val="0"/>
                  <w:vAlign w:val="center"/>
                </w:tcPr>
                <w:p w14:paraId="4D7A41E3">
                  <w:pPr>
                    <w:keepNext w:val="0"/>
                    <w:keepLines w:val="0"/>
                    <w:suppressLineNumbers w:val="0"/>
                    <w:spacing w:before="0" w:beforeAutospacing="0" w:after="0" w:afterAutospacing="0"/>
                    <w:ind w:left="0" w:right="0"/>
                    <w:jc w:val="center"/>
                    <w:rPr>
                      <w:rFonts w:hint="default"/>
                      <w:color w:val="000000" w:themeColor="text1"/>
                      <w:sz w:val="21"/>
                      <w:szCs w:val="21"/>
                      <w:highlight w:val="none"/>
                      <w:lang w:val="en-US"/>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500.702</w:t>
                  </w:r>
                </w:p>
              </w:tc>
              <w:tc>
                <w:tcPr>
                  <w:tcW w:w="1513" w:type="pct"/>
                  <w:tcBorders>
                    <w:top w:val="single" w:color="auto" w:sz="4" w:space="0"/>
                    <w:left w:val="single" w:color="auto" w:sz="4" w:space="0"/>
                    <w:bottom w:val="single" w:color="auto" w:sz="4" w:space="0"/>
                    <w:right w:val="single" w:color="auto" w:sz="4" w:space="0"/>
                  </w:tcBorders>
                  <w:noWrap w:val="0"/>
                  <w:vAlign w:val="center"/>
                </w:tcPr>
                <w:p w14:paraId="3911D915">
                  <w:pPr>
                    <w:keepNext w:val="0"/>
                    <w:keepLines w:val="0"/>
                    <w:suppressLineNumbers w:val="0"/>
                    <w:spacing w:before="0" w:beforeAutospacing="0" w:after="0" w:afterAutospacing="0"/>
                    <w:ind w:left="0" w:right="0"/>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合计</w:t>
                  </w:r>
                </w:p>
              </w:tc>
              <w:tc>
                <w:tcPr>
                  <w:tcW w:w="956" w:type="pct"/>
                  <w:tcBorders>
                    <w:top w:val="single" w:color="auto" w:sz="4" w:space="0"/>
                    <w:left w:val="single" w:color="auto" w:sz="4" w:space="0"/>
                    <w:bottom w:val="single" w:color="auto" w:sz="4" w:space="0"/>
                    <w:right w:val="single" w:color="auto" w:sz="4" w:space="0"/>
                  </w:tcBorders>
                  <w:noWrap w:val="0"/>
                  <w:vAlign w:val="center"/>
                </w:tcPr>
                <w:p w14:paraId="2CF267E3">
                  <w:pPr>
                    <w:keepNext w:val="0"/>
                    <w:keepLines w:val="0"/>
                    <w:suppressLineNumbers w:val="0"/>
                    <w:spacing w:before="0" w:beforeAutospacing="0" w:after="0" w:afterAutospacing="0"/>
                    <w:ind w:left="0" w:right="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500.702</w:t>
                  </w:r>
                </w:p>
              </w:tc>
            </w:tr>
          </w:tbl>
          <w:p w14:paraId="5CFA8879">
            <w:pPr>
              <w:keepNext w:val="0"/>
              <w:keepLines w:val="0"/>
              <w:numPr>
                <w:ilvl w:val="0"/>
                <w:numId w:val="0"/>
              </w:numPr>
              <w:suppressLineNumbers w:val="0"/>
              <w:adjustRightInd w:val="0"/>
              <w:snapToGrid w:val="0"/>
              <w:spacing w:before="0" w:beforeAutospacing="0" w:after="0" w:afterAutospacing="0" w:line="360" w:lineRule="auto"/>
              <w:ind w:left="0" w:leftChars="0" w:right="0" w:rightChars="0" w:firstLine="482" w:firstLineChars="200"/>
              <w:jc w:val="left"/>
              <w:rPr>
                <w:rFonts w:hint="eastAsia" w:cs="Times New Roman"/>
                <w:b/>
                <w:bCs/>
                <w:color w:val="000000" w:themeColor="text1"/>
                <w:sz w:val="24"/>
                <w:szCs w:val="24"/>
                <w:highlight w:val="none"/>
                <w:u w:val="none" w:color="auto"/>
                <w:lang w:val="en-US" w:eastAsia="zh-CN"/>
                <w14:textFill>
                  <w14:solidFill>
                    <w14:schemeClr w14:val="tx1"/>
                  </w14:solidFill>
                </w14:textFill>
              </w:rPr>
            </w:pPr>
            <w:r>
              <w:rPr>
                <w:rFonts w:hint="eastAsia" w:ascii="Times New Roman" w:hAnsi="Times New Roman" w:eastAsia="宋体" w:cs="Times New Roman"/>
                <w:b/>
                <w:bCs/>
                <w:color w:val="000000" w:themeColor="text1"/>
                <w:kern w:val="2"/>
                <w:sz w:val="24"/>
                <w:szCs w:val="24"/>
                <w:u w:val="none" w:color="auto"/>
                <w:lang w:val="en-US" w:eastAsia="zh-CN" w:bidi="ar-SA"/>
                <w14:textFill>
                  <w14:solidFill>
                    <w14:schemeClr w14:val="tx1"/>
                  </w14:solidFill>
                </w14:textFill>
              </w:rPr>
              <w:t>8、</w:t>
            </w:r>
            <w:r>
              <w:rPr>
                <w:rFonts w:hint="eastAsia" w:cs="Times New Roman"/>
                <w:b/>
                <w:bCs/>
                <w:color w:val="000000" w:themeColor="text1"/>
                <w:sz w:val="24"/>
                <w:szCs w:val="24"/>
                <w:highlight w:val="none"/>
                <w:u w:val="none" w:color="auto"/>
                <w:lang w:val="en-US" w:eastAsia="zh-CN"/>
                <w14:textFill>
                  <w14:solidFill>
                    <w14:schemeClr w14:val="tx1"/>
                  </w14:solidFill>
                </w14:textFill>
              </w:rPr>
              <w:t>木煤气平衡、热量平衡</w:t>
            </w:r>
          </w:p>
          <w:p w14:paraId="0E3219D4">
            <w:pPr>
              <w:keepNext w:val="0"/>
              <w:keepLines w:val="0"/>
              <w:numPr>
                <w:ilvl w:val="0"/>
                <w:numId w:val="0"/>
              </w:numPr>
              <w:suppressLineNumbers w:val="0"/>
              <w:adjustRightInd w:val="0"/>
              <w:snapToGrid w:val="0"/>
              <w:spacing w:before="0" w:beforeAutospacing="0" w:after="0" w:afterAutospacing="0" w:line="360" w:lineRule="auto"/>
              <w:ind w:left="0" w:leftChars="0" w:right="0" w:rightChars="0" w:firstLine="480" w:firstLineChars="200"/>
              <w:jc w:val="left"/>
              <w:rPr>
                <w:rFonts w:hint="eastAsia"/>
                <w:color w:val="000000" w:themeColor="text1"/>
                <w:sz w:val="24"/>
                <w:szCs w:val="24"/>
                <w:u w:val="none" w:color="auto"/>
                <w:lang w:val="en-US" w:eastAsia="zh-CN"/>
                <w14:textFill>
                  <w14:solidFill>
                    <w14:schemeClr w14:val="tx1"/>
                  </w14:solidFill>
                </w14:textFill>
              </w:rPr>
            </w:pPr>
            <w:r>
              <w:rPr>
                <w:rFonts w:hint="eastAsia"/>
                <w:color w:val="000000" w:themeColor="text1"/>
                <w:sz w:val="24"/>
                <w:szCs w:val="24"/>
                <w:u w:val="none" w:color="auto"/>
                <w:lang w:eastAsia="zh-CN"/>
                <w14:textFill>
                  <w14:solidFill>
                    <w14:schemeClr w14:val="tx1"/>
                  </w14:solidFill>
                </w14:textFill>
              </w:rPr>
              <w:t>（</w:t>
            </w:r>
            <w:r>
              <w:rPr>
                <w:rFonts w:hint="eastAsia"/>
                <w:color w:val="000000" w:themeColor="text1"/>
                <w:sz w:val="24"/>
                <w:szCs w:val="24"/>
                <w:u w:val="none" w:color="auto"/>
                <w:lang w:val="en-US" w:eastAsia="zh-CN"/>
                <w14:textFill>
                  <w14:solidFill>
                    <w14:schemeClr w14:val="tx1"/>
                  </w14:solidFill>
                </w14:textFill>
              </w:rPr>
              <w:t>1</w:t>
            </w:r>
            <w:r>
              <w:rPr>
                <w:rFonts w:hint="eastAsia"/>
                <w:color w:val="000000" w:themeColor="text1"/>
                <w:sz w:val="24"/>
                <w:szCs w:val="24"/>
                <w:u w:val="none" w:color="auto"/>
                <w:lang w:eastAsia="zh-CN"/>
                <w14:textFill>
                  <w14:solidFill>
                    <w14:schemeClr w14:val="tx1"/>
                  </w14:solidFill>
                </w14:textFill>
              </w:rPr>
              <w:t>）</w:t>
            </w:r>
            <w:r>
              <w:rPr>
                <w:rFonts w:hint="eastAsia"/>
                <w:color w:val="000000" w:themeColor="text1"/>
                <w:sz w:val="24"/>
                <w:szCs w:val="24"/>
                <w:u w:val="none" w:color="auto"/>
                <w:lang w:val="en-US" w:eastAsia="zh-CN"/>
                <w14:textFill>
                  <w14:solidFill>
                    <w14:schemeClr w14:val="tx1"/>
                  </w14:solidFill>
                </w14:textFill>
              </w:rPr>
              <w:t>木煤气平衡</w:t>
            </w:r>
          </w:p>
          <w:p w14:paraId="5A7C857F">
            <w:pPr>
              <w:keepNext w:val="0"/>
              <w:keepLines w:val="0"/>
              <w:numPr>
                <w:ilvl w:val="0"/>
                <w:numId w:val="0"/>
              </w:numPr>
              <w:suppressLineNumbers w:val="0"/>
              <w:adjustRightInd w:val="0"/>
              <w:snapToGrid w:val="0"/>
              <w:spacing w:before="0" w:beforeAutospacing="0" w:after="0" w:afterAutospacing="0" w:line="360" w:lineRule="auto"/>
              <w:ind w:left="0" w:leftChars="0" w:right="0" w:rightChars="0" w:firstLine="480" w:firstLineChars="200"/>
              <w:jc w:val="left"/>
              <w:rPr>
                <w:rFonts w:hint="eastAsia"/>
                <w:color w:val="000000" w:themeColor="text1"/>
                <w:sz w:val="24"/>
                <w:szCs w:val="24"/>
                <w:highlight w:val="none"/>
                <w:u w:val="none" w:color="auto"/>
                <w14:textFill>
                  <w14:solidFill>
                    <w14:schemeClr w14:val="tx1"/>
                  </w14:solidFill>
                </w14:textFill>
              </w:rPr>
            </w:pPr>
            <w:r>
              <w:rPr>
                <w:rFonts w:hint="eastAsia"/>
                <w:color w:val="000000" w:themeColor="text1"/>
                <w:sz w:val="24"/>
                <w:szCs w:val="24"/>
                <w:u w:val="none" w:color="auto"/>
                <w14:textFill>
                  <w14:solidFill>
                    <w14:schemeClr w14:val="tx1"/>
                  </w14:solidFill>
                </w14:textFill>
              </w:rPr>
              <w:t>炭化过程产生</w:t>
            </w:r>
            <w:r>
              <w:rPr>
                <w:rFonts w:hint="eastAsia" w:hAnsi="宋体"/>
                <w:color w:val="000000" w:themeColor="text1"/>
                <w:sz w:val="24"/>
                <w:szCs w:val="24"/>
                <w:u w:val="none" w:color="auto"/>
                <w14:textFill>
                  <w14:solidFill>
                    <w14:schemeClr w14:val="tx1"/>
                  </w14:solidFill>
                </w14:textFill>
              </w:rPr>
              <w:t>的尾气</w:t>
            </w:r>
            <w:r>
              <w:rPr>
                <w:rFonts w:hint="eastAsia"/>
                <w:color w:val="000000" w:themeColor="text1"/>
                <w:sz w:val="24"/>
                <w:szCs w:val="24"/>
                <w:u w:val="none" w:color="auto"/>
                <w14:textFill>
                  <w14:solidFill>
                    <w14:schemeClr w14:val="tx1"/>
                  </w14:solidFill>
                </w14:textFill>
              </w:rPr>
              <w:t>经</w:t>
            </w:r>
            <w:r>
              <w:rPr>
                <w:rFonts w:hint="eastAsia"/>
                <w:color w:val="000000" w:themeColor="text1"/>
                <w:sz w:val="24"/>
                <w:szCs w:val="24"/>
                <w:u w:val="none" w:color="auto"/>
                <w:lang w:val="en-US" w:eastAsia="zh-CN"/>
                <w14:textFill>
                  <w14:solidFill>
                    <w14:schemeClr w14:val="tx1"/>
                  </w14:solidFill>
                </w14:textFill>
              </w:rPr>
              <w:t>冷凝回收木醋液和木焦油</w:t>
            </w:r>
            <w:r>
              <w:rPr>
                <w:rFonts w:hint="eastAsia"/>
                <w:color w:val="000000" w:themeColor="text1"/>
                <w:sz w:val="24"/>
                <w:szCs w:val="24"/>
                <w:u w:val="none" w:color="auto"/>
                <w14:textFill>
                  <w14:solidFill>
                    <w14:schemeClr w14:val="tx1"/>
                  </w14:solidFill>
                </w14:textFill>
              </w:rPr>
              <w:t>后</w:t>
            </w:r>
            <w:r>
              <w:rPr>
                <w:rFonts w:hint="eastAsia"/>
                <w:color w:val="000000" w:themeColor="text1"/>
                <w:sz w:val="24"/>
                <w:szCs w:val="24"/>
                <w:u w:val="none" w:color="auto"/>
                <w:lang w:val="en-US" w:eastAsia="zh-CN"/>
                <w14:textFill>
                  <w14:solidFill>
                    <w14:schemeClr w14:val="tx1"/>
                  </w14:solidFill>
                </w14:textFill>
              </w:rPr>
              <w:t>产生的木煤气由储存柜储存</w:t>
            </w:r>
            <w:r>
              <w:rPr>
                <w:rFonts w:hint="eastAsia"/>
                <w:color w:val="000000" w:themeColor="text1"/>
                <w:sz w:val="24"/>
                <w:szCs w:val="24"/>
                <w:u w:val="none" w:color="auto"/>
                <w14:textFill>
                  <w14:solidFill>
                    <w14:schemeClr w14:val="tx1"/>
                  </w14:solidFill>
                </w14:textFill>
              </w:rPr>
              <w:t>，</w:t>
            </w:r>
            <w:r>
              <w:rPr>
                <w:rFonts w:hint="eastAsia"/>
                <w:color w:val="000000" w:themeColor="text1"/>
                <w:sz w:val="24"/>
                <w:szCs w:val="24"/>
                <w:u w:val="none" w:color="auto"/>
                <w:lang w:val="en-US" w:eastAsia="zh-CN"/>
                <w14:textFill>
                  <w14:solidFill>
                    <w14:schemeClr w14:val="tx1"/>
                  </w14:solidFill>
                </w14:textFill>
              </w:rPr>
              <w:t>当炭化炉点火和初始阶段</w:t>
            </w:r>
            <w:r>
              <w:rPr>
                <w:rFonts w:hint="eastAsia"/>
                <w:color w:val="000000" w:themeColor="text1"/>
                <w:sz w:val="24"/>
                <w:szCs w:val="24"/>
                <w:highlight w:val="none"/>
                <w:u w:val="none" w:color="auto"/>
                <w14:textFill>
                  <w14:solidFill>
                    <w14:schemeClr w14:val="tx1"/>
                  </w14:solidFill>
                </w14:textFill>
              </w:rPr>
              <w:t>无木煤气产生时，</w:t>
            </w:r>
            <w:r>
              <w:rPr>
                <w:rFonts w:hint="eastAsia"/>
                <w:color w:val="000000" w:themeColor="text1"/>
                <w:sz w:val="24"/>
                <w:szCs w:val="24"/>
                <w:highlight w:val="none"/>
                <w:u w:val="none" w:color="auto"/>
                <w:lang w:val="en-US" w:eastAsia="zh-CN"/>
                <w14:textFill>
                  <w14:solidFill>
                    <w14:schemeClr w14:val="tx1"/>
                  </w14:solidFill>
                </w14:textFill>
              </w:rPr>
              <w:t>炭化炉和热风炉采用储存柜收集的木煤气为热源；当生产线刚开工储存柜无木煤气储存时，炭化炉采用生物质为热源，热风炉采用</w:t>
            </w:r>
            <w:r>
              <w:rPr>
                <w:rFonts w:hint="eastAsia"/>
                <w:bCs/>
                <w:color w:val="000000" w:themeColor="text1"/>
                <w:sz w:val="24"/>
                <w:szCs w:val="24"/>
                <w:u w:val="none"/>
                <w:lang w:val="en-US" w:eastAsia="zh-CN"/>
                <w14:textFill>
                  <w14:solidFill>
                    <w14:schemeClr w14:val="tx1"/>
                  </w14:solidFill>
                </w14:textFill>
              </w:rPr>
              <w:t>电源</w:t>
            </w:r>
            <w:r>
              <w:rPr>
                <w:rFonts w:hint="eastAsia"/>
                <w:color w:val="000000" w:themeColor="text1"/>
                <w:sz w:val="24"/>
                <w:szCs w:val="24"/>
                <w:highlight w:val="none"/>
                <w:u w:val="none" w:color="auto"/>
                <w14:textFill>
                  <w14:solidFill>
                    <w14:schemeClr w14:val="tx1"/>
                  </w14:solidFill>
                </w14:textFill>
              </w:rPr>
              <w:t>作为热源。</w:t>
            </w:r>
          </w:p>
          <w:p w14:paraId="05AA9397">
            <w:pPr>
              <w:keepNext w:val="0"/>
              <w:keepLines w:val="0"/>
              <w:numPr>
                <w:ilvl w:val="0"/>
                <w:numId w:val="0"/>
              </w:numPr>
              <w:suppressLineNumbers w:val="0"/>
              <w:adjustRightInd w:val="0"/>
              <w:snapToGrid w:val="0"/>
              <w:spacing w:before="0" w:beforeAutospacing="0" w:after="0" w:afterAutospacing="0" w:line="360" w:lineRule="auto"/>
              <w:ind w:left="0" w:leftChars="0" w:right="0" w:rightChars="0" w:firstLine="480" w:firstLineChars="200"/>
              <w:jc w:val="both"/>
              <w:rPr>
                <w:rFonts w:hint="eastAsia"/>
                <w:color w:val="000000" w:themeColor="text1"/>
                <w:sz w:val="24"/>
                <w:szCs w:val="24"/>
                <w:highlight w:val="none"/>
                <w:u w:val="none" w:color="auto"/>
                <w14:textFill>
                  <w14:solidFill>
                    <w14:schemeClr w14:val="tx1"/>
                  </w14:solidFill>
                </w14:textFill>
              </w:rPr>
            </w:pPr>
            <w:r>
              <w:rPr>
                <w:rFonts w:hint="eastAsia" w:hAnsi="宋体"/>
                <w:color w:val="000000" w:themeColor="text1"/>
                <w:sz w:val="24"/>
                <w:szCs w:val="24"/>
                <w:highlight w:val="none"/>
                <w:u w:val="none" w:color="auto"/>
                <w14:textFill>
                  <w14:solidFill>
                    <w14:schemeClr w14:val="tx1"/>
                  </w14:solidFill>
                </w14:textFill>
              </w:rPr>
              <w:t>炭化过程产生的气体产物含有</w:t>
            </w:r>
            <w:r>
              <w:rPr>
                <w:rFonts w:hint="default" w:hAnsi="宋体"/>
                <w:color w:val="000000" w:themeColor="text1"/>
                <w:sz w:val="24"/>
                <w:szCs w:val="24"/>
                <w:highlight w:val="none"/>
                <w:u w:val="none" w:color="auto"/>
                <w14:textFill>
                  <w14:solidFill>
                    <w14:schemeClr w14:val="tx1"/>
                  </w14:solidFill>
                </w14:textFill>
              </w:rPr>
              <w:t>CO</w:t>
            </w:r>
            <w:r>
              <w:rPr>
                <w:rFonts w:hint="default" w:hAnsi="宋体"/>
                <w:color w:val="000000" w:themeColor="text1"/>
                <w:sz w:val="24"/>
                <w:szCs w:val="24"/>
                <w:highlight w:val="none"/>
                <w:u w:val="none" w:color="auto"/>
                <w:vertAlign w:val="subscript"/>
                <w14:textFill>
                  <w14:solidFill>
                    <w14:schemeClr w14:val="tx1"/>
                  </w14:solidFill>
                </w14:textFill>
              </w:rPr>
              <w:t>2</w:t>
            </w:r>
            <w:r>
              <w:rPr>
                <w:rFonts w:hint="eastAsia" w:hAnsi="宋体"/>
                <w:color w:val="000000" w:themeColor="text1"/>
                <w:sz w:val="24"/>
                <w:szCs w:val="24"/>
                <w:highlight w:val="none"/>
                <w:u w:val="none" w:color="auto"/>
                <w14:textFill>
                  <w14:solidFill>
                    <w14:schemeClr w14:val="tx1"/>
                  </w14:solidFill>
                </w14:textFill>
              </w:rPr>
              <w:t>、</w:t>
            </w:r>
            <w:r>
              <w:rPr>
                <w:rFonts w:hint="default" w:hAnsi="宋体"/>
                <w:color w:val="000000" w:themeColor="text1"/>
                <w:sz w:val="24"/>
                <w:szCs w:val="24"/>
                <w:highlight w:val="none"/>
                <w:u w:val="none" w:color="auto"/>
                <w14:textFill>
                  <w14:solidFill>
                    <w14:schemeClr w14:val="tx1"/>
                  </w14:solidFill>
                </w14:textFill>
              </w:rPr>
              <w:t>CO</w:t>
            </w:r>
            <w:r>
              <w:rPr>
                <w:rFonts w:hint="eastAsia" w:hAnsi="宋体"/>
                <w:color w:val="000000" w:themeColor="text1"/>
                <w:sz w:val="24"/>
                <w:szCs w:val="24"/>
                <w:highlight w:val="none"/>
                <w:u w:val="none" w:color="auto"/>
                <w14:textFill>
                  <w14:solidFill>
                    <w14:schemeClr w14:val="tx1"/>
                  </w14:solidFill>
                </w14:textFill>
              </w:rPr>
              <w:t>、甲烷等物质的不能冷凝的气体，</w:t>
            </w:r>
            <w:r>
              <w:rPr>
                <w:rFonts w:hint="eastAsia" w:ascii="宋体" w:hAnsi="宋体" w:eastAsia="宋体" w:cs="宋体"/>
                <w:color w:val="000000" w:themeColor="text1"/>
                <w:kern w:val="0"/>
                <w:sz w:val="24"/>
                <w:szCs w:val="24"/>
                <w:u w:val="none" w:color="auto"/>
                <w:lang w:val="en-US" w:eastAsia="zh-CN" w:bidi="ar"/>
                <w14:textFill>
                  <w14:solidFill>
                    <w14:schemeClr w14:val="tx1"/>
                  </w14:solidFill>
                </w14:textFill>
              </w:rPr>
              <w:t>根据《生物质热解气化原理与技术》（孙立、张晓东著）煤气成分、热值与炭化温度有关，热值范围为</w:t>
            </w:r>
            <w:r>
              <w:rPr>
                <w:rFonts w:hint="default" w:ascii="Times New Roman" w:hAnsi="Times New Roman" w:eastAsia="宋体" w:cs="Times New Roman"/>
                <w:color w:val="000000" w:themeColor="text1"/>
                <w:kern w:val="0"/>
                <w:sz w:val="24"/>
                <w:szCs w:val="24"/>
                <w:u w:val="none" w:color="auto"/>
                <w:lang w:val="en-US" w:eastAsia="zh-CN" w:bidi="ar"/>
                <w14:textFill>
                  <w14:solidFill>
                    <w14:schemeClr w14:val="tx1"/>
                  </w14:solidFill>
                </w14:textFill>
              </w:rPr>
              <w:t>3~16MJ/m</w:t>
            </w:r>
            <w:r>
              <w:rPr>
                <w:rFonts w:hint="eastAsia" w:ascii="Times New Roman" w:hAnsi="Times New Roman" w:eastAsia="宋体" w:cs="Times New Roman"/>
                <w:color w:val="000000" w:themeColor="text1"/>
                <w:kern w:val="0"/>
                <w:sz w:val="24"/>
                <w:szCs w:val="24"/>
                <w:u w:val="none" w:color="auto"/>
                <w:vertAlign w:val="superscript"/>
                <w:lang w:val="en-US" w:eastAsia="zh-CN" w:bidi="ar"/>
                <w14:textFill>
                  <w14:solidFill>
                    <w14:schemeClr w14:val="tx1"/>
                  </w14:solidFill>
                </w14:textFill>
              </w:rPr>
              <w:t>3</w:t>
            </w:r>
            <w:r>
              <w:rPr>
                <w:rFonts w:hint="eastAsia" w:ascii="宋体" w:hAnsi="宋体" w:eastAsia="宋体" w:cs="宋体"/>
                <w:color w:val="000000" w:themeColor="text1"/>
                <w:kern w:val="0"/>
                <w:sz w:val="24"/>
                <w:szCs w:val="24"/>
                <w:u w:val="none" w:color="auto"/>
                <w:lang w:val="en-US" w:eastAsia="zh-CN" w:bidi="ar"/>
                <w14:textFill>
                  <w14:solidFill>
                    <w14:schemeClr w14:val="tx1"/>
                  </w14:solidFill>
                </w14:textFill>
              </w:rPr>
              <w:t>，本评价取均热值</w:t>
            </w:r>
            <w:r>
              <w:rPr>
                <w:rFonts w:hint="default" w:hAnsi="宋体"/>
                <w:color w:val="000000" w:themeColor="text1"/>
                <w:sz w:val="24"/>
                <w:szCs w:val="24"/>
                <w:highlight w:val="none"/>
                <w:u w:val="none" w:color="auto"/>
                <w14:textFill>
                  <w14:solidFill>
                    <w14:schemeClr w14:val="tx1"/>
                  </w14:solidFill>
                </w14:textFill>
              </w:rPr>
              <w:t>1</w:t>
            </w:r>
            <w:r>
              <w:rPr>
                <w:rFonts w:hint="eastAsia" w:hAnsi="宋体"/>
                <w:color w:val="000000" w:themeColor="text1"/>
                <w:sz w:val="24"/>
                <w:szCs w:val="24"/>
                <w:highlight w:val="none"/>
                <w:u w:val="none" w:color="auto"/>
                <w:lang w:val="en-US" w:eastAsia="zh-CN"/>
                <w14:textFill>
                  <w14:solidFill>
                    <w14:schemeClr w14:val="tx1"/>
                  </w14:solidFill>
                </w14:textFill>
              </w:rPr>
              <w:t>0</w:t>
            </w:r>
            <w:r>
              <w:rPr>
                <w:rFonts w:hint="default" w:hAnsi="宋体"/>
                <w:color w:val="000000" w:themeColor="text1"/>
                <w:sz w:val="24"/>
                <w:szCs w:val="24"/>
                <w:highlight w:val="none"/>
                <w:u w:val="none" w:color="auto"/>
                <w14:textFill>
                  <w14:solidFill>
                    <w14:schemeClr w14:val="tx1"/>
                  </w14:solidFill>
                </w14:textFill>
              </w:rPr>
              <w:t>MJ/m</w:t>
            </w:r>
            <w:r>
              <w:rPr>
                <w:rFonts w:hint="default" w:hAnsi="宋体"/>
                <w:color w:val="000000" w:themeColor="text1"/>
                <w:sz w:val="24"/>
                <w:szCs w:val="24"/>
                <w:highlight w:val="none"/>
                <w:u w:val="none" w:color="auto"/>
                <w:vertAlign w:val="superscript"/>
                <w14:textFill>
                  <w14:solidFill>
                    <w14:schemeClr w14:val="tx1"/>
                  </w14:solidFill>
                </w14:textFill>
              </w:rPr>
              <w:t>3</w:t>
            </w:r>
            <w:r>
              <w:rPr>
                <w:rFonts w:hint="eastAsia" w:hAnsi="宋体"/>
                <w:color w:val="000000" w:themeColor="text1"/>
                <w:sz w:val="24"/>
                <w:szCs w:val="24"/>
                <w:highlight w:val="none"/>
                <w:u w:val="none" w:color="auto"/>
                <w14:textFill>
                  <w14:solidFill>
                    <w14:schemeClr w14:val="tx1"/>
                  </w14:solidFill>
                </w14:textFill>
              </w:rPr>
              <w:t>，属于中热值可燃气，其成分、热值都与城市人工煤气相似，故称为木煤气，是一种可燃气体</w:t>
            </w:r>
            <w:r>
              <w:rPr>
                <w:rFonts w:hint="eastAsia"/>
                <w:color w:val="000000" w:themeColor="text1"/>
                <w:sz w:val="24"/>
                <w:szCs w:val="24"/>
                <w:highlight w:val="none"/>
                <w:u w:val="none" w:color="auto"/>
                <w14:textFill>
                  <w14:solidFill>
                    <w14:schemeClr w14:val="tx1"/>
                  </w14:solidFill>
                </w14:textFill>
              </w:rPr>
              <w:t>，</w:t>
            </w:r>
            <w:r>
              <w:rPr>
                <w:rFonts w:hint="eastAsia"/>
                <w:color w:val="000000" w:themeColor="text1"/>
                <w:sz w:val="24"/>
                <w:szCs w:val="24"/>
                <w:highlight w:val="none"/>
                <w:u w:val="none" w:color="auto"/>
                <w:lang w:val="en-US" w:eastAsia="zh-CN"/>
                <w14:textFill>
                  <w14:solidFill>
                    <w14:schemeClr w14:val="tx1"/>
                  </w14:solidFill>
                </w14:textFill>
              </w:rPr>
              <w:t>根据炭化过程物料衡算，</w:t>
            </w:r>
            <w:r>
              <w:rPr>
                <w:rFonts w:hint="eastAsia"/>
                <w:color w:val="000000" w:themeColor="text1"/>
                <w:sz w:val="24"/>
                <w:szCs w:val="24"/>
                <w:highlight w:val="none"/>
                <w:u w:val="none" w:color="auto"/>
                <w14:textFill>
                  <w14:solidFill>
                    <w14:schemeClr w14:val="tx1"/>
                  </w14:solidFill>
                </w14:textFill>
              </w:rPr>
              <w:t>炭化过程中木煤气产生量为</w:t>
            </w:r>
            <w:r>
              <w:rPr>
                <w:rFonts w:hint="eastAsia"/>
                <w:color w:val="000000" w:themeColor="text1"/>
                <w:sz w:val="24"/>
                <w:szCs w:val="24"/>
                <w:highlight w:val="none"/>
                <w:u w:val="none" w:color="auto"/>
                <w:lang w:val="en-US" w:eastAsia="zh-CN"/>
                <w14:textFill>
                  <w14:solidFill>
                    <w14:schemeClr w14:val="tx1"/>
                  </w14:solidFill>
                </w14:textFill>
              </w:rPr>
              <w:t>1437.72</w:t>
            </w:r>
            <w:r>
              <w:rPr>
                <w:rFonts w:hint="eastAsia"/>
                <w:color w:val="000000" w:themeColor="text1"/>
                <w:sz w:val="24"/>
                <w:szCs w:val="24"/>
                <w:highlight w:val="none"/>
                <w:u w:val="none" w:color="auto"/>
                <w14:textFill>
                  <w14:solidFill>
                    <w14:schemeClr w14:val="tx1"/>
                  </w14:solidFill>
                </w14:textFill>
              </w:rPr>
              <w:t>t/a，气体密度按0.5kg/Nm</w:t>
            </w:r>
            <w:r>
              <w:rPr>
                <w:rFonts w:hint="eastAsia"/>
                <w:color w:val="000000" w:themeColor="text1"/>
                <w:sz w:val="24"/>
                <w:szCs w:val="24"/>
                <w:highlight w:val="none"/>
                <w:u w:val="none" w:color="auto"/>
                <w:vertAlign w:val="superscript"/>
                <w14:textFill>
                  <w14:solidFill>
                    <w14:schemeClr w14:val="tx1"/>
                  </w14:solidFill>
                </w14:textFill>
              </w:rPr>
              <w:t>3</w:t>
            </w:r>
            <w:r>
              <w:rPr>
                <w:rFonts w:hint="eastAsia"/>
                <w:color w:val="000000" w:themeColor="text1"/>
                <w:sz w:val="24"/>
                <w:szCs w:val="24"/>
                <w:highlight w:val="none"/>
                <w:u w:val="none" w:color="auto"/>
                <w14:textFill>
                  <w14:solidFill>
                    <w14:schemeClr w14:val="tx1"/>
                  </w14:solidFill>
                </w14:textFill>
              </w:rPr>
              <w:t>计，则</w:t>
            </w:r>
            <w:r>
              <w:rPr>
                <w:rFonts w:hint="eastAsia" w:hAnsi="宋体"/>
                <w:color w:val="000000" w:themeColor="text1"/>
                <w:sz w:val="24"/>
                <w:szCs w:val="24"/>
                <w:highlight w:val="none"/>
                <w:u w:val="none" w:color="auto"/>
                <w14:textFill>
                  <w14:solidFill>
                    <w14:schemeClr w14:val="tx1"/>
                  </w14:solidFill>
                </w14:textFill>
              </w:rPr>
              <w:t>木煤气年产生量约为</w:t>
            </w:r>
            <w:r>
              <w:rPr>
                <w:rFonts w:hint="eastAsia" w:hAnsi="宋体"/>
                <w:color w:val="000000" w:themeColor="text1"/>
                <w:sz w:val="24"/>
                <w:szCs w:val="24"/>
                <w:highlight w:val="none"/>
                <w:u w:val="none" w:color="auto"/>
                <w:lang w:val="en-US" w:eastAsia="zh-CN"/>
                <w14:textFill>
                  <w14:solidFill>
                    <w14:schemeClr w14:val="tx1"/>
                  </w14:solidFill>
                </w14:textFill>
              </w:rPr>
              <w:t>2.88</w:t>
            </w:r>
            <w:r>
              <w:rPr>
                <w:rFonts w:hint="eastAsia" w:hAnsi="宋体"/>
                <w:color w:val="000000" w:themeColor="text1"/>
                <w:sz w:val="24"/>
                <w:szCs w:val="24"/>
                <w:highlight w:val="none"/>
                <w:u w:val="none" w:color="auto"/>
                <w14:textFill>
                  <w14:solidFill>
                    <w14:schemeClr w14:val="tx1"/>
                  </w14:solidFill>
                </w14:textFill>
              </w:rPr>
              <w:t>×</w:t>
            </w:r>
            <w:r>
              <w:rPr>
                <w:rFonts w:hint="default" w:hAnsi="宋体"/>
                <w:color w:val="000000" w:themeColor="text1"/>
                <w:sz w:val="24"/>
                <w:szCs w:val="24"/>
                <w:highlight w:val="none"/>
                <w:u w:val="none" w:color="auto"/>
                <w14:textFill>
                  <w14:solidFill>
                    <w14:schemeClr w14:val="tx1"/>
                  </w14:solidFill>
                </w14:textFill>
              </w:rPr>
              <w:t>10</w:t>
            </w:r>
            <w:r>
              <w:rPr>
                <w:rFonts w:hint="eastAsia" w:hAnsi="宋体"/>
                <w:color w:val="000000" w:themeColor="text1"/>
                <w:sz w:val="24"/>
                <w:szCs w:val="24"/>
                <w:highlight w:val="none"/>
                <w:u w:val="none" w:color="auto"/>
                <w:vertAlign w:val="superscript"/>
                <w:lang w:val="en-US" w:eastAsia="zh-CN"/>
                <w14:textFill>
                  <w14:solidFill>
                    <w14:schemeClr w14:val="tx1"/>
                  </w14:solidFill>
                </w14:textFill>
              </w:rPr>
              <w:t>6</w:t>
            </w:r>
            <w:r>
              <w:rPr>
                <w:rFonts w:hint="eastAsia" w:hAnsi="宋体"/>
                <w:color w:val="000000" w:themeColor="text1"/>
                <w:sz w:val="24"/>
                <w:szCs w:val="24"/>
                <w:highlight w:val="none"/>
                <w:u w:val="none" w:color="auto"/>
                <w14:textFill>
                  <w14:solidFill>
                    <w14:schemeClr w14:val="tx1"/>
                  </w14:solidFill>
                </w14:textFill>
              </w:rPr>
              <w:t>N</w:t>
            </w:r>
            <w:r>
              <w:rPr>
                <w:rFonts w:hint="default" w:hAnsi="宋体"/>
                <w:color w:val="000000" w:themeColor="text1"/>
                <w:sz w:val="24"/>
                <w:szCs w:val="24"/>
                <w:highlight w:val="none"/>
                <w:u w:val="none" w:color="auto"/>
                <w14:textFill>
                  <w14:solidFill>
                    <w14:schemeClr w14:val="tx1"/>
                  </w14:solidFill>
                </w14:textFill>
              </w:rPr>
              <w:t>m</w:t>
            </w:r>
            <w:r>
              <w:rPr>
                <w:rFonts w:hint="default" w:hAnsi="宋体"/>
                <w:color w:val="000000" w:themeColor="text1"/>
                <w:sz w:val="24"/>
                <w:szCs w:val="24"/>
                <w:highlight w:val="none"/>
                <w:u w:val="none" w:color="auto"/>
                <w:vertAlign w:val="superscript"/>
                <w14:textFill>
                  <w14:solidFill>
                    <w14:schemeClr w14:val="tx1"/>
                  </w14:solidFill>
                </w14:textFill>
              </w:rPr>
              <w:t>3</w:t>
            </w:r>
            <w:r>
              <w:rPr>
                <w:rFonts w:hint="eastAsia" w:hAnsi="宋体"/>
                <w:color w:val="000000" w:themeColor="text1"/>
                <w:sz w:val="24"/>
                <w:szCs w:val="24"/>
                <w:highlight w:val="none"/>
                <w:u w:val="none" w:color="auto"/>
                <w14:textFill>
                  <w14:solidFill>
                    <w14:schemeClr w14:val="tx1"/>
                  </w14:solidFill>
                </w14:textFill>
              </w:rPr>
              <w:t>；</w:t>
            </w:r>
            <w:r>
              <w:rPr>
                <w:rFonts w:hint="eastAsia"/>
                <w:color w:val="000000" w:themeColor="text1"/>
                <w:sz w:val="24"/>
                <w:szCs w:val="24"/>
                <w:highlight w:val="none"/>
                <w:u w:val="none" w:color="auto"/>
                <w14:textFill>
                  <w14:solidFill>
                    <w14:schemeClr w14:val="tx1"/>
                  </w14:solidFill>
                </w14:textFill>
              </w:rPr>
              <w:t>本次取热值1</w:t>
            </w:r>
            <w:r>
              <w:rPr>
                <w:rFonts w:hint="eastAsia"/>
                <w:color w:val="000000" w:themeColor="text1"/>
                <w:sz w:val="24"/>
                <w:szCs w:val="24"/>
                <w:highlight w:val="none"/>
                <w:u w:val="none" w:color="auto"/>
                <w:lang w:val="en-US" w:eastAsia="zh-CN"/>
                <w14:textFill>
                  <w14:solidFill>
                    <w14:schemeClr w14:val="tx1"/>
                  </w14:solidFill>
                </w14:textFill>
              </w:rPr>
              <w:t>0</w:t>
            </w:r>
            <w:r>
              <w:rPr>
                <w:rFonts w:hint="eastAsia"/>
                <w:color w:val="000000" w:themeColor="text1"/>
                <w:sz w:val="24"/>
                <w:szCs w:val="24"/>
                <w:highlight w:val="none"/>
                <w:u w:val="none" w:color="auto"/>
                <w14:textFill>
                  <w14:solidFill>
                    <w14:schemeClr w14:val="tx1"/>
                  </w14:solidFill>
                </w14:textFill>
              </w:rPr>
              <w:t>MJ/Nm</w:t>
            </w:r>
            <w:r>
              <w:rPr>
                <w:rFonts w:hint="eastAsia"/>
                <w:color w:val="000000" w:themeColor="text1"/>
                <w:sz w:val="24"/>
                <w:szCs w:val="24"/>
                <w:highlight w:val="none"/>
                <w:u w:val="none" w:color="auto"/>
                <w:vertAlign w:val="superscript"/>
                <w14:textFill>
                  <w14:solidFill>
                    <w14:schemeClr w14:val="tx1"/>
                  </w14:solidFill>
                </w14:textFill>
              </w:rPr>
              <w:t>3</w:t>
            </w:r>
            <w:r>
              <w:rPr>
                <w:rFonts w:hint="eastAsia"/>
                <w:color w:val="000000" w:themeColor="text1"/>
                <w:sz w:val="24"/>
                <w:szCs w:val="24"/>
                <w:highlight w:val="none"/>
                <w:u w:val="none" w:color="auto"/>
                <w14:textFill>
                  <w14:solidFill>
                    <w14:schemeClr w14:val="tx1"/>
                  </w14:solidFill>
                </w14:textFill>
              </w:rPr>
              <w:t>，产生热量为</w:t>
            </w:r>
            <w:r>
              <w:rPr>
                <w:rFonts w:hint="eastAsia"/>
                <w:color w:val="000000" w:themeColor="text1"/>
                <w:sz w:val="24"/>
                <w:szCs w:val="24"/>
                <w:highlight w:val="none"/>
                <w:u w:val="none" w:color="auto"/>
                <w:lang w:val="en-US" w:eastAsia="zh-CN"/>
                <w14:textFill>
                  <w14:solidFill>
                    <w14:schemeClr w14:val="tx1"/>
                  </w14:solidFill>
                </w14:textFill>
              </w:rPr>
              <w:t>2.88</w:t>
            </w:r>
            <w:r>
              <w:rPr>
                <w:rFonts w:hint="eastAsia"/>
                <w:color w:val="000000" w:themeColor="text1"/>
                <w:sz w:val="24"/>
                <w:szCs w:val="24"/>
                <w:highlight w:val="none"/>
                <w:u w:val="none" w:color="auto"/>
                <w14:textFill>
                  <w14:solidFill>
                    <w14:schemeClr w14:val="tx1"/>
                  </w14:solidFill>
                </w14:textFill>
              </w:rPr>
              <w:t>×10</w:t>
            </w:r>
            <w:r>
              <w:rPr>
                <w:rFonts w:hint="eastAsia"/>
                <w:color w:val="000000" w:themeColor="text1"/>
                <w:sz w:val="24"/>
                <w:szCs w:val="24"/>
                <w:highlight w:val="none"/>
                <w:u w:val="none" w:color="auto"/>
                <w:vertAlign w:val="superscript"/>
                <w14:textFill>
                  <w14:solidFill>
                    <w14:schemeClr w14:val="tx1"/>
                  </w14:solidFill>
                </w14:textFill>
              </w:rPr>
              <w:t>1</w:t>
            </w:r>
            <w:r>
              <w:rPr>
                <w:rFonts w:hint="eastAsia"/>
                <w:color w:val="000000" w:themeColor="text1"/>
                <w:sz w:val="24"/>
                <w:szCs w:val="24"/>
                <w:highlight w:val="none"/>
                <w:u w:val="none" w:color="auto"/>
                <w:vertAlign w:val="superscript"/>
                <w:lang w:val="en-US" w:eastAsia="zh-CN"/>
                <w14:textFill>
                  <w14:solidFill>
                    <w14:schemeClr w14:val="tx1"/>
                  </w14:solidFill>
                </w14:textFill>
              </w:rPr>
              <w:t>3</w:t>
            </w:r>
            <w:r>
              <w:rPr>
                <w:rFonts w:hint="eastAsia"/>
                <w:color w:val="000000" w:themeColor="text1"/>
                <w:sz w:val="24"/>
                <w:szCs w:val="24"/>
                <w:highlight w:val="none"/>
                <w:u w:val="none" w:color="auto"/>
                <w14:textFill>
                  <w14:solidFill>
                    <w14:schemeClr w14:val="tx1"/>
                  </w14:solidFill>
                </w14:textFill>
              </w:rPr>
              <w:t>J（</w:t>
            </w:r>
            <w:r>
              <w:rPr>
                <w:rFonts w:hint="eastAsia"/>
                <w:color w:val="000000" w:themeColor="text1"/>
                <w:sz w:val="24"/>
                <w:szCs w:val="24"/>
                <w:highlight w:val="none"/>
                <w:u w:val="none" w:color="auto"/>
                <w:lang w:val="en-US" w:eastAsia="zh-CN"/>
                <w14:textFill>
                  <w14:solidFill>
                    <w14:schemeClr w14:val="tx1"/>
                  </w14:solidFill>
                </w14:textFill>
              </w:rPr>
              <w:t>6.88</w:t>
            </w:r>
            <w:r>
              <w:rPr>
                <w:rFonts w:hint="eastAsia"/>
                <w:color w:val="000000" w:themeColor="text1"/>
                <w:sz w:val="24"/>
                <w:szCs w:val="24"/>
                <w:highlight w:val="none"/>
                <w:u w:val="none" w:color="auto"/>
                <w14:textFill>
                  <w14:solidFill>
                    <w14:schemeClr w14:val="tx1"/>
                  </w14:solidFill>
                </w14:textFill>
              </w:rPr>
              <w:t>×</w:t>
            </w:r>
            <w:r>
              <w:rPr>
                <w:rFonts w:hint="default"/>
                <w:color w:val="000000" w:themeColor="text1"/>
                <w:sz w:val="24"/>
                <w:szCs w:val="24"/>
                <w:highlight w:val="none"/>
                <w:u w:val="none" w:color="auto"/>
                <w14:textFill>
                  <w14:solidFill>
                    <w14:schemeClr w14:val="tx1"/>
                  </w14:solidFill>
                </w14:textFill>
              </w:rPr>
              <w:t>10</w:t>
            </w:r>
            <w:r>
              <w:rPr>
                <w:rFonts w:hint="eastAsia"/>
                <w:color w:val="000000" w:themeColor="text1"/>
                <w:sz w:val="24"/>
                <w:szCs w:val="24"/>
                <w:highlight w:val="none"/>
                <w:u w:val="none" w:color="auto"/>
                <w:vertAlign w:val="superscript"/>
                <w:lang w:val="en-US" w:eastAsia="zh-CN"/>
                <w14:textFill>
                  <w14:solidFill>
                    <w14:schemeClr w14:val="tx1"/>
                  </w14:solidFill>
                </w14:textFill>
              </w:rPr>
              <w:t>9</w:t>
            </w:r>
            <w:r>
              <w:rPr>
                <w:rFonts w:hint="default"/>
                <w:color w:val="000000" w:themeColor="text1"/>
                <w:sz w:val="24"/>
                <w:szCs w:val="24"/>
                <w:highlight w:val="none"/>
                <w:u w:val="none" w:color="auto"/>
                <w14:textFill>
                  <w14:solidFill>
                    <w14:schemeClr w14:val="tx1"/>
                  </w14:solidFill>
                </w14:textFill>
              </w:rPr>
              <w:t>kcal/a</w:t>
            </w:r>
            <w:r>
              <w:rPr>
                <w:rFonts w:hint="eastAsia"/>
                <w:color w:val="000000" w:themeColor="text1"/>
                <w:sz w:val="24"/>
                <w:szCs w:val="24"/>
                <w:highlight w:val="none"/>
                <w:u w:val="none" w:color="auto"/>
                <w14:textFill>
                  <w14:solidFill>
                    <w14:schemeClr w14:val="tx1"/>
                  </w14:solidFill>
                </w14:textFill>
              </w:rPr>
              <w:t>）。</w:t>
            </w:r>
          </w:p>
          <w:p w14:paraId="108C8651">
            <w:pPr>
              <w:keepNext w:val="0"/>
              <w:keepLines w:val="0"/>
              <w:numPr>
                <w:ilvl w:val="0"/>
                <w:numId w:val="0"/>
              </w:numPr>
              <w:suppressLineNumbers w:val="0"/>
              <w:adjustRightInd w:val="0"/>
              <w:snapToGrid w:val="0"/>
              <w:spacing w:before="0" w:beforeAutospacing="0" w:after="0" w:afterAutospacing="0" w:line="360" w:lineRule="auto"/>
              <w:ind w:left="0" w:leftChars="0" w:right="0" w:rightChars="0" w:firstLine="480" w:firstLineChars="200"/>
              <w:jc w:val="both"/>
              <w:rPr>
                <w:rFonts w:hint="default"/>
                <w:color w:val="000000" w:themeColor="text1"/>
                <w:highlight w:val="none"/>
                <w:u w:val="none" w:color="auto"/>
                <w14:textFill>
                  <w14:solidFill>
                    <w14:schemeClr w14:val="tx1"/>
                  </w14:solidFill>
                </w14:textFill>
              </w:rPr>
            </w:pPr>
            <w:r>
              <w:rPr>
                <w:rFonts w:hint="eastAsia"/>
                <w:color w:val="000000" w:themeColor="text1"/>
                <w:sz w:val="24"/>
                <w:szCs w:val="24"/>
                <w:u w:val="none" w:color="auto"/>
                <w14:textFill>
                  <w14:solidFill>
                    <w14:schemeClr w14:val="tx1"/>
                  </w14:solidFill>
                </w14:textFill>
              </w:rPr>
              <w:t>参考《气相色谱分析木煤气组分》（中国林科院林产化工研究所</w:t>
            </w:r>
            <w:r>
              <w:rPr>
                <w:rFonts w:hint="default"/>
                <w:color w:val="000000" w:themeColor="text1"/>
                <w:sz w:val="24"/>
                <w:szCs w:val="24"/>
                <w:u w:val="none" w:color="auto"/>
                <w14:textFill>
                  <w14:solidFill>
                    <w14:schemeClr w14:val="tx1"/>
                  </w14:solidFill>
                </w14:textFill>
              </w:rPr>
              <w:t xml:space="preserve"> </w:t>
            </w:r>
            <w:r>
              <w:rPr>
                <w:rFonts w:hint="eastAsia"/>
                <w:color w:val="000000" w:themeColor="text1"/>
                <w:sz w:val="24"/>
                <w:szCs w:val="24"/>
                <w:u w:val="none" w:color="auto"/>
                <w14:textFill>
                  <w14:solidFill>
                    <w14:schemeClr w14:val="tx1"/>
                  </w14:solidFill>
                </w14:textFill>
              </w:rPr>
              <w:t>蒋剑春，金淳）、《木煤气在烤烟上的应用》（中国科学院黑龙江农业现代化研究所</w:t>
            </w:r>
            <w:r>
              <w:rPr>
                <w:rFonts w:hint="default"/>
                <w:color w:val="000000" w:themeColor="text1"/>
                <w:sz w:val="24"/>
                <w:szCs w:val="24"/>
                <w:u w:val="none" w:color="auto"/>
                <w14:textFill>
                  <w14:solidFill>
                    <w14:schemeClr w14:val="tx1"/>
                  </w14:solidFill>
                </w14:textFill>
              </w:rPr>
              <w:t xml:space="preserve"> </w:t>
            </w:r>
            <w:r>
              <w:rPr>
                <w:rFonts w:hint="eastAsia"/>
                <w:color w:val="000000" w:themeColor="text1"/>
                <w:sz w:val="24"/>
                <w:szCs w:val="24"/>
                <w:u w:val="none" w:color="auto"/>
                <w14:textFill>
                  <w14:solidFill>
                    <w14:schemeClr w14:val="tx1"/>
                  </w14:solidFill>
                </w14:textFill>
              </w:rPr>
              <w:t>邢如意，亢文福）和《民用木煤气的研究》（中国林科院林业化工研究所</w:t>
            </w:r>
            <w:r>
              <w:rPr>
                <w:rFonts w:hint="default"/>
                <w:color w:val="000000" w:themeColor="text1"/>
                <w:sz w:val="24"/>
                <w:szCs w:val="24"/>
                <w:u w:val="none" w:color="auto"/>
                <w14:textFill>
                  <w14:solidFill>
                    <w14:schemeClr w14:val="tx1"/>
                  </w14:solidFill>
                </w14:textFill>
              </w:rPr>
              <w:t xml:space="preserve"> </w:t>
            </w:r>
            <w:r>
              <w:rPr>
                <w:rFonts w:hint="eastAsia"/>
                <w:color w:val="000000" w:themeColor="text1"/>
                <w:sz w:val="24"/>
                <w:szCs w:val="24"/>
                <w:u w:val="none" w:color="auto"/>
                <w14:textFill>
                  <w14:solidFill>
                    <w14:schemeClr w14:val="tx1"/>
                  </w14:solidFill>
                </w14:textFill>
              </w:rPr>
              <w:t>金淳，应浩，张进平，雷振天，郑文辉，陆宝瑛，黄丽娟），木煤气平均成分见</w:t>
            </w:r>
            <w:r>
              <w:rPr>
                <w:rFonts w:hint="eastAsia"/>
                <w:color w:val="000000" w:themeColor="text1"/>
                <w:sz w:val="24"/>
                <w:szCs w:val="24"/>
                <w:u w:val="none" w:color="auto"/>
                <w:lang w:val="en-US" w:eastAsia="zh-CN"/>
                <w14:textFill>
                  <w14:solidFill>
                    <w14:schemeClr w14:val="tx1"/>
                  </w14:solidFill>
                </w14:textFill>
              </w:rPr>
              <w:t>下表</w:t>
            </w:r>
            <w:r>
              <w:rPr>
                <w:rFonts w:hint="eastAsia"/>
                <w:color w:val="000000" w:themeColor="text1"/>
                <w:sz w:val="24"/>
                <w:szCs w:val="24"/>
                <w:u w:val="none" w:color="auto"/>
                <w14:textFill>
                  <w14:solidFill>
                    <w14:schemeClr w14:val="tx1"/>
                  </w14:solidFill>
                </w14:textFill>
              </w:rPr>
              <w:t>，</w:t>
            </w:r>
            <w:r>
              <w:rPr>
                <w:rFonts w:hint="eastAsia"/>
                <w:color w:val="000000" w:themeColor="text1"/>
                <w:sz w:val="24"/>
                <w:szCs w:val="24"/>
                <w:highlight w:val="none"/>
                <w:u w:val="none" w:color="auto"/>
                <w14:textFill>
                  <w14:solidFill>
                    <w14:schemeClr w14:val="tx1"/>
                  </w14:solidFill>
                </w14:textFill>
              </w:rPr>
              <w:t>煤气平衡图见图2-</w:t>
            </w:r>
            <w:r>
              <w:rPr>
                <w:rFonts w:hint="eastAsia"/>
                <w:color w:val="000000" w:themeColor="text1"/>
                <w:sz w:val="24"/>
                <w:szCs w:val="24"/>
                <w:highlight w:val="none"/>
                <w:u w:val="none" w:color="auto"/>
                <w:lang w:val="en-US" w:eastAsia="zh-CN"/>
                <w14:textFill>
                  <w14:solidFill>
                    <w14:schemeClr w14:val="tx1"/>
                  </w14:solidFill>
                </w14:textFill>
              </w:rPr>
              <w:t>2</w:t>
            </w:r>
            <w:r>
              <w:rPr>
                <w:rFonts w:hint="eastAsia"/>
                <w:color w:val="000000" w:themeColor="text1"/>
                <w:sz w:val="24"/>
                <w:szCs w:val="24"/>
                <w:highlight w:val="none"/>
                <w:u w:val="none" w:color="auto"/>
                <w14:textFill>
                  <w14:solidFill>
                    <w14:schemeClr w14:val="tx1"/>
                  </w14:solidFill>
                </w14:textFill>
              </w:rPr>
              <w:t>，</w:t>
            </w:r>
            <w:r>
              <w:rPr>
                <w:rFonts w:hint="eastAsia"/>
                <w:color w:val="000000" w:themeColor="text1"/>
                <w:sz w:val="24"/>
                <w:szCs w:val="24"/>
                <w:highlight w:val="none"/>
                <w:u w:val="none" w:color="auto"/>
                <w:lang w:val="en-US" w:eastAsia="zh-CN"/>
                <w14:textFill>
                  <w14:solidFill>
                    <w14:schemeClr w14:val="tx1"/>
                  </w14:solidFill>
                </w14:textFill>
              </w:rPr>
              <w:t>热量</w:t>
            </w:r>
            <w:r>
              <w:rPr>
                <w:rFonts w:hint="eastAsia"/>
                <w:color w:val="000000" w:themeColor="text1"/>
                <w:sz w:val="24"/>
                <w:szCs w:val="24"/>
                <w:highlight w:val="none"/>
                <w:u w:val="none" w:color="auto"/>
                <w14:textFill>
                  <w14:solidFill>
                    <w14:schemeClr w14:val="tx1"/>
                  </w14:solidFill>
                </w14:textFill>
              </w:rPr>
              <w:t>平衡见图2-</w:t>
            </w:r>
            <w:r>
              <w:rPr>
                <w:rFonts w:hint="eastAsia"/>
                <w:color w:val="000000" w:themeColor="text1"/>
                <w:sz w:val="24"/>
                <w:szCs w:val="24"/>
                <w:highlight w:val="none"/>
                <w:u w:val="none" w:color="auto"/>
                <w:lang w:val="en-US" w:eastAsia="zh-CN"/>
                <w14:textFill>
                  <w14:solidFill>
                    <w14:schemeClr w14:val="tx1"/>
                  </w14:solidFill>
                </w14:textFill>
              </w:rPr>
              <w:t>3</w:t>
            </w:r>
            <w:r>
              <w:rPr>
                <w:rFonts w:hint="eastAsia"/>
                <w:color w:val="000000" w:themeColor="text1"/>
                <w:sz w:val="24"/>
                <w:szCs w:val="24"/>
                <w:highlight w:val="none"/>
                <w:u w:val="none" w:color="auto"/>
                <w14:textFill>
                  <w14:solidFill>
                    <w14:schemeClr w14:val="tx1"/>
                  </w14:solidFill>
                </w14:textFill>
              </w:rPr>
              <w:t>。</w:t>
            </w:r>
          </w:p>
          <w:p w14:paraId="3111AA5A">
            <w:pPr>
              <w:keepNext w:val="0"/>
              <w:keepLines w:val="0"/>
              <w:pageBreakBefore w:val="0"/>
              <w:widowControl w:val="0"/>
              <w:suppressLineNumbers w:val="0"/>
              <w:tabs>
                <w:tab w:val="left" w:pos="313"/>
                <w:tab w:val="center" w:pos="4195"/>
              </w:tabs>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eastAsia="宋体" w:cs="Times New Roman"/>
                <w:b/>
                <w:bCs/>
                <w:color w:val="000000" w:themeColor="text1"/>
                <w:sz w:val="24"/>
                <w:szCs w:val="24"/>
                <w:highlight w:val="none"/>
                <w:u w:val="none" w:color="auto"/>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u w:val="none" w:color="auto"/>
                <w14:textFill>
                  <w14:solidFill>
                    <w14:schemeClr w14:val="tx1"/>
                  </w14:solidFill>
                </w14:textFill>
              </w:rPr>
              <w:t>表2-</w:t>
            </w:r>
            <w:r>
              <w:rPr>
                <w:rFonts w:hint="default" w:ascii="Times New Roman" w:hAnsi="Times New Roman" w:eastAsia="宋体" w:cs="Times New Roman"/>
                <w:b/>
                <w:bCs/>
                <w:color w:val="000000" w:themeColor="text1"/>
                <w:sz w:val="24"/>
                <w:szCs w:val="24"/>
                <w:highlight w:val="none"/>
                <w:u w:val="none" w:color="auto"/>
                <w:lang w:val="en-US" w:eastAsia="zh-CN"/>
                <w14:textFill>
                  <w14:solidFill>
                    <w14:schemeClr w14:val="tx1"/>
                  </w14:solidFill>
                </w14:textFill>
              </w:rPr>
              <w:t>1</w:t>
            </w:r>
            <w:r>
              <w:rPr>
                <w:rFonts w:hint="eastAsia" w:ascii="Times New Roman" w:hAnsi="Times New Roman" w:eastAsia="宋体" w:cs="Times New Roman"/>
                <w:b/>
                <w:bCs/>
                <w:color w:val="000000" w:themeColor="text1"/>
                <w:sz w:val="24"/>
                <w:szCs w:val="24"/>
                <w:highlight w:val="none"/>
                <w:u w:val="none" w:color="auto"/>
                <w:lang w:val="en-US" w:eastAsia="zh-CN"/>
                <w14:textFill>
                  <w14:solidFill>
                    <w14:schemeClr w14:val="tx1"/>
                  </w14:solidFill>
                </w14:textFill>
              </w:rPr>
              <w:t>3</w:t>
            </w:r>
            <w:r>
              <w:rPr>
                <w:rFonts w:hint="default" w:ascii="Times New Roman" w:hAnsi="Times New Roman" w:eastAsia="宋体" w:cs="Times New Roman"/>
                <w:b/>
                <w:bCs/>
                <w:color w:val="000000" w:themeColor="text1"/>
                <w:sz w:val="24"/>
                <w:szCs w:val="24"/>
                <w:highlight w:val="none"/>
                <w:u w:val="none" w:color="auto"/>
                <w14:textFill>
                  <w14:solidFill>
                    <w14:schemeClr w14:val="tx1"/>
                  </w14:solidFill>
                </w14:textFill>
              </w:rPr>
              <w:t xml:space="preserve">  木煤气主要组分</w:t>
            </w:r>
            <w:r>
              <w:rPr>
                <w:rFonts w:hint="default" w:ascii="Times New Roman" w:hAnsi="Times New Roman" w:eastAsia="宋体" w:cs="Times New Roman"/>
                <w:b/>
                <w:bCs/>
                <w:color w:val="000000" w:themeColor="text1"/>
                <w:sz w:val="24"/>
                <w:szCs w:val="24"/>
                <w:highlight w:val="none"/>
                <w:u w:val="none" w:color="auto"/>
                <w:lang w:val="en-US" w:eastAsia="zh-CN"/>
                <w14:textFill>
                  <w14:solidFill>
                    <w14:schemeClr w14:val="tx1"/>
                  </w14:solidFill>
                </w14:textFill>
              </w:rPr>
              <w:t>及含量</w:t>
            </w:r>
          </w:p>
          <w:tbl>
            <w:tblPr>
              <w:tblStyle w:val="29"/>
              <w:tblW w:w="4998"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973"/>
              <w:gridCol w:w="983"/>
              <w:gridCol w:w="977"/>
              <w:gridCol w:w="1055"/>
              <w:gridCol w:w="1094"/>
              <w:gridCol w:w="920"/>
              <w:gridCol w:w="1016"/>
              <w:gridCol w:w="1306"/>
              <w:gridCol w:w="956"/>
            </w:tblGrid>
            <w:tr w14:paraId="074FA79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24" w:type="pct"/>
                  <w:tcBorders>
                    <w:top w:val="single" w:color="auto" w:sz="4" w:space="0"/>
                    <w:left w:val="single" w:color="auto" w:sz="0" w:space="0"/>
                    <w:bottom w:val="single" w:color="auto" w:sz="4" w:space="0"/>
                    <w:right w:val="single" w:color="auto" w:sz="4" w:space="0"/>
                  </w:tcBorders>
                  <w:noWrap w:val="0"/>
                  <w:vAlign w:val="center"/>
                </w:tcPr>
                <w:p w14:paraId="66D534F3">
                  <w:pPr>
                    <w:keepNext w:val="0"/>
                    <w:keepLines w:val="0"/>
                    <w:suppressLineNumbers w:val="0"/>
                    <w:spacing w:before="0" w:beforeAutospacing="0" w:after="0" w:afterAutospacing="0"/>
                    <w:ind w:left="0" w:right="0"/>
                    <w:jc w:val="center"/>
                    <w:rPr>
                      <w:rFonts w:hint="default"/>
                      <w:color w:val="000000" w:themeColor="text1"/>
                      <w:sz w:val="21"/>
                      <w:szCs w:val="21"/>
                      <w:highlight w:val="none"/>
                      <w:u w:val="none" w:color="auto"/>
                      <w14:textFill>
                        <w14:solidFill>
                          <w14:schemeClr w14:val="tx1"/>
                        </w14:solidFill>
                      </w14:textFill>
                    </w:rPr>
                  </w:pPr>
                  <w:r>
                    <w:rPr>
                      <w:rFonts w:hint="eastAsia"/>
                      <w:color w:val="000000" w:themeColor="text1"/>
                      <w:sz w:val="21"/>
                      <w:szCs w:val="21"/>
                      <w:highlight w:val="none"/>
                      <w:u w:val="none" w:color="auto"/>
                      <w14:textFill>
                        <w14:solidFill>
                          <w14:schemeClr w14:val="tx1"/>
                        </w14:solidFill>
                      </w14:textFill>
                    </w:rPr>
                    <w:t>项目</w:t>
                  </w:r>
                </w:p>
              </w:tc>
              <w:tc>
                <w:tcPr>
                  <w:tcW w:w="529" w:type="pct"/>
                  <w:tcBorders>
                    <w:top w:val="single" w:color="auto" w:sz="4" w:space="0"/>
                    <w:left w:val="single" w:color="auto" w:sz="4" w:space="0"/>
                    <w:bottom w:val="single" w:color="auto" w:sz="4" w:space="0"/>
                    <w:right w:val="single" w:color="auto" w:sz="4" w:space="0"/>
                  </w:tcBorders>
                  <w:noWrap w:val="0"/>
                  <w:vAlign w:val="center"/>
                </w:tcPr>
                <w:p w14:paraId="5ED4BB49">
                  <w:pPr>
                    <w:keepNext w:val="0"/>
                    <w:keepLines w:val="0"/>
                    <w:suppressLineNumbers w:val="0"/>
                    <w:spacing w:before="0" w:beforeAutospacing="0" w:after="0" w:afterAutospacing="0"/>
                    <w:ind w:left="0" w:right="0"/>
                    <w:jc w:val="center"/>
                    <w:rPr>
                      <w:rFonts w:hint="default"/>
                      <w:color w:val="000000" w:themeColor="text1"/>
                      <w:sz w:val="21"/>
                      <w:szCs w:val="21"/>
                      <w:highlight w:val="none"/>
                      <w:u w:val="none" w:color="auto"/>
                      <w14:textFill>
                        <w14:solidFill>
                          <w14:schemeClr w14:val="tx1"/>
                        </w14:solidFill>
                      </w14:textFill>
                    </w:rPr>
                  </w:pPr>
                  <w:r>
                    <w:rPr>
                      <w:rFonts w:hint="default"/>
                      <w:color w:val="000000" w:themeColor="text1"/>
                      <w:sz w:val="21"/>
                      <w:szCs w:val="21"/>
                      <w:highlight w:val="none"/>
                      <w:u w:val="none" w:color="auto"/>
                      <w14:textFill>
                        <w14:solidFill>
                          <w14:schemeClr w14:val="tx1"/>
                        </w14:solidFill>
                      </w14:textFill>
                    </w:rPr>
                    <w:t>H</w:t>
                  </w:r>
                  <w:r>
                    <w:rPr>
                      <w:rFonts w:hint="default"/>
                      <w:color w:val="000000" w:themeColor="text1"/>
                      <w:sz w:val="21"/>
                      <w:szCs w:val="21"/>
                      <w:highlight w:val="none"/>
                      <w:u w:val="none" w:color="auto"/>
                      <w:vertAlign w:val="subscript"/>
                      <w14:textFill>
                        <w14:solidFill>
                          <w14:schemeClr w14:val="tx1"/>
                        </w14:solidFill>
                      </w14:textFill>
                    </w:rPr>
                    <w:t>2</w:t>
                  </w:r>
                </w:p>
              </w:tc>
              <w:tc>
                <w:tcPr>
                  <w:tcW w:w="526" w:type="pct"/>
                  <w:tcBorders>
                    <w:top w:val="single" w:color="auto" w:sz="4" w:space="0"/>
                    <w:left w:val="single" w:color="auto" w:sz="4" w:space="0"/>
                    <w:bottom w:val="single" w:color="auto" w:sz="4" w:space="0"/>
                    <w:right w:val="single" w:color="auto" w:sz="4" w:space="0"/>
                  </w:tcBorders>
                  <w:noWrap w:val="0"/>
                  <w:vAlign w:val="center"/>
                </w:tcPr>
                <w:p w14:paraId="651910D6">
                  <w:pPr>
                    <w:keepNext w:val="0"/>
                    <w:keepLines w:val="0"/>
                    <w:suppressLineNumbers w:val="0"/>
                    <w:spacing w:before="0" w:beforeAutospacing="0" w:after="0" w:afterAutospacing="0"/>
                    <w:ind w:left="0" w:right="0"/>
                    <w:jc w:val="center"/>
                    <w:rPr>
                      <w:rFonts w:hint="default"/>
                      <w:color w:val="000000" w:themeColor="text1"/>
                      <w:sz w:val="21"/>
                      <w:szCs w:val="21"/>
                      <w:highlight w:val="none"/>
                      <w:u w:val="none" w:color="auto"/>
                      <w14:textFill>
                        <w14:solidFill>
                          <w14:schemeClr w14:val="tx1"/>
                        </w14:solidFill>
                      </w14:textFill>
                    </w:rPr>
                  </w:pPr>
                  <w:r>
                    <w:rPr>
                      <w:rFonts w:hint="default"/>
                      <w:color w:val="000000" w:themeColor="text1"/>
                      <w:sz w:val="21"/>
                      <w:szCs w:val="21"/>
                      <w:highlight w:val="none"/>
                      <w:u w:val="none" w:color="auto"/>
                      <w14:textFill>
                        <w14:solidFill>
                          <w14:schemeClr w14:val="tx1"/>
                        </w14:solidFill>
                      </w14:textFill>
                    </w:rPr>
                    <w:t>O</w:t>
                  </w:r>
                  <w:r>
                    <w:rPr>
                      <w:rFonts w:hint="default"/>
                      <w:color w:val="000000" w:themeColor="text1"/>
                      <w:sz w:val="21"/>
                      <w:szCs w:val="21"/>
                      <w:highlight w:val="none"/>
                      <w:u w:val="none" w:color="auto"/>
                      <w:vertAlign w:val="subscript"/>
                      <w14:textFill>
                        <w14:solidFill>
                          <w14:schemeClr w14:val="tx1"/>
                        </w14:solidFill>
                      </w14:textFill>
                    </w:rPr>
                    <w:t>2</w:t>
                  </w:r>
                </w:p>
              </w:tc>
              <w:tc>
                <w:tcPr>
                  <w:tcW w:w="568" w:type="pct"/>
                  <w:tcBorders>
                    <w:top w:val="single" w:color="auto" w:sz="4" w:space="0"/>
                    <w:left w:val="single" w:color="auto" w:sz="4" w:space="0"/>
                    <w:bottom w:val="single" w:color="auto" w:sz="4" w:space="0"/>
                    <w:right w:val="single" w:color="auto" w:sz="4" w:space="0"/>
                  </w:tcBorders>
                  <w:noWrap w:val="0"/>
                  <w:vAlign w:val="center"/>
                </w:tcPr>
                <w:p w14:paraId="623A6129">
                  <w:pPr>
                    <w:keepNext w:val="0"/>
                    <w:keepLines w:val="0"/>
                    <w:suppressLineNumbers w:val="0"/>
                    <w:spacing w:before="0" w:beforeAutospacing="0" w:after="0" w:afterAutospacing="0"/>
                    <w:ind w:left="0" w:right="0"/>
                    <w:jc w:val="center"/>
                    <w:rPr>
                      <w:rFonts w:hint="default"/>
                      <w:color w:val="000000" w:themeColor="text1"/>
                      <w:sz w:val="21"/>
                      <w:szCs w:val="21"/>
                      <w:highlight w:val="none"/>
                      <w:u w:val="none" w:color="auto"/>
                      <w14:textFill>
                        <w14:solidFill>
                          <w14:schemeClr w14:val="tx1"/>
                        </w14:solidFill>
                      </w14:textFill>
                    </w:rPr>
                  </w:pPr>
                  <w:r>
                    <w:rPr>
                      <w:rFonts w:hint="default"/>
                      <w:color w:val="000000" w:themeColor="text1"/>
                      <w:sz w:val="21"/>
                      <w:szCs w:val="21"/>
                      <w:highlight w:val="none"/>
                      <w:u w:val="none" w:color="auto"/>
                      <w14:textFill>
                        <w14:solidFill>
                          <w14:schemeClr w14:val="tx1"/>
                        </w14:solidFill>
                      </w14:textFill>
                    </w:rPr>
                    <w:t>N</w:t>
                  </w:r>
                  <w:r>
                    <w:rPr>
                      <w:rFonts w:hint="default"/>
                      <w:color w:val="000000" w:themeColor="text1"/>
                      <w:sz w:val="21"/>
                      <w:szCs w:val="21"/>
                      <w:highlight w:val="none"/>
                      <w:u w:val="none" w:color="auto"/>
                      <w:vertAlign w:val="subscript"/>
                      <w14:textFill>
                        <w14:solidFill>
                          <w14:schemeClr w14:val="tx1"/>
                        </w14:solidFill>
                      </w14:textFill>
                    </w:rPr>
                    <w:t>2</w:t>
                  </w:r>
                </w:p>
              </w:tc>
              <w:tc>
                <w:tcPr>
                  <w:tcW w:w="589" w:type="pct"/>
                  <w:tcBorders>
                    <w:top w:val="single" w:color="auto" w:sz="4" w:space="0"/>
                    <w:left w:val="single" w:color="auto" w:sz="4" w:space="0"/>
                    <w:bottom w:val="single" w:color="auto" w:sz="4" w:space="0"/>
                    <w:right w:val="single" w:color="auto" w:sz="4" w:space="0"/>
                  </w:tcBorders>
                  <w:noWrap w:val="0"/>
                  <w:vAlign w:val="center"/>
                </w:tcPr>
                <w:p w14:paraId="0C709D6A">
                  <w:pPr>
                    <w:keepNext w:val="0"/>
                    <w:keepLines w:val="0"/>
                    <w:suppressLineNumbers w:val="0"/>
                    <w:spacing w:before="0" w:beforeAutospacing="0" w:after="0" w:afterAutospacing="0"/>
                    <w:ind w:left="0" w:right="0"/>
                    <w:jc w:val="center"/>
                    <w:rPr>
                      <w:rFonts w:hint="default"/>
                      <w:color w:val="000000" w:themeColor="text1"/>
                      <w:sz w:val="21"/>
                      <w:szCs w:val="21"/>
                      <w:highlight w:val="none"/>
                      <w:u w:val="none" w:color="auto"/>
                      <w14:textFill>
                        <w14:solidFill>
                          <w14:schemeClr w14:val="tx1"/>
                        </w14:solidFill>
                      </w14:textFill>
                    </w:rPr>
                  </w:pPr>
                  <w:r>
                    <w:rPr>
                      <w:rFonts w:hint="default"/>
                      <w:color w:val="000000" w:themeColor="text1"/>
                      <w:sz w:val="21"/>
                      <w:szCs w:val="21"/>
                      <w:highlight w:val="none"/>
                      <w:u w:val="none" w:color="auto"/>
                      <w14:textFill>
                        <w14:solidFill>
                          <w14:schemeClr w14:val="tx1"/>
                        </w14:solidFill>
                      </w14:textFill>
                    </w:rPr>
                    <w:t>CO</w:t>
                  </w:r>
                </w:p>
              </w:tc>
              <w:tc>
                <w:tcPr>
                  <w:tcW w:w="495" w:type="pct"/>
                  <w:tcBorders>
                    <w:top w:val="single" w:color="auto" w:sz="4" w:space="0"/>
                    <w:left w:val="single" w:color="auto" w:sz="4" w:space="0"/>
                    <w:bottom w:val="single" w:color="auto" w:sz="4" w:space="0"/>
                    <w:right w:val="single" w:color="auto" w:sz="4" w:space="0"/>
                  </w:tcBorders>
                  <w:noWrap w:val="0"/>
                  <w:vAlign w:val="center"/>
                </w:tcPr>
                <w:p w14:paraId="1C8CC51C">
                  <w:pPr>
                    <w:keepNext w:val="0"/>
                    <w:keepLines w:val="0"/>
                    <w:suppressLineNumbers w:val="0"/>
                    <w:spacing w:before="0" w:beforeAutospacing="0" w:after="0" w:afterAutospacing="0"/>
                    <w:ind w:left="0" w:right="0"/>
                    <w:jc w:val="center"/>
                    <w:rPr>
                      <w:rFonts w:hint="default"/>
                      <w:color w:val="000000" w:themeColor="text1"/>
                      <w:sz w:val="21"/>
                      <w:szCs w:val="21"/>
                      <w:highlight w:val="none"/>
                      <w:u w:val="none" w:color="auto"/>
                      <w14:textFill>
                        <w14:solidFill>
                          <w14:schemeClr w14:val="tx1"/>
                        </w14:solidFill>
                      </w14:textFill>
                    </w:rPr>
                  </w:pPr>
                  <w:r>
                    <w:rPr>
                      <w:rFonts w:hint="default"/>
                      <w:color w:val="000000" w:themeColor="text1"/>
                      <w:sz w:val="21"/>
                      <w:szCs w:val="21"/>
                      <w:highlight w:val="none"/>
                      <w:u w:val="none" w:color="auto"/>
                      <w14:textFill>
                        <w14:solidFill>
                          <w14:schemeClr w14:val="tx1"/>
                        </w14:solidFill>
                      </w14:textFill>
                    </w:rPr>
                    <w:t>CH</w:t>
                  </w:r>
                  <w:r>
                    <w:rPr>
                      <w:rFonts w:hint="default"/>
                      <w:color w:val="000000" w:themeColor="text1"/>
                      <w:sz w:val="21"/>
                      <w:szCs w:val="21"/>
                      <w:highlight w:val="none"/>
                      <w:u w:val="none" w:color="auto"/>
                      <w:vertAlign w:val="subscript"/>
                      <w14:textFill>
                        <w14:solidFill>
                          <w14:schemeClr w14:val="tx1"/>
                        </w14:solidFill>
                      </w14:textFill>
                    </w:rPr>
                    <w:t>4</w:t>
                  </w:r>
                </w:p>
              </w:tc>
              <w:tc>
                <w:tcPr>
                  <w:tcW w:w="547" w:type="pct"/>
                  <w:tcBorders>
                    <w:top w:val="single" w:color="auto" w:sz="4" w:space="0"/>
                    <w:left w:val="single" w:color="auto" w:sz="4" w:space="0"/>
                    <w:bottom w:val="single" w:color="auto" w:sz="4" w:space="0"/>
                    <w:right w:val="single" w:color="auto" w:sz="4" w:space="0"/>
                  </w:tcBorders>
                  <w:noWrap w:val="0"/>
                  <w:vAlign w:val="center"/>
                </w:tcPr>
                <w:p w14:paraId="25414732">
                  <w:pPr>
                    <w:keepNext w:val="0"/>
                    <w:keepLines w:val="0"/>
                    <w:suppressLineNumbers w:val="0"/>
                    <w:spacing w:before="0" w:beforeAutospacing="0" w:after="0" w:afterAutospacing="0"/>
                    <w:ind w:left="0" w:right="0"/>
                    <w:jc w:val="center"/>
                    <w:rPr>
                      <w:rFonts w:hint="default"/>
                      <w:color w:val="000000" w:themeColor="text1"/>
                      <w:sz w:val="21"/>
                      <w:szCs w:val="21"/>
                      <w:highlight w:val="none"/>
                      <w:u w:val="none" w:color="auto"/>
                      <w14:textFill>
                        <w14:solidFill>
                          <w14:schemeClr w14:val="tx1"/>
                        </w14:solidFill>
                      </w14:textFill>
                    </w:rPr>
                  </w:pPr>
                  <w:r>
                    <w:rPr>
                      <w:rFonts w:hint="default"/>
                      <w:color w:val="000000" w:themeColor="text1"/>
                      <w:sz w:val="21"/>
                      <w:szCs w:val="21"/>
                      <w:highlight w:val="none"/>
                      <w:u w:val="none" w:color="auto"/>
                      <w14:textFill>
                        <w14:solidFill>
                          <w14:schemeClr w14:val="tx1"/>
                        </w14:solidFill>
                      </w14:textFill>
                    </w:rPr>
                    <w:t>CO</w:t>
                  </w:r>
                  <w:r>
                    <w:rPr>
                      <w:rFonts w:hint="default"/>
                      <w:color w:val="000000" w:themeColor="text1"/>
                      <w:sz w:val="21"/>
                      <w:szCs w:val="21"/>
                      <w:highlight w:val="none"/>
                      <w:u w:val="none" w:color="auto"/>
                      <w:vertAlign w:val="subscript"/>
                      <w14:textFill>
                        <w14:solidFill>
                          <w14:schemeClr w14:val="tx1"/>
                        </w14:solidFill>
                      </w14:textFill>
                    </w:rPr>
                    <w:t>2</w:t>
                  </w:r>
                </w:p>
              </w:tc>
              <w:tc>
                <w:tcPr>
                  <w:tcW w:w="703" w:type="pct"/>
                  <w:tcBorders>
                    <w:top w:val="single" w:color="auto" w:sz="4" w:space="0"/>
                    <w:left w:val="single" w:color="auto" w:sz="4" w:space="0"/>
                    <w:bottom w:val="single" w:color="auto" w:sz="4" w:space="0"/>
                    <w:right w:val="single" w:color="auto" w:sz="4" w:space="0"/>
                  </w:tcBorders>
                  <w:noWrap w:val="0"/>
                  <w:vAlign w:val="center"/>
                </w:tcPr>
                <w:p w14:paraId="5045528A">
                  <w:pPr>
                    <w:keepNext w:val="0"/>
                    <w:keepLines w:val="0"/>
                    <w:suppressLineNumbers w:val="0"/>
                    <w:spacing w:before="0" w:beforeAutospacing="0" w:after="0" w:afterAutospacing="0"/>
                    <w:ind w:left="0" w:right="0"/>
                    <w:jc w:val="center"/>
                    <w:rPr>
                      <w:rFonts w:hint="default"/>
                      <w:color w:val="000000" w:themeColor="text1"/>
                      <w:sz w:val="21"/>
                      <w:szCs w:val="21"/>
                      <w:highlight w:val="none"/>
                      <w:u w:val="none" w:color="auto"/>
                      <w14:textFill>
                        <w14:solidFill>
                          <w14:schemeClr w14:val="tx1"/>
                        </w14:solidFill>
                      </w14:textFill>
                    </w:rPr>
                  </w:pPr>
                  <w:r>
                    <w:rPr>
                      <w:rFonts w:hint="default"/>
                      <w:color w:val="000000" w:themeColor="text1"/>
                      <w:sz w:val="21"/>
                      <w:szCs w:val="21"/>
                      <w:highlight w:val="none"/>
                      <w:u w:val="none" w:color="auto"/>
                      <w14:textFill>
                        <w14:solidFill>
                          <w14:schemeClr w14:val="tx1"/>
                        </w14:solidFill>
                      </w14:textFill>
                    </w:rPr>
                    <w:t>H</w:t>
                  </w:r>
                  <w:r>
                    <w:rPr>
                      <w:rFonts w:hint="default"/>
                      <w:color w:val="000000" w:themeColor="text1"/>
                      <w:sz w:val="21"/>
                      <w:szCs w:val="21"/>
                      <w:highlight w:val="none"/>
                      <w:u w:val="none" w:color="auto"/>
                      <w:vertAlign w:val="subscript"/>
                      <w14:textFill>
                        <w14:solidFill>
                          <w14:schemeClr w14:val="tx1"/>
                        </w14:solidFill>
                      </w14:textFill>
                    </w:rPr>
                    <w:t>2</w:t>
                  </w:r>
                  <w:r>
                    <w:rPr>
                      <w:rFonts w:hint="default"/>
                      <w:color w:val="000000" w:themeColor="text1"/>
                      <w:sz w:val="21"/>
                      <w:szCs w:val="21"/>
                      <w:highlight w:val="none"/>
                      <w:u w:val="none" w:color="auto"/>
                      <w14:textFill>
                        <w14:solidFill>
                          <w14:schemeClr w14:val="tx1"/>
                        </w14:solidFill>
                      </w14:textFill>
                    </w:rPr>
                    <w:t>O</w:t>
                  </w:r>
                </w:p>
              </w:tc>
              <w:tc>
                <w:tcPr>
                  <w:tcW w:w="514" w:type="pct"/>
                  <w:tcBorders>
                    <w:top w:val="single" w:color="auto" w:sz="4" w:space="0"/>
                    <w:left w:val="single" w:color="auto" w:sz="4" w:space="0"/>
                    <w:bottom w:val="single" w:color="auto" w:sz="4" w:space="0"/>
                    <w:right w:val="single" w:color="auto" w:sz="4" w:space="0"/>
                  </w:tcBorders>
                  <w:noWrap w:val="0"/>
                  <w:vAlign w:val="center"/>
                </w:tcPr>
                <w:p w14:paraId="3EBF9A15">
                  <w:pPr>
                    <w:keepNext w:val="0"/>
                    <w:keepLines w:val="0"/>
                    <w:suppressLineNumbers w:val="0"/>
                    <w:spacing w:before="0" w:beforeAutospacing="0" w:after="0" w:afterAutospacing="0"/>
                    <w:ind w:left="0" w:right="0"/>
                    <w:jc w:val="center"/>
                    <w:rPr>
                      <w:rFonts w:hint="eastAsia" w:eastAsia="宋体"/>
                      <w:color w:val="000000" w:themeColor="text1"/>
                      <w:sz w:val="21"/>
                      <w:szCs w:val="21"/>
                      <w:highlight w:val="none"/>
                      <w:u w:val="none" w:color="auto"/>
                      <w:lang w:val="en-US" w:eastAsia="zh-CN"/>
                      <w14:textFill>
                        <w14:solidFill>
                          <w14:schemeClr w14:val="tx1"/>
                        </w14:solidFill>
                      </w14:textFill>
                    </w:rPr>
                  </w:pPr>
                  <w:r>
                    <w:rPr>
                      <w:rFonts w:hint="eastAsia"/>
                      <w:color w:val="000000" w:themeColor="text1"/>
                      <w:sz w:val="21"/>
                      <w:szCs w:val="21"/>
                      <w:highlight w:val="none"/>
                      <w:u w:val="none" w:color="auto"/>
                      <w:lang w:val="en-US" w:eastAsia="zh-CN"/>
                      <w14:textFill>
                        <w14:solidFill>
                          <w14:schemeClr w14:val="tx1"/>
                        </w14:solidFill>
                      </w14:textFill>
                    </w:rPr>
                    <w:t>S</w:t>
                  </w:r>
                </w:p>
              </w:tc>
            </w:tr>
            <w:tr w14:paraId="2319E54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24" w:type="pct"/>
                  <w:tcBorders>
                    <w:top w:val="single" w:color="auto" w:sz="4" w:space="0"/>
                    <w:left w:val="single" w:color="auto" w:sz="4" w:space="0"/>
                    <w:bottom w:val="single" w:color="auto" w:sz="4" w:space="0"/>
                    <w:right w:val="single" w:color="auto" w:sz="4" w:space="0"/>
                  </w:tcBorders>
                  <w:noWrap w:val="0"/>
                  <w:vAlign w:val="center"/>
                </w:tcPr>
                <w:p w14:paraId="630D0C40">
                  <w:pPr>
                    <w:keepNext w:val="0"/>
                    <w:keepLines w:val="0"/>
                    <w:suppressLineNumbers w:val="0"/>
                    <w:spacing w:before="0" w:beforeAutospacing="0" w:after="0" w:afterAutospacing="0"/>
                    <w:ind w:left="0" w:right="0"/>
                    <w:jc w:val="center"/>
                    <w:rPr>
                      <w:rFonts w:hint="default"/>
                      <w:color w:val="000000" w:themeColor="text1"/>
                      <w:sz w:val="21"/>
                      <w:szCs w:val="21"/>
                      <w:highlight w:val="none"/>
                      <w:u w:val="none" w:color="auto"/>
                      <w14:textFill>
                        <w14:solidFill>
                          <w14:schemeClr w14:val="tx1"/>
                        </w14:solidFill>
                      </w14:textFill>
                    </w:rPr>
                  </w:pPr>
                  <w:r>
                    <w:rPr>
                      <w:rFonts w:hint="eastAsia"/>
                      <w:color w:val="000000" w:themeColor="text1"/>
                      <w:sz w:val="21"/>
                      <w:szCs w:val="21"/>
                      <w:highlight w:val="none"/>
                      <w:u w:val="none" w:color="auto"/>
                      <w14:textFill>
                        <w14:solidFill>
                          <w14:schemeClr w14:val="tx1"/>
                        </w14:solidFill>
                      </w14:textFill>
                    </w:rPr>
                    <w:t>含量</w:t>
                  </w:r>
                  <w:r>
                    <w:rPr>
                      <w:rFonts w:hint="default"/>
                      <w:color w:val="000000" w:themeColor="text1"/>
                      <w:sz w:val="21"/>
                      <w:szCs w:val="21"/>
                      <w:highlight w:val="none"/>
                      <w:u w:val="none" w:color="auto"/>
                      <w14:textFill>
                        <w14:solidFill>
                          <w14:schemeClr w14:val="tx1"/>
                        </w14:solidFill>
                      </w14:textFill>
                    </w:rPr>
                    <w:t>%</w:t>
                  </w:r>
                </w:p>
              </w:tc>
              <w:tc>
                <w:tcPr>
                  <w:tcW w:w="529" w:type="pct"/>
                  <w:tcBorders>
                    <w:top w:val="single" w:color="auto" w:sz="4" w:space="0"/>
                    <w:left w:val="single" w:color="auto" w:sz="4" w:space="0"/>
                    <w:bottom w:val="single" w:color="auto" w:sz="4" w:space="0"/>
                    <w:right w:val="single" w:color="auto" w:sz="4" w:space="0"/>
                  </w:tcBorders>
                  <w:noWrap w:val="0"/>
                  <w:vAlign w:val="center"/>
                </w:tcPr>
                <w:p w14:paraId="54A523D1">
                  <w:pPr>
                    <w:keepNext w:val="0"/>
                    <w:keepLines w:val="0"/>
                    <w:suppressLineNumbers w:val="0"/>
                    <w:spacing w:before="0" w:beforeAutospacing="0" w:after="0" w:afterAutospacing="0"/>
                    <w:ind w:left="0" w:right="0"/>
                    <w:jc w:val="center"/>
                    <w:rPr>
                      <w:rFonts w:hint="default"/>
                      <w:color w:val="000000" w:themeColor="text1"/>
                      <w:sz w:val="21"/>
                      <w:szCs w:val="21"/>
                      <w:highlight w:val="none"/>
                      <w:u w:val="none" w:color="auto"/>
                      <w14:textFill>
                        <w14:solidFill>
                          <w14:schemeClr w14:val="tx1"/>
                        </w14:solidFill>
                      </w14:textFill>
                    </w:rPr>
                  </w:pPr>
                  <w:r>
                    <w:rPr>
                      <w:rFonts w:hint="default"/>
                      <w:color w:val="000000" w:themeColor="text1"/>
                      <w:sz w:val="21"/>
                      <w:szCs w:val="21"/>
                      <w:highlight w:val="none"/>
                      <w:u w:val="none" w:color="auto"/>
                      <w14:textFill>
                        <w14:solidFill>
                          <w14:schemeClr w14:val="tx1"/>
                        </w14:solidFill>
                      </w14:textFill>
                    </w:rPr>
                    <w:t>9.317</w:t>
                  </w:r>
                </w:p>
              </w:tc>
              <w:tc>
                <w:tcPr>
                  <w:tcW w:w="526" w:type="pct"/>
                  <w:tcBorders>
                    <w:top w:val="single" w:color="auto" w:sz="4" w:space="0"/>
                    <w:left w:val="single" w:color="auto" w:sz="4" w:space="0"/>
                    <w:bottom w:val="single" w:color="auto" w:sz="4" w:space="0"/>
                    <w:right w:val="single" w:color="auto" w:sz="4" w:space="0"/>
                  </w:tcBorders>
                  <w:noWrap w:val="0"/>
                  <w:vAlign w:val="center"/>
                </w:tcPr>
                <w:p w14:paraId="52332F25">
                  <w:pPr>
                    <w:keepNext w:val="0"/>
                    <w:keepLines w:val="0"/>
                    <w:suppressLineNumbers w:val="0"/>
                    <w:spacing w:before="0" w:beforeAutospacing="0" w:after="0" w:afterAutospacing="0"/>
                    <w:ind w:left="0" w:right="0"/>
                    <w:jc w:val="center"/>
                    <w:rPr>
                      <w:rFonts w:hint="default"/>
                      <w:color w:val="000000" w:themeColor="text1"/>
                      <w:sz w:val="21"/>
                      <w:szCs w:val="21"/>
                      <w:highlight w:val="none"/>
                      <w:u w:val="none" w:color="auto"/>
                      <w14:textFill>
                        <w14:solidFill>
                          <w14:schemeClr w14:val="tx1"/>
                        </w14:solidFill>
                      </w14:textFill>
                    </w:rPr>
                  </w:pPr>
                  <w:r>
                    <w:rPr>
                      <w:rFonts w:hint="default"/>
                      <w:color w:val="000000" w:themeColor="text1"/>
                      <w:sz w:val="21"/>
                      <w:szCs w:val="21"/>
                      <w:highlight w:val="none"/>
                      <w:u w:val="none" w:color="auto"/>
                      <w14:textFill>
                        <w14:solidFill>
                          <w14:schemeClr w14:val="tx1"/>
                        </w14:solidFill>
                      </w14:textFill>
                    </w:rPr>
                    <w:t>0.055</w:t>
                  </w:r>
                </w:p>
              </w:tc>
              <w:tc>
                <w:tcPr>
                  <w:tcW w:w="568" w:type="pct"/>
                  <w:tcBorders>
                    <w:top w:val="single" w:color="auto" w:sz="4" w:space="0"/>
                    <w:left w:val="single" w:color="auto" w:sz="4" w:space="0"/>
                    <w:bottom w:val="single" w:color="auto" w:sz="4" w:space="0"/>
                    <w:right w:val="single" w:color="auto" w:sz="4" w:space="0"/>
                  </w:tcBorders>
                  <w:noWrap w:val="0"/>
                  <w:vAlign w:val="center"/>
                </w:tcPr>
                <w:p w14:paraId="4D7D7430">
                  <w:pPr>
                    <w:keepNext w:val="0"/>
                    <w:keepLines w:val="0"/>
                    <w:suppressLineNumbers w:val="0"/>
                    <w:spacing w:before="0" w:beforeAutospacing="0" w:after="0" w:afterAutospacing="0"/>
                    <w:ind w:left="0" w:right="0"/>
                    <w:jc w:val="center"/>
                    <w:rPr>
                      <w:rFonts w:hint="default"/>
                      <w:color w:val="000000" w:themeColor="text1"/>
                      <w:sz w:val="21"/>
                      <w:szCs w:val="21"/>
                      <w:highlight w:val="none"/>
                      <w:u w:val="none" w:color="auto"/>
                      <w14:textFill>
                        <w14:solidFill>
                          <w14:schemeClr w14:val="tx1"/>
                        </w14:solidFill>
                      </w14:textFill>
                    </w:rPr>
                  </w:pPr>
                  <w:r>
                    <w:rPr>
                      <w:rFonts w:hint="default"/>
                      <w:color w:val="000000" w:themeColor="text1"/>
                      <w:sz w:val="21"/>
                      <w:szCs w:val="21"/>
                      <w:highlight w:val="none"/>
                      <w:u w:val="none" w:color="auto"/>
                      <w14:textFill>
                        <w14:solidFill>
                          <w14:schemeClr w14:val="tx1"/>
                        </w14:solidFill>
                      </w14:textFill>
                    </w:rPr>
                    <w:t>44.68</w:t>
                  </w:r>
                </w:p>
              </w:tc>
              <w:tc>
                <w:tcPr>
                  <w:tcW w:w="589" w:type="pct"/>
                  <w:tcBorders>
                    <w:top w:val="single" w:color="auto" w:sz="4" w:space="0"/>
                    <w:left w:val="single" w:color="auto" w:sz="4" w:space="0"/>
                    <w:bottom w:val="single" w:color="auto" w:sz="4" w:space="0"/>
                    <w:right w:val="single" w:color="auto" w:sz="4" w:space="0"/>
                  </w:tcBorders>
                  <w:noWrap w:val="0"/>
                  <w:vAlign w:val="center"/>
                </w:tcPr>
                <w:p w14:paraId="6244C8EA">
                  <w:pPr>
                    <w:keepNext w:val="0"/>
                    <w:keepLines w:val="0"/>
                    <w:suppressLineNumbers w:val="0"/>
                    <w:spacing w:before="0" w:beforeAutospacing="0" w:after="0" w:afterAutospacing="0"/>
                    <w:ind w:left="0" w:right="0"/>
                    <w:jc w:val="center"/>
                    <w:rPr>
                      <w:rFonts w:hint="default"/>
                      <w:color w:val="000000" w:themeColor="text1"/>
                      <w:sz w:val="21"/>
                      <w:szCs w:val="21"/>
                      <w:highlight w:val="none"/>
                      <w:u w:val="none" w:color="auto"/>
                      <w14:textFill>
                        <w14:solidFill>
                          <w14:schemeClr w14:val="tx1"/>
                        </w14:solidFill>
                      </w14:textFill>
                    </w:rPr>
                  </w:pPr>
                  <w:r>
                    <w:rPr>
                      <w:rFonts w:hint="default"/>
                      <w:color w:val="000000" w:themeColor="text1"/>
                      <w:sz w:val="21"/>
                      <w:szCs w:val="21"/>
                      <w:highlight w:val="none"/>
                      <w:u w:val="none" w:color="auto"/>
                      <w14:textFill>
                        <w14:solidFill>
                          <w14:schemeClr w14:val="tx1"/>
                        </w14:solidFill>
                      </w14:textFill>
                    </w:rPr>
                    <w:t>28.573</w:t>
                  </w:r>
                </w:p>
              </w:tc>
              <w:tc>
                <w:tcPr>
                  <w:tcW w:w="495" w:type="pct"/>
                  <w:tcBorders>
                    <w:top w:val="single" w:color="auto" w:sz="4" w:space="0"/>
                    <w:left w:val="single" w:color="auto" w:sz="4" w:space="0"/>
                    <w:bottom w:val="single" w:color="auto" w:sz="4" w:space="0"/>
                    <w:right w:val="single" w:color="auto" w:sz="4" w:space="0"/>
                  </w:tcBorders>
                  <w:noWrap w:val="0"/>
                  <w:vAlign w:val="center"/>
                </w:tcPr>
                <w:p w14:paraId="2DE17F10">
                  <w:pPr>
                    <w:keepNext w:val="0"/>
                    <w:keepLines w:val="0"/>
                    <w:suppressLineNumbers w:val="0"/>
                    <w:spacing w:before="0" w:beforeAutospacing="0" w:after="0" w:afterAutospacing="0"/>
                    <w:ind w:left="0" w:right="0"/>
                    <w:jc w:val="center"/>
                    <w:rPr>
                      <w:rFonts w:hint="eastAsia" w:eastAsia="宋体"/>
                      <w:color w:val="000000" w:themeColor="text1"/>
                      <w:sz w:val="21"/>
                      <w:szCs w:val="21"/>
                      <w:highlight w:val="none"/>
                      <w:u w:val="none" w:color="auto"/>
                      <w:lang w:eastAsia="zh-CN"/>
                      <w14:textFill>
                        <w14:solidFill>
                          <w14:schemeClr w14:val="tx1"/>
                        </w14:solidFill>
                      </w14:textFill>
                    </w:rPr>
                  </w:pPr>
                  <w:r>
                    <w:rPr>
                      <w:rFonts w:hint="default"/>
                      <w:color w:val="000000" w:themeColor="text1"/>
                      <w:sz w:val="21"/>
                      <w:szCs w:val="21"/>
                      <w:highlight w:val="none"/>
                      <w:u w:val="none" w:color="auto"/>
                      <w14:textFill>
                        <w14:solidFill>
                          <w14:schemeClr w14:val="tx1"/>
                        </w14:solidFill>
                      </w14:textFill>
                    </w:rPr>
                    <w:t>2.2</w:t>
                  </w:r>
                  <w:r>
                    <w:rPr>
                      <w:rFonts w:hint="eastAsia"/>
                      <w:color w:val="000000" w:themeColor="text1"/>
                      <w:sz w:val="21"/>
                      <w:szCs w:val="21"/>
                      <w:highlight w:val="none"/>
                      <w:u w:val="none" w:color="auto"/>
                      <w:lang w:val="en-US" w:eastAsia="zh-CN"/>
                      <w14:textFill>
                        <w14:solidFill>
                          <w14:schemeClr w14:val="tx1"/>
                        </w14:solidFill>
                      </w14:textFill>
                    </w:rPr>
                    <w:t>4</w:t>
                  </w:r>
                </w:p>
              </w:tc>
              <w:tc>
                <w:tcPr>
                  <w:tcW w:w="547" w:type="pct"/>
                  <w:tcBorders>
                    <w:top w:val="single" w:color="auto" w:sz="4" w:space="0"/>
                    <w:left w:val="single" w:color="auto" w:sz="4" w:space="0"/>
                    <w:bottom w:val="single" w:color="auto" w:sz="4" w:space="0"/>
                    <w:right w:val="single" w:color="auto" w:sz="4" w:space="0"/>
                  </w:tcBorders>
                  <w:noWrap w:val="0"/>
                  <w:vAlign w:val="center"/>
                </w:tcPr>
                <w:p w14:paraId="66EB799B">
                  <w:pPr>
                    <w:keepNext w:val="0"/>
                    <w:keepLines w:val="0"/>
                    <w:suppressLineNumbers w:val="0"/>
                    <w:spacing w:before="0" w:beforeAutospacing="0" w:after="0" w:afterAutospacing="0"/>
                    <w:ind w:left="0" w:right="0"/>
                    <w:jc w:val="center"/>
                    <w:rPr>
                      <w:rFonts w:hint="default"/>
                      <w:color w:val="000000" w:themeColor="text1"/>
                      <w:sz w:val="21"/>
                      <w:szCs w:val="21"/>
                      <w:highlight w:val="none"/>
                      <w:u w:val="none" w:color="auto"/>
                      <w14:textFill>
                        <w14:solidFill>
                          <w14:schemeClr w14:val="tx1"/>
                        </w14:solidFill>
                      </w14:textFill>
                    </w:rPr>
                  </w:pPr>
                  <w:r>
                    <w:rPr>
                      <w:rFonts w:hint="default"/>
                      <w:color w:val="000000" w:themeColor="text1"/>
                      <w:sz w:val="21"/>
                      <w:szCs w:val="21"/>
                      <w:highlight w:val="none"/>
                      <w:u w:val="none" w:color="auto"/>
                      <w14:textFill>
                        <w14:solidFill>
                          <w14:schemeClr w14:val="tx1"/>
                        </w14:solidFill>
                      </w14:textFill>
                    </w:rPr>
                    <w:t>14.811</w:t>
                  </w:r>
                </w:p>
              </w:tc>
              <w:tc>
                <w:tcPr>
                  <w:tcW w:w="703" w:type="pct"/>
                  <w:tcBorders>
                    <w:top w:val="single" w:color="auto" w:sz="4" w:space="0"/>
                    <w:left w:val="single" w:color="auto" w:sz="4" w:space="0"/>
                    <w:bottom w:val="single" w:color="auto" w:sz="4" w:space="0"/>
                    <w:right w:val="single" w:color="auto" w:sz="4" w:space="0"/>
                  </w:tcBorders>
                  <w:noWrap w:val="0"/>
                  <w:vAlign w:val="center"/>
                </w:tcPr>
                <w:p w14:paraId="223E7356">
                  <w:pPr>
                    <w:keepNext w:val="0"/>
                    <w:keepLines w:val="0"/>
                    <w:suppressLineNumbers w:val="0"/>
                    <w:spacing w:before="0" w:beforeAutospacing="0" w:after="0" w:afterAutospacing="0"/>
                    <w:ind w:left="0" w:right="0"/>
                    <w:jc w:val="center"/>
                    <w:rPr>
                      <w:rFonts w:hint="default"/>
                      <w:color w:val="000000" w:themeColor="text1"/>
                      <w:sz w:val="21"/>
                      <w:szCs w:val="21"/>
                      <w:highlight w:val="none"/>
                      <w:u w:val="none" w:color="auto"/>
                      <w14:textFill>
                        <w14:solidFill>
                          <w14:schemeClr w14:val="tx1"/>
                        </w14:solidFill>
                      </w14:textFill>
                    </w:rPr>
                  </w:pPr>
                  <w:r>
                    <w:rPr>
                      <w:rFonts w:hint="default"/>
                      <w:color w:val="000000" w:themeColor="text1"/>
                      <w:sz w:val="21"/>
                      <w:szCs w:val="21"/>
                      <w:highlight w:val="none"/>
                      <w:u w:val="none" w:color="auto"/>
                      <w14:textFill>
                        <w14:solidFill>
                          <w14:schemeClr w14:val="tx1"/>
                        </w14:solidFill>
                      </w14:textFill>
                    </w:rPr>
                    <w:t>0.314</w:t>
                  </w:r>
                </w:p>
              </w:tc>
              <w:tc>
                <w:tcPr>
                  <w:tcW w:w="514" w:type="pct"/>
                  <w:tcBorders>
                    <w:top w:val="single" w:color="auto" w:sz="4" w:space="0"/>
                    <w:left w:val="single" w:color="auto" w:sz="4" w:space="0"/>
                    <w:bottom w:val="single" w:color="auto" w:sz="4" w:space="0"/>
                    <w:right w:val="single" w:color="auto" w:sz="4" w:space="0"/>
                  </w:tcBorders>
                  <w:noWrap w:val="0"/>
                  <w:vAlign w:val="center"/>
                </w:tcPr>
                <w:p w14:paraId="5EB29E50">
                  <w:pPr>
                    <w:keepNext w:val="0"/>
                    <w:keepLines w:val="0"/>
                    <w:suppressLineNumbers w:val="0"/>
                    <w:spacing w:before="0" w:beforeAutospacing="0" w:after="0" w:afterAutospacing="0"/>
                    <w:ind w:left="0" w:right="0"/>
                    <w:jc w:val="center"/>
                    <w:rPr>
                      <w:rFonts w:hint="default" w:eastAsia="宋体"/>
                      <w:color w:val="000000" w:themeColor="text1"/>
                      <w:sz w:val="21"/>
                      <w:szCs w:val="21"/>
                      <w:highlight w:val="none"/>
                      <w:u w:val="none" w:color="auto"/>
                      <w:lang w:val="en-US" w:eastAsia="zh-CN"/>
                      <w14:textFill>
                        <w14:solidFill>
                          <w14:schemeClr w14:val="tx1"/>
                        </w14:solidFill>
                      </w14:textFill>
                    </w:rPr>
                  </w:pPr>
                  <w:r>
                    <w:rPr>
                      <w:rFonts w:hint="eastAsia"/>
                      <w:color w:val="000000" w:themeColor="text1"/>
                      <w:sz w:val="21"/>
                      <w:szCs w:val="21"/>
                      <w:highlight w:val="none"/>
                      <w:u w:val="none" w:color="auto"/>
                      <w:lang w:val="en-US" w:eastAsia="zh-CN"/>
                      <w14:textFill>
                        <w14:solidFill>
                          <w14:schemeClr w14:val="tx1"/>
                        </w14:solidFill>
                      </w14:textFill>
                    </w:rPr>
                    <w:t>0.01</w:t>
                  </w:r>
                </w:p>
              </w:tc>
            </w:tr>
          </w:tbl>
          <w:p w14:paraId="2AE28E1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color w:val="000000" w:themeColor="text1"/>
                <w:sz w:val="24"/>
                <w:szCs w:val="24"/>
                <w:highlight w:val="none"/>
                <w:u w:val="none" w:color="auto"/>
                <w:lang w:val="en-US" w:eastAsia="zh-CN"/>
                <w14:textFill>
                  <w14:solidFill>
                    <w14:schemeClr w14:val="tx1"/>
                  </w14:solidFill>
                </w14:textFill>
              </w:rPr>
            </w:pPr>
            <w:r>
              <w:rPr>
                <w:rFonts w:hint="eastAsia"/>
                <w:color w:val="000000" w:themeColor="text1"/>
                <w:sz w:val="24"/>
                <w:szCs w:val="24"/>
                <w:highlight w:val="none"/>
                <w:u w:val="none" w:color="auto"/>
                <w:lang w:val="en-US" w:eastAsia="zh-CN"/>
                <w14:textFill>
                  <w14:solidFill>
                    <w14:schemeClr w14:val="tx1"/>
                  </w14:solidFill>
                </w14:textFill>
              </w:rPr>
              <w:t>木煤气平衡图详见下图。</w:t>
            </w:r>
          </w:p>
          <w:tbl>
            <w:tblPr>
              <w:tblStyle w:val="30"/>
              <w:tblW w:w="0" w:type="auto"/>
              <w:tblInd w:w="5"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257"/>
            </w:tblGrid>
            <w:tr w14:paraId="6D4B69B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454" w:hRule="atLeast"/>
              </w:trPr>
              <w:tc>
                <w:tcPr>
                  <w:tcW w:w="9257" w:type="dxa"/>
                  <w:vAlign w:val="center"/>
                </w:tcPr>
                <w:p w14:paraId="50F7277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right="0"/>
                    <w:jc w:val="center"/>
                    <w:textAlignment w:val="auto"/>
                    <w:rPr>
                      <w:rFonts w:hint="eastAsia"/>
                      <w:color w:val="000000" w:themeColor="text1"/>
                      <w:sz w:val="21"/>
                      <w:szCs w:val="21"/>
                      <w:highlight w:val="none"/>
                      <w:u w:val="none" w:color="auto"/>
                      <w:vertAlign w:val="baseline"/>
                      <w:lang w:val="en-US" w:eastAsia="zh-CN"/>
                      <w14:textFill>
                        <w14:solidFill>
                          <w14:schemeClr w14:val="tx1"/>
                        </w14:solidFill>
                      </w14:textFill>
                    </w:rPr>
                  </w:pPr>
                  <w:r>
                    <w:rPr>
                      <w:highlight w:val="none"/>
                      <w:u w:val="none" w:color="auto"/>
                    </w:rPr>
                    <w:drawing>
                      <wp:inline distT="0" distB="0" distL="114300" distR="114300">
                        <wp:extent cx="3378835" cy="1824355"/>
                        <wp:effectExtent l="0" t="0" r="12065" b="4445"/>
                        <wp:docPr id="1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3"/>
                                <pic:cNvPicPr>
                                  <a:picLocks noChangeAspect="1"/>
                                </pic:cNvPicPr>
                              </pic:nvPicPr>
                              <pic:blipFill>
                                <a:blip r:embed="rId10"/>
                                <a:stretch>
                                  <a:fillRect/>
                                </a:stretch>
                              </pic:blipFill>
                              <pic:spPr>
                                <a:xfrm>
                                  <a:off x="0" y="0"/>
                                  <a:ext cx="3378835" cy="1824355"/>
                                </a:xfrm>
                                <a:prstGeom prst="rect">
                                  <a:avLst/>
                                </a:prstGeom>
                                <a:noFill/>
                                <a:ln>
                                  <a:noFill/>
                                </a:ln>
                              </pic:spPr>
                            </pic:pic>
                          </a:graphicData>
                        </a:graphic>
                      </wp:inline>
                    </w:drawing>
                  </w:r>
                </w:p>
              </w:tc>
            </w:tr>
            <w:tr w14:paraId="27AAE98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454" w:hRule="atLeast"/>
              </w:trPr>
              <w:tc>
                <w:tcPr>
                  <w:tcW w:w="9257" w:type="dxa"/>
                  <w:vAlign w:val="center"/>
                </w:tcPr>
                <w:p w14:paraId="2DE913A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right="0"/>
                    <w:jc w:val="center"/>
                    <w:textAlignment w:val="auto"/>
                    <w:rPr>
                      <w:rFonts w:hint="eastAsia"/>
                      <w:color w:val="000000" w:themeColor="text1"/>
                      <w:sz w:val="21"/>
                      <w:szCs w:val="21"/>
                      <w:highlight w:val="none"/>
                      <w:u w:val="none" w:color="auto"/>
                      <w:vertAlign w:val="baseline"/>
                      <w:lang w:val="en-US" w:eastAsia="zh-CN"/>
                      <w14:textFill>
                        <w14:solidFill>
                          <w14:schemeClr w14:val="tx1"/>
                        </w14:solidFill>
                      </w14:textFill>
                    </w:rPr>
                  </w:pPr>
                  <w:r>
                    <w:rPr>
                      <w:rFonts w:hint="eastAsia"/>
                      <w:b/>
                      <w:bCs/>
                      <w:sz w:val="24"/>
                      <w:szCs w:val="24"/>
                      <w:highlight w:val="none"/>
                      <w:u w:val="none" w:color="auto"/>
                    </w:rPr>
                    <w:t>图2-</w:t>
                  </w:r>
                  <w:r>
                    <w:rPr>
                      <w:rFonts w:hint="eastAsia"/>
                      <w:b/>
                      <w:bCs/>
                      <w:sz w:val="24"/>
                      <w:szCs w:val="24"/>
                      <w:highlight w:val="none"/>
                      <w:u w:val="none" w:color="auto"/>
                      <w:lang w:val="en-US" w:eastAsia="zh-CN"/>
                    </w:rPr>
                    <w:t xml:space="preserve">2 </w:t>
                  </w:r>
                  <w:r>
                    <w:rPr>
                      <w:rFonts w:hint="default"/>
                      <w:b/>
                      <w:bCs/>
                      <w:sz w:val="24"/>
                      <w:szCs w:val="24"/>
                      <w:highlight w:val="none"/>
                      <w:u w:val="none" w:color="auto"/>
                    </w:rPr>
                    <w:t xml:space="preserve"> </w:t>
                  </w:r>
                  <w:r>
                    <w:rPr>
                      <w:rFonts w:hint="eastAsia"/>
                      <w:b/>
                      <w:bCs/>
                      <w:sz w:val="24"/>
                      <w:szCs w:val="24"/>
                      <w:highlight w:val="none"/>
                      <w:u w:val="none" w:color="auto"/>
                    </w:rPr>
                    <w:t>木煤气平衡图（</w:t>
                  </w:r>
                  <w:r>
                    <w:rPr>
                      <w:rFonts w:hint="eastAsia"/>
                      <w:kern w:val="0"/>
                      <w:sz w:val="24"/>
                      <w:szCs w:val="24"/>
                      <w:highlight w:val="none"/>
                      <w:u w:val="none" w:color="auto"/>
                    </w:rPr>
                    <w:t>×</w:t>
                  </w:r>
                  <w:r>
                    <w:rPr>
                      <w:rFonts w:hint="default"/>
                      <w:kern w:val="0"/>
                      <w:sz w:val="24"/>
                      <w:szCs w:val="24"/>
                      <w:highlight w:val="none"/>
                      <w:u w:val="none" w:color="auto"/>
                    </w:rPr>
                    <w:t>10</w:t>
                  </w:r>
                  <w:r>
                    <w:rPr>
                      <w:rFonts w:hint="eastAsia"/>
                      <w:kern w:val="0"/>
                      <w:sz w:val="24"/>
                      <w:szCs w:val="24"/>
                      <w:highlight w:val="none"/>
                      <w:u w:val="none" w:color="auto"/>
                      <w:vertAlign w:val="superscript"/>
                      <w:lang w:val="en-US" w:eastAsia="zh-CN"/>
                    </w:rPr>
                    <w:t>6</w:t>
                  </w:r>
                  <w:r>
                    <w:rPr>
                      <w:rFonts w:hint="default"/>
                      <w:kern w:val="0"/>
                      <w:sz w:val="24"/>
                      <w:szCs w:val="24"/>
                      <w:highlight w:val="none"/>
                      <w:u w:val="none" w:color="auto"/>
                    </w:rPr>
                    <w:t>Nm</w:t>
                  </w:r>
                  <w:r>
                    <w:rPr>
                      <w:rFonts w:hint="default"/>
                      <w:kern w:val="0"/>
                      <w:sz w:val="24"/>
                      <w:szCs w:val="24"/>
                      <w:highlight w:val="none"/>
                      <w:u w:val="none" w:color="auto"/>
                      <w:vertAlign w:val="superscript"/>
                    </w:rPr>
                    <w:t>3</w:t>
                  </w:r>
                  <w:r>
                    <w:rPr>
                      <w:rFonts w:hint="default"/>
                      <w:kern w:val="0"/>
                      <w:sz w:val="24"/>
                      <w:szCs w:val="24"/>
                      <w:highlight w:val="none"/>
                      <w:u w:val="none" w:color="auto"/>
                    </w:rPr>
                    <w:t>/a</w:t>
                  </w:r>
                  <w:r>
                    <w:rPr>
                      <w:rFonts w:hint="eastAsia"/>
                      <w:b/>
                      <w:bCs/>
                      <w:sz w:val="24"/>
                      <w:szCs w:val="24"/>
                      <w:highlight w:val="none"/>
                      <w:u w:val="none" w:color="auto"/>
                    </w:rPr>
                    <w:t>）</w:t>
                  </w:r>
                </w:p>
              </w:tc>
            </w:tr>
          </w:tbl>
          <w:p w14:paraId="5FB3E1E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sz w:val="24"/>
                <w:szCs w:val="24"/>
                <w:highlight w:val="none"/>
                <w:u w:val="none"/>
                <w:lang w:val="en-US" w:eastAsia="zh-CN"/>
              </w:rPr>
            </w:pPr>
            <w:r>
              <w:rPr>
                <w:rFonts w:hint="eastAsia"/>
                <w:sz w:val="24"/>
                <w:szCs w:val="24"/>
                <w:highlight w:val="none"/>
                <w:u w:val="none"/>
                <w:lang w:val="en-US" w:eastAsia="zh-CN"/>
              </w:rPr>
              <w:t>（2）热量平衡</w:t>
            </w:r>
          </w:p>
          <w:p w14:paraId="120CC6E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sz w:val="24"/>
                <w:szCs w:val="24"/>
                <w:highlight w:val="none"/>
                <w:u w:val="single"/>
                <w:lang w:val="en-US" w:eastAsia="zh-CN"/>
              </w:rPr>
            </w:pPr>
            <w:r>
              <w:rPr>
                <w:rFonts w:hint="eastAsia"/>
                <w:sz w:val="24"/>
                <w:szCs w:val="24"/>
                <w:highlight w:val="none"/>
                <w:u w:val="none"/>
                <w:lang w:val="en-US" w:eastAsia="zh-CN"/>
              </w:rPr>
              <w:t>本项目机制炭生产线热量平衡图如下：</w:t>
            </w:r>
          </w:p>
          <w:tbl>
            <w:tblPr>
              <w:tblStyle w:val="30"/>
              <w:tblW w:w="0" w:type="auto"/>
              <w:tblInd w:w="5"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257"/>
            </w:tblGrid>
            <w:tr w14:paraId="69BB338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454" w:hRule="atLeast"/>
              </w:trPr>
              <w:tc>
                <w:tcPr>
                  <w:tcW w:w="9257" w:type="dxa"/>
                  <w:vAlign w:val="center"/>
                </w:tcPr>
                <w:p w14:paraId="7E42F30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right="0"/>
                    <w:jc w:val="center"/>
                    <w:textAlignment w:val="auto"/>
                    <w:rPr>
                      <w:rFonts w:hint="default"/>
                      <w:sz w:val="21"/>
                      <w:szCs w:val="21"/>
                      <w:u w:val="none"/>
                      <w:vertAlign w:val="baseline"/>
                      <w:lang w:val="en-US" w:eastAsia="zh-CN"/>
                    </w:rPr>
                  </w:pPr>
                  <w:r>
                    <w:drawing>
                      <wp:inline distT="0" distB="0" distL="114300" distR="114300">
                        <wp:extent cx="5354320" cy="2599055"/>
                        <wp:effectExtent l="0" t="0" r="17780" b="10795"/>
                        <wp:docPr id="1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2"/>
                                <pic:cNvPicPr>
                                  <a:picLocks noChangeAspect="1"/>
                                </pic:cNvPicPr>
                              </pic:nvPicPr>
                              <pic:blipFill>
                                <a:blip r:embed="rId11"/>
                                <a:stretch>
                                  <a:fillRect/>
                                </a:stretch>
                              </pic:blipFill>
                              <pic:spPr>
                                <a:xfrm>
                                  <a:off x="0" y="0"/>
                                  <a:ext cx="5354320" cy="2599055"/>
                                </a:xfrm>
                                <a:prstGeom prst="rect">
                                  <a:avLst/>
                                </a:prstGeom>
                                <a:noFill/>
                                <a:ln>
                                  <a:noFill/>
                                </a:ln>
                              </pic:spPr>
                            </pic:pic>
                          </a:graphicData>
                        </a:graphic>
                      </wp:inline>
                    </w:drawing>
                  </w:r>
                </w:p>
              </w:tc>
            </w:tr>
            <w:tr w14:paraId="3A28C60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454" w:hRule="atLeast"/>
              </w:trPr>
              <w:tc>
                <w:tcPr>
                  <w:tcW w:w="9257" w:type="dxa"/>
                  <w:vAlign w:val="center"/>
                </w:tcPr>
                <w:p w14:paraId="7118775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right="0"/>
                    <w:jc w:val="center"/>
                    <w:textAlignment w:val="auto"/>
                    <w:rPr>
                      <w:rFonts w:hint="default"/>
                      <w:sz w:val="21"/>
                      <w:szCs w:val="21"/>
                      <w:u w:val="none"/>
                      <w:vertAlign w:val="baseline"/>
                      <w:lang w:val="en-US" w:eastAsia="zh-CN"/>
                    </w:rPr>
                  </w:pPr>
                  <w:r>
                    <w:rPr>
                      <w:rFonts w:hint="eastAsia"/>
                      <w:b/>
                      <w:bCs/>
                      <w:sz w:val="24"/>
                      <w:szCs w:val="24"/>
                      <w:u w:val="none"/>
                    </w:rPr>
                    <w:t>图2-</w:t>
                  </w:r>
                  <w:r>
                    <w:rPr>
                      <w:rFonts w:hint="eastAsia"/>
                      <w:b/>
                      <w:bCs/>
                      <w:sz w:val="24"/>
                      <w:szCs w:val="24"/>
                      <w:u w:val="none"/>
                      <w:lang w:val="en-US" w:eastAsia="zh-CN"/>
                    </w:rPr>
                    <w:t>3</w:t>
                  </w:r>
                  <w:r>
                    <w:rPr>
                      <w:rFonts w:hint="default"/>
                      <w:b/>
                      <w:bCs/>
                      <w:sz w:val="24"/>
                      <w:szCs w:val="24"/>
                      <w:u w:val="none"/>
                    </w:rPr>
                    <w:t xml:space="preserve">  </w:t>
                  </w:r>
                  <w:r>
                    <w:rPr>
                      <w:rFonts w:hint="eastAsia"/>
                      <w:b/>
                      <w:bCs/>
                      <w:sz w:val="24"/>
                      <w:szCs w:val="24"/>
                      <w:u w:val="none"/>
                    </w:rPr>
                    <w:t>热平衡图（</w:t>
                  </w:r>
                  <w:r>
                    <w:rPr>
                      <w:rFonts w:hint="eastAsia"/>
                      <w:kern w:val="0"/>
                      <w:sz w:val="24"/>
                      <w:szCs w:val="24"/>
                      <w:u w:val="none"/>
                    </w:rPr>
                    <w:t>×</w:t>
                  </w:r>
                  <w:r>
                    <w:rPr>
                      <w:rFonts w:hint="default"/>
                      <w:kern w:val="0"/>
                      <w:sz w:val="24"/>
                      <w:szCs w:val="24"/>
                      <w:u w:val="none"/>
                    </w:rPr>
                    <w:t>10</w:t>
                  </w:r>
                  <w:r>
                    <w:rPr>
                      <w:rFonts w:hint="eastAsia"/>
                      <w:kern w:val="0"/>
                      <w:sz w:val="24"/>
                      <w:szCs w:val="24"/>
                      <w:u w:val="none"/>
                      <w:vertAlign w:val="superscript"/>
                      <w:lang w:val="en-US" w:eastAsia="zh-CN"/>
                    </w:rPr>
                    <w:t>7</w:t>
                  </w:r>
                  <w:r>
                    <w:rPr>
                      <w:rFonts w:hint="default"/>
                      <w:kern w:val="0"/>
                      <w:sz w:val="24"/>
                      <w:szCs w:val="24"/>
                      <w:u w:val="none"/>
                    </w:rPr>
                    <w:t>kcal/a</w:t>
                  </w:r>
                  <w:r>
                    <w:rPr>
                      <w:rFonts w:hint="eastAsia"/>
                      <w:b/>
                      <w:bCs/>
                      <w:sz w:val="24"/>
                      <w:szCs w:val="24"/>
                      <w:u w:val="none"/>
                    </w:rPr>
                    <w:t>）</w:t>
                  </w:r>
                </w:p>
              </w:tc>
            </w:tr>
          </w:tbl>
          <w:p w14:paraId="5EF0F691">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rightChars="0" w:firstLine="480" w:firstLineChars="200"/>
              <w:jc w:val="both"/>
              <w:textAlignment w:val="auto"/>
              <w:rPr>
                <w:rFonts w:hint="default" w:eastAsia="宋体"/>
                <w:bCs/>
                <w:color w:val="000000" w:themeColor="text1"/>
                <w:sz w:val="24"/>
                <w:szCs w:val="24"/>
                <w:u w:val="none"/>
                <w:lang w:val="en-US" w:eastAsia="zh-CN"/>
                <w14:textFill>
                  <w14:solidFill>
                    <w14:schemeClr w14:val="tx1"/>
                  </w14:solidFill>
                </w14:textFill>
              </w:rPr>
            </w:pPr>
            <w:r>
              <w:rPr>
                <w:rFonts w:hint="eastAsia"/>
                <w:bCs/>
                <w:color w:val="000000" w:themeColor="text1"/>
                <w:sz w:val="24"/>
                <w:szCs w:val="24"/>
                <w:u w:val="none"/>
                <w14:textFill>
                  <w14:solidFill>
                    <w14:schemeClr w14:val="tx1"/>
                  </w14:solidFill>
                </w14:textFill>
              </w:rPr>
              <w:t>本项目原材料含水率2</w:t>
            </w:r>
            <w:r>
              <w:rPr>
                <w:rFonts w:hint="eastAsia"/>
                <w:bCs/>
                <w:color w:val="000000" w:themeColor="text1"/>
                <w:sz w:val="24"/>
                <w:szCs w:val="24"/>
                <w:u w:val="none"/>
                <w:lang w:val="en-US" w:eastAsia="zh-CN"/>
                <w14:textFill>
                  <w14:solidFill>
                    <w14:schemeClr w14:val="tx1"/>
                  </w14:solidFill>
                </w14:textFill>
              </w:rPr>
              <w:t>5</w:t>
            </w:r>
            <w:r>
              <w:rPr>
                <w:rFonts w:hint="eastAsia"/>
                <w:bCs/>
                <w:color w:val="000000" w:themeColor="text1"/>
                <w:sz w:val="24"/>
                <w:szCs w:val="24"/>
                <w:u w:val="none"/>
                <w14:textFill>
                  <w14:solidFill>
                    <w14:schemeClr w14:val="tx1"/>
                  </w14:solidFill>
                </w14:textFill>
              </w:rPr>
              <w:t>%，工艺要求原料含水率</w:t>
            </w:r>
            <w:r>
              <w:rPr>
                <w:rFonts w:hint="eastAsia"/>
                <w:bCs/>
                <w:color w:val="000000" w:themeColor="text1"/>
                <w:sz w:val="24"/>
                <w:szCs w:val="24"/>
                <w:u w:val="none"/>
                <w:lang w:val="en-US" w:eastAsia="zh-CN"/>
                <w14:textFill>
                  <w14:solidFill>
                    <w14:schemeClr w14:val="tx1"/>
                  </w14:solidFill>
                </w14:textFill>
              </w:rPr>
              <w:t>10</w:t>
            </w:r>
            <w:r>
              <w:rPr>
                <w:rFonts w:hint="eastAsia"/>
                <w:bCs/>
                <w:color w:val="000000" w:themeColor="text1"/>
                <w:sz w:val="24"/>
                <w:szCs w:val="24"/>
                <w:u w:val="none"/>
                <w14:textFill>
                  <w14:solidFill>
                    <w14:schemeClr w14:val="tx1"/>
                  </w14:solidFill>
                </w14:textFill>
              </w:rPr>
              <w:t>%，故需烘干的水分约</w:t>
            </w:r>
            <w:r>
              <w:rPr>
                <w:rFonts w:hint="eastAsia"/>
                <w:bCs/>
                <w:color w:val="000000" w:themeColor="text1"/>
                <w:sz w:val="24"/>
                <w:szCs w:val="24"/>
                <w:u w:val="none"/>
                <w:lang w:val="en-US" w:eastAsia="zh-CN"/>
                <w14:textFill>
                  <w14:solidFill>
                    <w14:schemeClr w14:val="tx1"/>
                  </w14:solidFill>
                </w14:textFill>
              </w:rPr>
              <w:t>1900.83</w:t>
            </w:r>
            <w:r>
              <w:rPr>
                <w:rFonts w:hint="eastAsia"/>
                <w:bCs/>
                <w:color w:val="000000" w:themeColor="text1"/>
                <w:sz w:val="24"/>
                <w:szCs w:val="24"/>
                <w:u w:val="none"/>
                <w14:textFill>
                  <w14:solidFill>
                    <w14:schemeClr w14:val="tx1"/>
                  </w14:solidFill>
                </w14:textFill>
              </w:rPr>
              <w:t>t，本项目取烘干每</w:t>
            </w:r>
            <w:r>
              <w:rPr>
                <w:rFonts w:hint="eastAsia"/>
                <w:bCs/>
                <w:color w:val="000000" w:themeColor="text1"/>
                <w:sz w:val="24"/>
                <w:szCs w:val="24"/>
                <w:u w:val="none"/>
                <w:lang w:val="en-US" w:eastAsia="zh-CN"/>
                <w14:textFill>
                  <w14:solidFill>
                    <w14:schemeClr w14:val="tx1"/>
                  </w14:solidFill>
                </w14:textFill>
              </w:rPr>
              <w:t>千克</w:t>
            </w:r>
            <w:r>
              <w:rPr>
                <w:rFonts w:hint="eastAsia"/>
                <w:bCs/>
                <w:color w:val="000000" w:themeColor="text1"/>
                <w:sz w:val="24"/>
                <w:szCs w:val="24"/>
                <w:u w:val="none"/>
                <w14:textFill>
                  <w14:solidFill>
                    <w14:schemeClr w14:val="tx1"/>
                  </w14:solidFill>
                </w14:textFill>
              </w:rPr>
              <w:t>水约消耗</w:t>
            </w:r>
            <w:r>
              <w:rPr>
                <w:rFonts w:hint="eastAsia"/>
                <w:bCs/>
                <w:color w:val="000000" w:themeColor="text1"/>
                <w:sz w:val="24"/>
                <w:szCs w:val="24"/>
                <w:u w:val="none"/>
                <w:lang w:val="en-US" w:eastAsia="zh-CN"/>
                <w14:textFill>
                  <w14:solidFill>
                    <w14:schemeClr w14:val="tx1"/>
                  </w14:solidFill>
                </w14:textFill>
              </w:rPr>
              <w:t>539</w:t>
            </w:r>
            <w:r>
              <w:rPr>
                <w:rFonts w:hint="eastAsia"/>
                <w:bCs/>
                <w:color w:val="000000" w:themeColor="text1"/>
                <w:sz w:val="24"/>
                <w:szCs w:val="24"/>
                <w:u w:val="none"/>
                <w14:textFill>
                  <w14:solidFill>
                    <w14:schemeClr w14:val="tx1"/>
                  </w14:solidFill>
                </w14:textFill>
              </w:rPr>
              <w:t>kcal进行计算，则烘干所需要的热量值约为</w:t>
            </w:r>
            <w:r>
              <w:rPr>
                <w:rFonts w:hint="eastAsia"/>
                <w:bCs/>
                <w:color w:val="000000" w:themeColor="text1"/>
                <w:sz w:val="24"/>
                <w:szCs w:val="24"/>
                <w:u w:val="none"/>
                <w:lang w:val="en-US" w:eastAsia="zh-CN"/>
                <w14:textFill>
                  <w14:solidFill>
                    <w14:schemeClr w14:val="tx1"/>
                  </w14:solidFill>
                </w14:textFill>
              </w:rPr>
              <w:t>1.02</w:t>
            </w:r>
            <w:r>
              <w:rPr>
                <w:rFonts w:hint="eastAsia"/>
                <w:color w:val="000000" w:themeColor="text1"/>
                <w:kern w:val="0"/>
                <w:sz w:val="24"/>
                <w:szCs w:val="24"/>
                <w:u w:val="none"/>
                <w14:textFill>
                  <w14:solidFill>
                    <w14:schemeClr w14:val="tx1"/>
                  </w14:solidFill>
                </w14:textFill>
              </w:rPr>
              <w:t>×</w:t>
            </w:r>
            <w:r>
              <w:rPr>
                <w:rFonts w:hint="default"/>
                <w:color w:val="000000" w:themeColor="text1"/>
                <w:kern w:val="0"/>
                <w:sz w:val="24"/>
                <w:szCs w:val="24"/>
                <w:u w:val="none"/>
                <w14:textFill>
                  <w14:solidFill>
                    <w14:schemeClr w14:val="tx1"/>
                  </w14:solidFill>
                </w14:textFill>
              </w:rPr>
              <w:t>10</w:t>
            </w:r>
            <w:r>
              <w:rPr>
                <w:rFonts w:hint="eastAsia"/>
                <w:color w:val="000000" w:themeColor="text1"/>
                <w:kern w:val="0"/>
                <w:sz w:val="24"/>
                <w:szCs w:val="24"/>
                <w:u w:val="none"/>
                <w:vertAlign w:val="superscript"/>
                <w:lang w:val="en-US" w:eastAsia="zh-CN"/>
                <w14:textFill>
                  <w14:solidFill>
                    <w14:schemeClr w14:val="tx1"/>
                  </w14:solidFill>
                </w14:textFill>
              </w:rPr>
              <w:t>9</w:t>
            </w:r>
            <w:r>
              <w:rPr>
                <w:rFonts w:hint="default"/>
                <w:color w:val="000000" w:themeColor="text1"/>
                <w:kern w:val="0"/>
                <w:sz w:val="24"/>
                <w:szCs w:val="24"/>
                <w:u w:val="none"/>
                <w14:textFill>
                  <w14:solidFill>
                    <w14:schemeClr w14:val="tx1"/>
                  </w14:solidFill>
                </w14:textFill>
              </w:rPr>
              <w:t>kcal</w:t>
            </w:r>
            <w:r>
              <w:rPr>
                <w:rFonts w:hint="eastAsia"/>
                <w:bCs/>
                <w:color w:val="000000" w:themeColor="text1"/>
                <w:sz w:val="24"/>
                <w:szCs w:val="24"/>
                <w:u w:val="none"/>
                <w14:textFill>
                  <w14:solidFill>
                    <w14:schemeClr w14:val="tx1"/>
                  </w14:solidFill>
                </w14:textFill>
              </w:rPr>
              <w:t>。</w:t>
            </w:r>
            <w:r>
              <w:rPr>
                <w:rFonts w:hint="eastAsia"/>
                <w:bCs/>
                <w:color w:val="000000" w:themeColor="text1"/>
                <w:sz w:val="24"/>
                <w:szCs w:val="24"/>
                <w:u w:val="none"/>
                <w:lang w:val="en-US" w:eastAsia="zh-CN"/>
                <w14:textFill>
                  <w14:solidFill>
                    <w14:schemeClr w14:val="tx1"/>
                  </w14:solidFill>
                </w14:textFill>
              </w:rPr>
              <w:t>在木煤气储存柜无木煤气储存时，烘干工序采用电源产生热源进行烘干，根据建设单位提供资料，此段时间所需电能约为12000kWh，热量为860kcal/kWh，则此段时间内热量为1.03</w:t>
            </w:r>
            <w:r>
              <w:rPr>
                <w:rFonts w:hint="eastAsia"/>
                <w:color w:val="000000" w:themeColor="text1"/>
                <w:kern w:val="0"/>
                <w:sz w:val="24"/>
                <w:szCs w:val="24"/>
                <w:u w:val="none"/>
                <w14:textFill>
                  <w14:solidFill>
                    <w14:schemeClr w14:val="tx1"/>
                  </w14:solidFill>
                </w14:textFill>
              </w:rPr>
              <w:t>×</w:t>
            </w:r>
            <w:r>
              <w:rPr>
                <w:rFonts w:hint="default"/>
                <w:color w:val="000000" w:themeColor="text1"/>
                <w:kern w:val="0"/>
                <w:sz w:val="24"/>
                <w:szCs w:val="24"/>
                <w:u w:val="none"/>
                <w14:textFill>
                  <w14:solidFill>
                    <w14:schemeClr w14:val="tx1"/>
                  </w14:solidFill>
                </w14:textFill>
              </w:rPr>
              <w:t>10</w:t>
            </w:r>
            <w:r>
              <w:rPr>
                <w:rFonts w:hint="eastAsia"/>
                <w:color w:val="000000" w:themeColor="text1"/>
                <w:kern w:val="0"/>
                <w:sz w:val="24"/>
                <w:szCs w:val="24"/>
                <w:u w:val="none"/>
                <w:vertAlign w:val="superscript"/>
                <w:lang w:val="en-US" w:eastAsia="zh-CN"/>
                <w14:textFill>
                  <w14:solidFill>
                    <w14:schemeClr w14:val="tx1"/>
                  </w14:solidFill>
                </w14:textFill>
              </w:rPr>
              <w:t>7</w:t>
            </w:r>
            <w:r>
              <w:rPr>
                <w:rFonts w:hint="default"/>
                <w:color w:val="000000" w:themeColor="text1"/>
                <w:kern w:val="0"/>
                <w:sz w:val="24"/>
                <w:szCs w:val="24"/>
                <w:u w:val="none"/>
                <w14:textFill>
                  <w14:solidFill>
                    <w14:schemeClr w14:val="tx1"/>
                  </w14:solidFill>
                </w14:textFill>
              </w:rPr>
              <w:t>kcal</w:t>
            </w:r>
            <w:r>
              <w:rPr>
                <w:rFonts w:hint="eastAsia"/>
                <w:color w:val="000000" w:themeColor="text1"/>
                <w:kern w:val="0"/>
                <w:sz w:val="24"/>
                <w:szCs w:val="24"/>
                <w:u w:val="none"/>
                <w:lang w:eastAsia="zh-CN"/>
                <w14:textFill>
                  <w14:solidFill>
                    <w14:schemeClr w14:val="tx1"/>
                  </w14:solidFill>
                </w14:textFill>
              </w:rPr>
              <w:t>。</w:t>
            </w:r>
          </w:p>
          <w:p w14:paraId="286AE04D">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rightChars="0" w:firstLine="480" w:firstLineChars="200"/>
              <w:jc w:val="both"/>
              <w:textAlignment w:val="auto"/>
              <w:rPr>
                <w:rFonts w:hint="eastAsia"/>
                <w:color w:val="000000" w:themeColor="text1"/>
                <w:kern w:val="0"/>
                <w:sz w:val="24"/>
                <w:szCs w:val="24"/>
                <w:u w:val="none"/>
                <w:lang w:eastAsia="zh-CN"/>
                <w14:textFill>
                  <w14:solidFill>
                    <w14:schemeClr w14:val="tx1"/>
                  </w14:solidFill>
                </w14:textFill>
              </w:rPr>
            </w:pPr>
            <w:r>
              <w:rPr>
                <w:rFonts w:hint="eastAsia"/>
                <w:bCs/>
                <w:color w:val="000000" w:themeColor="text1"/>
                <w:sz w:val="24"/>
                <w:szCs w:val="24"/>
                <w:u w:val="none"/>
                <w:lang w:val="en-US" w:eastAsia="zh-CN"/>
                <w14:textFill>
                  <w14:solidFill>
                    <w14:schemeClr w14:val="tx1"/>
                  </w14:solidFill>
                </w14:textFill>
              </w:rPr>
              <w:t>根据建设单位提供资料，在生产线开工储气柜无木煤气储存时，此段时间</w:t>
            </w:r>
            <w:r>
              <w:rPr>
                <w:rFonts w:hint="eastAsia"/>
                <w:color w:val="000000" w:themeColor="text1"/>
                <w:kern w:val="0"/>
                <w:sz w:val="24"/>
                <w:szCs w:val="24"/>
                <w:highlight w:val="none"/>
                <w:u w:val="none"/>
                <w:lang w:val="en-US" w:eastAsia="zh-CN"/>
                <w14:textFill>
                  <w14:solidFill>
                    <w14:schemeClr w14:val="tx1"/>
                  </w14:solidFill>
                </w14:textFill>
              </w:rPr>
              <w:t>炭化炉点火及初始阶段</w:t>
            </w:r>
            <w:r>
              <w:rPr>
                <w:rFonts w:hint="eastAsia"/>
                <w:bCs/>
                <w:color w:val="000000" w:themeColor="text1"/>
                <w:sz w:val="24"/>
                <w:szCs w:val="24"/>
                <w:u w:val="none"/>
                <w:lang w:val="en-US" w:eastAsia="zh-CN"/>
                <w14:textFill>
                  <w14:solidFill>
                    <w14:schemeClr w14:val="tx1"/>
                  </w14:solidFill>
                </w14:textFill>
              </w:rPr>
              <w:t>所需生物质量约为0.6t，热量为3500kcal/kg，则生物质产生热量为2.1</w:t>
            </w:r>
            <w:r>
              <w:rPr>
                <w:rFonts w:hint="eastAsia"/>
                <w:color w:val="000000" w:themeColor="text1"/>
                <w:kern w:val="0"/>
                <w:sz w:val="24"/>
                <w:szCs w:val="24"/>
                <w:u w:val="none"/>
                <w14:textFill>
                  <w14:solidFill>
                    <w14:schemeClr w14:val="tx1"/>
                  </w14:solidFill>
                </w14:textFill>
              </w:rPr>
              <w:t>×</w:t>
            </w:r>
            <w:r>
              <w:rPr>
                <w:rFonts w:hint="default"/>
                <w:color w:val="000000" w:themeColor="text1"/>
                <w:kern w:val="0"/>
                <w:sz w:val="24"/>
                <w:szCs w:val="24"/>
                <w:u w:val="none"/>
                <w14:textFill>
                  <w14:solidFill>
                    <w14:schemeClr w14:val="tx1"/>
                  </w14:solidFill>
                </w14:textFill>
              </w:rPr>
              <w:t>10</w:t>
            </w:r>
            <w:r>
              <w:rPr>
                <w:rFonts w:hint="eastAsia"/>
                <w:color w:val="000000" w:themeColor="text1"/>
                <w:kern w:val="0"/>
                <w:sz w:val="24"/>
                <w:szCs w:val="24"/>
                <w:u w:val="none"/>
                <w:vertAlign w:val="superscript"/>
                <w:lang w:val="en-US" w:eastAsia="zh-CN"/>
                <w14:textFill>
                  <w14:solidFill>
                    <w14:schemeClr w14:val="tx1"/>
                  </w14:solidFill>
                </w14:textFill>
              </w:rPr>
              <w:t>6</w:t>
            </w:r>
            <w:r>
              <w:rPr>
                <w:rFonts w:hint="default"/>
                <w:color w:val="000000" w:themeColor="text1"/>
                <w:kern w:val="0"/>
                <w:sz w:val="24"/>
                <w:szCs w:val="24"/>
                <w:u w:val="none"/>
                <w14:textFill>
                  <w14:solidFill>
                    <w14:schemeClr w14:val="tx1"/>
                  </w14:solidFill>
                </w14:textFill>
              </w:rPr>
              <w:t>kcal</w:t>
            </w:r>
            <w:r>
              <w:rPr>
                <w:rFonts w:hint="eastAsia"/>
                <w:color w:val="000000" w:themeColor="text1"/>
                <w:kern w:val="0"/>
                <w:sz w:val="24"/>
                <w:szCs w:val="24"/>
                <w:u w:val="none"/>
                <w:lang w:eastAsia="zh-CN"/>
                <w14:textFill>
                  <w14:solidFill>
                    <w14:schemeClr w14:val="tx1"/>
                  </w14:solidFill>
                </w14:textFill>
              </w:rPr>
              <w:t>；</w:t>
            </w:r>
            <w:r>
              <w:rPr>
                <w:rFonts w:hint="eastAsia"/>
                <w:color w:val="000000" w:themeColor="text1"/>
                <w:kern w:val="0"/>
                <w:sz w:val="24"/>
                <w:szCs w:val="24"/>
                <w:u w:val="none"/>
                <w:lang w:val="en-US" w:eastAsia="zh-CN"/>
                <w14:textFill>
                  <w14:solidFill>
                    <w14:schemeClr w14:val="tx1"/>
                  </w14:solidFill>
                </w14:textFill>
              </w:rPr>
              <w:t>生产线开工后，</w:t>
            </w:r>
            <w:r>
              <w:rPr>
                <w:rFonts w:hint="eastAsia"/>
                <w:color w:val="000000" w:themeColor="text1"/>
                <w:kern w:val="0"/>
                <w:sz w:val="24"/>
                <w:szCs w:val="24"/>
                <w:highlight w:val="none"/>
                <w:u w:val="none"/>
                <w:lang w:val="en-US" w:eastAsia="zh-CN"/>
                <w14:textFill>
                  <w14:solidFill>
                    <w14:schemeClr w14:val="tx1"/>
                  </w14:solidFill>
                </w14:textFill>
              </w:rPr>
              <w:t>储气柜储存有木煤气后，炭化炉点火及初始阶段使用木煤气，根据建设单位提供资料，换算为生物质，此种情况下所需</w:t>
            </w:r>
            <w:r>
              <w:rPr>
                <w:rFonts w:hint="eastAsia"/>
                <w:bCs/>
                <w:color w:val="000000" w:themeColor="text1"/>
                <w:sz w:val="24"/>
                <w:szCs w:val="24"/>
                <w:u w:val="none"/>
                <w:lang w:val="en-US" w:eastAsia="zh-CN"/>
                <w14:textFill>
                  <w14:solidFill>
                    <w14:schemeClr w14:val="tx1"/>
                  </w14:solidFill>
                </w14:textFill>
              </w:rPr>
              <w:t>生物质量约为19.4t，热量为3500kcal/kg，则产生热量为6.79</w:t>
            </w:r>
            <w:r>
              <w:rPr>
                <w:rFonts w:hint="eastAsia"/>
                <w:color w:val="000000" w:themeColor="text1"/>
                <w:kern w:val="0"/>
                <w:sz w:val="24"/>
                <w:szCs w:val="24"/>
                <w:u w:val="none"/>
                <w14:textFill>
                  <w14:solidFill>
                    <w14:schemeClr w14:val="tx1"/>
                  </w14:solidFill>
                </w14:textFill>
              </w:rPr>
              <w:t>×</w:t>
            </w:r>
            <w:r>
              <w:rPr>
                <w:rFonts w:hint="default"/>
                <w:color w:val="000000" w:themeColor="text1"/>
                <w:kern w:val="0"/>
                <w:sz w:val="24"/>
                <w:szCs w:val="24"/>
                <w:u w:val="none"/>
                <w14:textFill>
                  <w14:solidFill>
                    <w14:schemeClr w14:val="tx1"/>
                  </w14:solidFill>
                </w14:textFill>
              </w:rPr>
              <w:t>10</w:t>
            </w:r>
            <w:r>
              <w:rPr>
                <w:rFonts w:hint="eastAsia"/>
                <w:color w:val="000000" w:themeColor="text1"/>
                <w:kern w:val="0"/>
                <w:sz w:val="24"/>
                <w:szCs w:val="24"/>
                <w:u w:val="none"/>
                <w:vertAlign w:val="superscript"/>
                <w:lang w:val="en-US" w:eastAsia="zh-CN"/>
                <w14:textFill>
                  <w14:solidFill>
                    <w14:schemeClr w14:val="tx1"/>
                  </w14:solidFill>
                </w14:textFill>
              </w:rPr>
              <w:t>7</w:t>
            </w:r>
            <w:r>
              <w:rPr>
                <w:rFonts w:hint="default"/>
                <w:color w:val="000000" w:themeColor="text1"/>
                <w:kern w:val="0"/>
                <w:sz w:val="24"/>
                <w:szCs w:val="24"/>
                <w:u w:val="none"/>
                <w14:textFill>
                  <w14:solidFill>
                    <w14:schemeClr w14:val="tx1"/>
                  </w14:solidFill>
                </w14:textFill>
              </w:rPr>
              <w:t>kcal</w:t>
            </w:r>
            <w:r>
              <w:rPr>
                <w:rFonts w:hint="eastAsia"/>
                <w:color w:val="000000" w:themeColor="text1"/>
                <w:kern w:val="0"/>
                <w:sz w:val="24"/>
                <w:szCs w:val="24"/>
                <w:u w:val="none"/>
                <w:lang w:eastAsia="zh-CN"/>
                <w14:textFill>
                  <w14:solidFill>
                    <w14:schemeClr w14:val="tx1"/>
                  </w14:solidFill>
                </w14:textFill>
              </w:rPr>
              <w:t>，</w:t>
            </w:r>
            <w:r>
              <w:rPr>
                <w:rFonts w:hint="eastAsia"/>
                <w:color w:val="000000" w:themeColor="text1"/>
                <w:kern w:val="0"/>
                <w:sz w:val="24"/>
                <w:szCs w:val="24"/>
                <w:u w:val="none"/>
                <w:lang w:val="en-US" w:eastAsia="zh-CN"/>
                <w14:textFill>
                  <w14:solidFill>
                    <w14:schemeClr w14:val="tx1"/>
                  </w14:solidFill>
                </w14:textFill>
              </w:rPr>
              <w:t>因此有木煤气储存后，</w:t>
            </w:r>
            <w:r>
              <w:rPr>
                <w:rFonts w:hint="eastAsia"/>
                <w:color w:val="000000" w:themeColor="text1"/>
                <w:kern w:val="0"/>
                <w:sz w:val="24"/>
                <w:szCs w:val="24"/>
                <w:highlight w:val="none"/>
                <w:u w:val="none"/>
                <w:lang w:val="en-US" w:eastAsia="zh-CN"/>
                <w14:textFill>
                  <w14:solidFill>
                    <w14:schemeClr w14:val="tx1"/>
                  </w14:solidFill>
                </w14:textFill>
              </w:rPr>
              <w:t>炭化炉点火及初始阶段使用木煤气产生热量为</w:t>
            </w:r>
            <w:r>
              <w:rPr>
                <w:rFonts w:hint="eastAsia"/>
                <w:bCs/>
                <w:color w:val="000000" w:themeColor="text1"/>
                <w:sz w:val="24"/>
                <w:szCs w:val="24"/>
                <w:u w:val="none"/>
                <w:lang w:val="en-US" w:eastAsia="zh-CN"/>
                <w14:textFill>
                  <w14:solidFill>
                    <w14:schemeClr w14:val="tx1"/>
                  </w14:solidFill>
                </w14:textFill>
              </w:rPr>
              <w:t>6.79</w:t>
            </w:r>
            <w:r>
              <w:rPr>
                <w:rFonts w:hint="eastAsia"/>
                <w:color w:val="000000" w:themeColor="text1"/>
                <w:kern w:val="0"/>
                <w:sz w:val="24"/>
                <w:szCs w:val="24"/>
                <w:u w:val="none"/>
                <w14:textFill>
                  <w14:solidFill>
                    <w14:schemeClr w14:val="tx1"/>
                  </w14:solidFill>
                </w14:textFill>
              </w:rPr>
              <w:t>×</w:t>
            </w:r>
            <w:r>
              <w:rPr>
                <w:rFonts w:hint="default"/>
                <w:color w:val="000000" w:themeColor="text1"/>
                <w:kern w:val="0"/>
                <w:sz w:val="24"/>
                <w:szCs w:val="24"/>
                <w:u w:val="none"/>
                <w14:textFill>
                  <w14:solidFill>
                    <w14:schemeClr w14:val="tx1"/>
                  </w14:solidFill>
                </w14:textFill>
              </w:rPr>
              <w:t>10</w:t>
            </w:r>
            <w:r>
              <w:rPr>
                <w:rFonts w:hint="eastAsia"/>
                <w:color w:val="000000" w:themeColor="text1"/>
                <w:kern w:val="0"/>
                <w:sz w:val="24"/>
                <w:szCs w:val="24"/>
                <w:u w:val="none"/>
                <w:vertAlign w:val="superscript"/>
                <w:lang w:val="en-US" w:eastAsia="zh-CN"/>
                <w14:textFill>
                  <w14:solidFill>
                    <w14:schemeClr w14:val="tx1"/>
                  </w14:solidFill>
                </w14:textFill>
              </w:rPr>
              <w:t>7</w:t>
            </w:r>
            <w:r>
              <w:rPr>
                <w:rFonts w:hint="default"/>
                <w:color w:val="000000" w:themeColor="text1"/>
                <w:kern w:val="0"/>
                <w:sz w:val="24"/>
                <w:szCs w:val="24"/>
                <w:u w:val="none"/>
                <w14:textFill>
                  <w14:solidFill>
                    <w14:schemeClr w14:val="tx1"/>
                  </w14:solidFill>
                </w14:textFill>
              </w:rPr>
              <w:t>kcal</w:t>
            </w:r>
            <w:r>
              <w:rPr>
                <w:rFonts w:hint="eastAsia"/>
                <w:color w:val="000000" w:themeColor="text1"/>
                <w:kern w:val="0"/>
                <w:sz w:val="24"/>
                <w:szCs w:val="24"/>
                <w:u w:val="none"/>
                <w:lang w:eastAsia="zh-CN"/>
                <w14:textFill>
                  <w14:solidFill>
                    <w14:schemeClr w14:val="tx1"/>
                  </w14:solidFill>
                </w14:textFill>
              </w:rPr>
              <w:t>，</w:t>
            </w:r>
            <w:r>
              <w:rPr>
                <w:rFonts w:hint="eastAsia"/>
                <w:color w:val="000000" w:themeColor="text1"/>
                <w:kern w:val="0"/>
                <w:sz w:val="24"/>
                <w:szCs w:val="24"/>
                <w:u w:val="none"/>
                <w:lang w:val="en-US" w:eastAsia="zh-CN"/>
                <w14:textFill>
                  <w14:solidFill>
                    <w14:schemeClr w14:val="tx1"/>
                  </w14:solidFill>
                </w14:textFill>
              </w:rPr>
              <w:t>木煤气使用量为28411</w:t>
            </w:r>
            <w:r>
              <w:rPr>
                <w:rFonts w:hint="eastAsia" w:hAnsi="宋体"/>
                <w:color w:val="000000" w:themeColor="text1"/>
                <w:sz w:val="24"/>
                <w:szCs w:val="24"/>
                <w:highlight w:val="none"/>
                <w:u w:val="none"/>
                <w14:textFill>
                  <w14:solidFill>
                    <w14:schemeClr w14:val="tx1"/>
                  </w14:solidFill>
                </w14:textFill>
              </w:rPr>
              <w:t>N</w:t>
            </w:r>
            <w:r>
              <w:rPr>
                <w:rFonts w:hint="default" w:hAnsi="宋体"/>
                <w:color w:val="000000" w:themeColor="text1"/>
                <w:sz w:val="24"/>
                <w:szCs w:val="24"/>
                <w:highlight w:val="none"/>
                <w:u w:val="none"/>
                <w14:textFill>
                  <w14:solidFill>
                    <w14:schemeClr w14:val="tx1"/>
                  </w14:solidFill>
                </w14:textFill>
              </w:rPr>
              <w:t>m</w:t>
            </w:r>
            <w:r>
              <w:rPr>
                <w:rFonts w:hint="default" w:hAnsi="宋体"/>
                <w:color w:val="000000" w:themeColor="text1"/>
                <w:sz w:val="24"/>
                <w:szCs w:val="24"/>
                <w:highlight w:val="none"/>
                <w:u w:val="none"/>
                <w:vertAlign w:val="superscript"/>
                <w14:textFill>
                  <w14:solidFill>
                    <w14:schemeClr w14:val="tx1"/>
                  </w14:solidFill>
                </w14:textFill>
              </w:rPr>
              <w:t>3</w:t>
            </w:r>
            <w:r>
              <w:rPr>
                <w:rFonts w:hint="eastAsia"/>
                <w:color w:val="000000" w:themeColor="text1"/>
                <w:kern w:val="0"/>
                <w:sz w:val="24"/>
                <w:szCs w:val="24"/>
                <w:u w:val="none"/>
                <w:lang w:eastAsia="zh-CN"/>
                <w14:textFill>
                  <w14:solidFill>
                    <w14:schemeClr w14:val="tx1"/>
                  </w14:solidFill>
                </w14:textFill>
              </w:rPr>
              <w:t>。</w:t>
            </w:r>
          </w:p>
          <w:p w14:paraId="1AB213AC">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rightChars="0" w:firstLine="480" w:firstLineChars="200"/>
              <w:jc w:val="both"/>
              <w:textAlignment w:val="auto"/>
              <w:rPr>
                <w:rFonts w:hint="eastAsia"/>
                <w:bCs/>
                <w:color w:val="000000" w:themeColor="text1"/>
                <w:sz w:val="24"/>
                <w:szCs w:val="24"/>
                <w:u w:val="none"/>
                <w:lang w:eastAsia="zh-CN"/>
                <w14:textFill>
                  <w14:solidFill>
                    <w14:schemeClr w14:val="tx1"/>
                  </w14:solidFill>
                </w14:textFill>
              </w:rPr>
            </w:pPr>
            <w:r>
              <w:rPr>
                <w:rFonts w:hint="eastAsia"/>
                <w:bCs/>
                <w:color w:val="000000" w:themeColor="text1"/>
                <w:sz w:val="24"/>
                <w:szCs w:val="24"/>
                <w:u w:val="none"/>
                <w:lang w:val="en-US" w:eastAsia="zh-CN"/>
                <w14:textFill>
                  <w14:solidFill>
                    <w14:schemeClr w14:val="tx1"/>
                  </w14:solidFill>
                </w14:textFill>
              </w:rPr>
              <w:t>综上，本项目炭化炉产生的木煤气经储存柜储存后</w:t>
            </w:r>
            <w:r>
              <w:rPr>
                <w:rFonts w:hint="eastAsia"/>
                <w:bCs/>
                <w:color w:val="000000" w:themeColor="text1"/>
                <w:sz w:val="24"/>
                <w:szCs w:val="24"/>
                <w:u w:val="none"/>
                <w14:textFill>
                  <w14:solidFill>
                    <w14:schemeClr w14:val="tx1"/>
                  </w14:solidFill>
                </w14:textFill>
              </w:rPr>
              <w:t>能够满足项目烘干</w:t>
            </w:r>
            <w:r>
              <w:rPr>
                <w:rFonts w:hint="eastAsia"/>
                <w:bCs/>
                <w:color w:val="000000" w:themeColor="text1"/>
                <w:sz w:val="24"/>
                <w:szCs w:val="24"/>
                <w:u w:val="none"/>
                <w:lang w:val="en-US" w:eastAsia="zh-CN"/>
                <w14:textFill>
                  <w14:solidFill>
                    <w14:schemeClr w14:val="tx1"/>
                  </w14:solidFill>
                </w14:textFill>
              </w:rPr>
              <w:t>和</w:t>
            </w:r>
            <w:r>
              <w:rPr>
                <w:rFonts w:hint="eastAsia"/>
                <w:color w:val="000000" w:themeColor="text1"/>
                <w:sz w:val="24"/>
                <w:highlight w:val="none"/>
                <w:u w:val="none"/>
                <w14:textFill>
                  <w14:solidFill>
                    <w14:schemeClr w14:val="tx1"/>
                  </w14:solidFill>
                </w14:textFill>
              </w:rPr>
              <w:t>炭化炉</w:t>
            </w:r>
            <w:r>
              <w:rPr>
                <w:rFonts w:hint="eastAsia"/>
                <w:color w:val="000000" w:themeColor="text1"/>
                <w:sz w:val="24"/>
                <w:highlight w:val="none"/>
                <w:u w:val="none"/>
                <w:lang w:val="en-US" w:eastAsia="zh-CN"/>
                <w14:textFill>
                  <w14:solidFill>
                    <w14:schemeClr w14:val="tx1"/>
                  </w14:solidFill>
                </w14:textFill>
              </w:rPr>
              <w:t>点火及初始阶段</w:t>
            </w:r>
            <w:r>
              <w:rPr>
                <w:rFonts w:hint="eastAsia"/>
                <w:bCs/>
                <w:color w:val="000000" w:themeColor="text1"/>
                <w:sz w:val="24"/>
                <w:szCs w:val="24"/>
                <w:u w:val="none"/>
                <w14:textFill>
                  <w14:solidFill>
                    <w14:schemeClr w14:val="tx1"/>
                  </w14:solidFill>
                </w14:textFill>
              </w:rPr>
              <w:t>所需热值要求</w:t>
            </w:r>
            <w:r>
              <w:rPr>
                <w:rFonts w:hint="eastAsia"/>
                <w:bCs/>
                <w:color w:val="000000" w:themeColor="text1"/>
                <w:sz w:val="24"/>
                <w:szCs w:val="24"/>
                <w:u w:val="none"/>
                <w:lang w:eastAsia="zh-CN"/>
                <w14:textFill>
                  <w14:solidFill>
                    <w14:schemeClr w14:val="tx1"/>
                  </w14:solidFill>
                </w14:textFill>
              </w:rPr>
              <w:t>，</w:t>
            </w:r>
            <w:r>
              <w:rPr>
                <w:rFonts w:hint="eastAsia"/>
                <w:bCs/>
                <w:color w:val="000000" w:themeColor="text1"/>
                <w:sz w:val="24"/>
                <w:szCs w:val="24"/>
                <w:u w:val="none"/>
                <w:lang w:val="en-US" w:eastAsia="zh-CN"/>
                <w14:textFill>
                  <w14:solidFill>
                    <w14:schemeClr w14:val="tx1"/>
                  </w14:solidFill>
                </w14:textFill>
              </w:rPr>
              <w:t>还有剩余经点火装置点火燃烧后排放</w:t>
            </w:r>
            <w:r>
              <w:rPr>
                <w:rFonts w:hint="eastAsia"/>
                <w:bCs/>
                <w:color w:val="000000" w:themeColor="text1"/>
                <w:sz w:val="24"/>
                <w:szCs w:val="24"/>
                <w:u w:val="none"/>
                <w:lang w:eastAsia="zh-CN"/>
                <w14:textFill>
                  <w14:solidFill>
                    <w14:schemeClr w14:val="tx1"/>
                  </w14:solidFill>
                </w14:textFill>
              </w:rPr>
              <w:t>。</w:t>
            </w:r>
          </w:p>
          <w:p w14:paraId="46F715D6">
            <w:pPr>
              <w:keepNext w:val="0"/>
              <w:keepLines w:val="0"/>
              <w:pageBreakBefore w:val="0"/>
              <w:widowControl w:val="0"/>
              <w:suppressLineNumbers w:val="0"/>
              <w:tabs>
                <w:tab w:val="left" w:pos="1081"/>
              </w:tabs>
              <w:kinsoku/>
              <w:wordWrap/>
              <w:overflowPunct/>
              <w:topLinePunct w:val="0"/>
              <w:autoSpaceDE/>
              <w:autoSpaceDN/>
              <w:bidi w:val="0"/>
              <w:adjustRightInd w:val="0"/>
              <w:snapToGrid w:val="0"/>
              <w:spacing w:before="0" w:beforeAutospacing="0" w:after="0" w:afterAutospacing="0" w:line="360" w:lineRule="auto"/>
              <w:ind w:left="0" w:right="0" w:firstLine="482" w:firstLineChars="200"/>
              <w:jc w:val="both"/>
              <w:textAlignment w:val="auto"/>
              <w:rPr>
                <w:rFonts w:hint="default" w:ascii="Times New Roman" w:hAnsi="Times New Roman" w:eastAsia="宋体" w:cs="Times New Roman"/>
                <w:b/>
                <w:color w:val="auto"/>
                <w:sz w:val="24"/>
                <w:szCs w:val="24"/>
                <w:highlight w:val="none"/>
                <w:u w:val="none" w:color="auto"/>
              </w:rPr>
            </w:pPr>
            <w:r>
              <w:rPr>
                <w:rFonts w:hint="eastAsia" w:cs="Times New Roman"/>
                <w:b/>
                <w:color w:val="auto"/>
                <w:sz w:val="24"/>
                <w:szCs w:val="24"/>
                <w:highlight w:val="none"/>
                <w:u w:val="none" w:color="auto"/>
                <w:lang w:val="en-US" w:eastAsia="zh-CN"/>
              </w:rPr>
              <w:t>10</w:t>
            </w:r>
            <w:r>
              <w:rPr>
                <w:rFonts w:hint="default" w:ascii="Times New Roman" w:hAnsi="Times New Roman" w:eastAsia="宋体" w:cs="Times New Roman"/>
                <w:b/>
                <w:color w:val="auto"/>
                <w:sz w:val="24"/>
                <w:szCs w:val="24"/>
                <w:highlight w:val="none"/>
                <w:u w:val="none" w:color="auto"/>
              </w:rPr>
              <w:t>、劳动定员及工作制度</w:t>
            </w:r>
          </w:p>
          <w:p w14:paraId="489D061E">
            <w:pPr>
              <w:keepNext w:val="0"/>
              <w:keepLines w:val="0"/>
              <w:widowControl/>
              <w:suppressLineNumbers w:val="0"/>
              <w:spacing w:before="0" w:beforeAutospacing="0" w:after="0" w:afterAutospacing="0" w:line="360" w:lineRule="auto"/>
              <w:ind w:left="0" w:right="0" w:firstLine="480" w:firstLineChars="200"/>
              <w:rPr>
                <w:rFonts w:hint="default" w:ascii="Times New Roman" w:hAnsi="Times New Roman" w:eastAsia="宋体" w:cs="Times New Roman"/>
                <w:kern w:val="0"/>
                <w:sz w:val="24"/>
              </w:rPr>
            </w:pPr>
            <w:r>
              <w:rPr>
                <w:rFonts w:hint="default" w:ascii="Times New Roman" w:hAnsi="Times New Roman" w:eastAsia="宋体" w:cs="Times New Roman"/>
                <w:kern w:val="0"/>
                <w:sz w:val="24"/>
              </w:rPr>
              <w:t>劳动定员：项目职工人数为</w:t>
            </w:r>
            <w:r>
              <w:rPr>
                <w:rFonts w:hint="eastAsia" w:ascii="Times New Roman" w:hAnsi="Times New Roman" w:eastAsia="宋体" w:cs="Times New Roman"/>
                <w:kern w:val="0"/>
                <w:sz w:val="24"/>
                <w:lang w:val="en-US" w:eastAsia="zh-CN"/>
              </w:rPr>
              <w:t>20</w:t>
            </w:r>
            <w:r>
              <w:rPr>
                <w:rFonts w:hint="default" w:ascii="Times New Roman" w:hAnsi="Times New Roman" w:eastAsia="宋体" w:cs="Times New Roman"/>
                <w:kern w:val="0"/>
                <w:sz w:val="24"/>
              </w:rPr>
              <w:t>人；不提供员工宿舍及食堂。</w:t>
            </w:r>
          </w:p>
          <w:p w14:paraId="690636DB">
            <w:pPr>
              <w:keepNext w:val="0"/>
              <w:keepLines w:val="0"/>
              <w:widowControl/>
              <w:suppressLineNumbers w:val="0"/>
              <w:spacing w:before="0" w:beforeAutospacing="0" w:after="0" w:afterAutospacing="0" w:line="360" w:lineRule="auto"/>
              <w:ind w:left="0" w:right="0" w:firstLine="480" w:firstLineChars="200"/>
              <w:rPr>
                <w:rFonts w:hint="default" w:ascii="Times New Roman" w:hAnsi="Times New Roman" w:eastAsia="宋体" w:cs="Times New Roman"/>
                <w:kern w:val="0"/>
                <w:sz w:val="24"/>
                <w:szCs w:val="20"/>
                <w:u w:val="none"/>
              </w:rPr>
            </w:pPr>
            <w:r>
              <w:rPr>
                <w:rFonts w:hint="default" w:ascii="Times New Roman" w:hAnsi="Times New Roman" w:eastAsia="宋体" w:cs="Times New Roman"/>
                <w:kern w:val="0"/>
                <w:sz w:val="24"/>
                <w:u w:val="none"/>
              </w:rPr>
              <w:t>工作制度：年</w:t>
            </w:r>
            <w:r>
              <w:rPr>
                <w:rFonts w:hint="default" w:ascii="Times New Roman" w:hAnsi="Times New Roman" w:eastAsia="宋体" w:cs="Times New Roman"/>
                <w:kern w:val="0"/>
                <w:sz w:val="24"/>
                <w:szCs w:val="20"/>
                <w:u w:val="none"/>
              </w:rPr>
              <w:t>工作日</w:t>
            </w:r>
            <w:r>
              <w:rPr>
                <w:rFonts w:hint="eastAsia" w:ascii="Times New Roman" w:hAnsi="Times New Roman" w:eastAsia="宋体" w:cs="Times New Roman"/>
                <w:kern w:val="0"/>
                <w:sz w:val="24"/>
                <w:szCs w:val="20"/>
                <w:u w:val="none"/>
                <w:lang w:val="en-US" w:eastAsia="zh-CN"/>
              </w:rPr>
              <w:t>3</w:t>
            </w:r>
            <w:r>
              <w:rPr>
                <w:rFonts w:hint="default" w:ascii="Times New Roman" w:hAnsi="Times New Roman" w:eastAsia="宋体" w:cs="Times New Roman"/>
                <w:kern w:val="0"/>
                <w:sz w:val="24"/>
                <w:szCs w:val="20"/>
                <w:u w:val="none"/>
              </w:rPr>
              <w:t>00天，一天实行</w:t>
            </w:r>
            <w:r>
              <w:rPr>
                <w:rFonts w:hint="eastAsia" w:ascii="Times New Roman" w:hAnsi="Times New Roman" w:eastAsia="宋体" w:cs="Times New Roman"/>
                <w:kern w:val="0"/>
                <w:sz w:val="24"/>
                <w:szCs w:val="20"/>
                <w:u w:val="none"/>
                <w:lang w:val="en-US" w:eastAsia="zh-CN"/>
              </w:rPr>
              <w:t>两</w:t>
            </w:r>
            <w:r>
              <w:rPr>
                <w:rFonts w:hint="default" w:ascii="Times New Roman" w:hAnsi="Times New Roman" w:eastAsia="宋体" w:cs="Times New Roman"/>
                <w:kern w:val="0"/>
                <w:sz w:val="24"/>
                <w:szCs w:val="20"/>
                <w:u w:val="none"/>
              </w:rPr>
              <w:t>班制，</w:t>
            </w:r>
            <w:r>
              <w:rPr>
                <w:rFonts w:hint="eastAsia" w:cs="Times New Roman"/>
                <w:kern w:val="0"/>
                <w:sz w:val="24"/>
                <w:szCs w:val="20"/>
                <w:u w:val="none"/>
                <w:lang w:val="en-US" w:eastAsia="zh-CN"/>
              </w:rPr>
              <w:t>6</w:t>
            </w:r>
            <w:r>
              <w:rPr>
                <w:rFonts w:hint="default" w:ascii="Times New Roman" w:hAnsi="Times New Roman" w:eastAsia="宋体" w:cs="Times New Roman"/>
                <w:kern w:val="0"/>
                <w:sz w:val="24"/>
                <w:szCs w:val="20"/>
                <w:u w:val="none"/>
              </w:rPr>
              <w:t>小时制</w:t>
            </w:r>
            <w:r>
              <w:rPr>
                <w:rFonts w:hint="eastAsia" w:cs="Times New Roman"/>
                <w:kern w:val="0"/>
                <w:sz w:val="24"/>
                <w:szCs w:val="20"/>
                <w:u w:val="none"/>
                <w:lang w:eastAsia="zh-CN"/>
              </w:rPr>
              <w:t>（</w:t>
            </w:r>
            <w:r>
              <w:rPr>
                <w:rFonts w:hint="eastAsia" w:cs="Times New Roman"/>
                <w:kern w:val="0"/>
                <w:sz w:val="24"/>
                <w:szCs w:val="20"/>
                <w:u w:val="none"/>
                <w:lang w:val="en-US" w:eastAsia="zh-CN"/>
              </w:rPr>
              <w:t>其中炭化工序炭化24h/d</w:t>
            </w:r>
            <w:r>
              <w:rPr>
                <w:rFonts w:hint="eastAsia" w:cs="Times New Roman"/>
                <w:kern w:val="0"/>
                <w:sz w:val="24"/>
                <w:szCs w:val="20"/>
                <w:u w:val="none"/>
                <w:lang w:eastAsia="zh-CN"/>
              </w:rPr>
              <w:t>）</w:t>
            </w:r>
            <w:r>
              <w:rPr>
                <w:rFonts w:hint="default" w:ascii="Times New Roman" w:hAnsi="Times New Roman" w:eastAsia="宋体" w:cs="Times New Roman"/>
                <w:kern w:val="0"/>
                <w:sz w:val="24"/>
                <w:szCs w:val="20"/>
                <w:u w:val="none"/>
              </w:rPr>
              <w:t>。</w:t>
            </w:r>
          </w:p>
          <w:p w14:paraId="4A4C9202">
            <w:pPr>
              <w:keepNext w:val="0"/>
              <w:keepLines w:val="0"/>
              <w:pageBreakBefore w:val="0"/>
              <w:widowControl w:val="0"/>
              <w:tabs>
                <w:tab w:val="left" w:pos="1081"/>
              </w:tabs>
              <w:kinsoku/>
              <w:wordWrap/>
              <w:overflowPunct/>
              <w:topLinePunct w:val="0"/>
              <w:autoSpaceDE/>
              <w:autoSpaceDN/>
              <w:bidi w:val="0"/>
              <w:adjustRightInd w:val="0"/>
              <w:snapToGrid w:val="0"/>
              <w:spacing w:line="360" w:lineRule="auto"/>
              <w:ind w:firstLine="482" w:firstLineChars="200"/>
              <w:textAlignment w:val="auto"/>
              <w:rPr>
                <w:rFonts w:hint="default"/>
                <w:b/>
                <w:bCs/>
                <w:sz w:val="24"/>
              </w:rPr>
            </w:pPr>
            <w:r>
              <w:rPr>
                <w:rFonts w:hint="eastAsia"/>
                <w:b/>
                <w:bCs/>
                <w:sz w:val="24"/>
                <w:lang w:val="en-US" w:eastAsia="zh-CN"/>
              </w:rPr>
              <w:t>11</w:t>
            </w:r>
            <w:r>
              <w:rPr>
                <w:rFonts w:hint="default"/>
                <w:b/>
                <w:bCs/>
                <w:sz w:val="24"/>
              </w:rPr>
              <w:t>、厂区平面布置</w:t>
            </w:r>
          </w:p>
          <w:p w14:paraId="5171D713">
            <w:pPr>
              <w:keepNext w:val="0"/>
              <w:keepLines w:val="0"/>
              <w:pageBreakBefore w:val="0"/>
              <w:widowControl w:val="0"/>
              <w:tabs>
                <w:tab w:val="left" w:pos="1081"/>
              </w:tabs>
              <w:kinsoku/>
              <w:wordWrap/>
              <w:overflowPunct/>
              <w:topLinePunct w:val="0"/>
              <w:autoSpaceDE/>
              <w:autoSpaceDN/>
              <w:bidi w:val="0"/>
              <w:adjustRightInd w:val="0"/>
              <w:snapToGrid w:val="0"/>
              <w:spacing w:line="360" w:lineRule="auto"/>
              <w:ind w:firstLine="480" w:firstLineChars="200"/>
              <w:textAlignment w:val="auto"/>
              <w:rPr>
                <w:sz w:val="24"/>
              </w:rPr>
            </w:pPr>
            <w:r>
              <w:rPr>
                <w:rFonts w:hint="default"/>
                <w:sz w:val="24"/>
              </w:rPr>
              <w:t>本项目</w:t>
            </w:r>
            <w:r>
              <w:rPr>
                <w:rFonts w:hint="default"/>
                <w:sz w:val="24"/>
                <w:lang w:val="en-US" w:eastAsia="zh-CN"/>
              </w:rPr>
              <w:t>位于南阳市方城县四里店镇小店村何家庄</w:t>
            </w:r>
            <w:r>
              <w:rPr>
                <w:rFonts w:hint="default"/>
                <w:sz w:val="24"/>
              </w:rPr>
              <w:t>，</w:t>
            </w:r>
            <w:r>
              <w:rPr>
                <w:rFonts w:hint="default"/>
                <w:sz w:val="24"/>
                <w:lang w:val="en-US" w:eastAsia="zh-CN"/>
              </w:rPr>
              <w:t>项目办公区位于厂区</w:t>
            </w:r>
            <w:r>
              <w:rPr>
                <w:rFonts w:hint="eastAsia"/>
                <w:sz w:val="24"/>
                <w:lang w:val="en-US" w:eastAsia="zh-CN"/>
              </w:rPr>
              <w:t>南侧</w:t>
            </w:r>
            <w:r>
              <w:rPr>
                <w:rFonts w:hint="default"/>
                <w:sz w:val="24"/>
                <w:lang w:val="en-US" w:eastAsia="zh-CN"/>
              </w:rPr>
              <w:t>，</w:t>
            </w:r>
            <w:r>
              <w:rPr>
                <w:rFonts w:hint="eastAsia"/>
                <w:sz w:val="24"/>
                <w:lang w:val="en-US" w:eastAsia="zh-CN"/>
              </w:rPr>
              <w:t>生产车间位于厂区北侧，生物质颗粒车间及成品仓库</w:t>
            </w:r>
            <w:r>
              <w:rPr>
                <w:rFonts w:hint="default"/>
                <w:sz w:val="24"/>
                <w:lang w:val="en-US" w:eastAsia="zh-CN"/>
              </w:rPr>
              <w:t>位于</w:t>
            </w:r>
            <w:r>
              <w:rPr>
                <w:rFonts w:hint="eastAsia"/>
                <w:sz w:val="24"/>
                <w:lang w:val="en-US" w:eastAsia="zh-CN"/>
              </w:rPr>
              <w:t>厂区东侧</w:t>
            </w:r>
            <w:r>
              <w:rPr>
                <w:rFonts w:hint="default"/>
                <w:sz w:val="24"/>
              </w:rPr>
              <w:t>项目布局紧凑，节约资源，可以满足产品生产工艺需求。总之，项目平面基本根据生产工艺需要进行布置，厂房内各区功能较为明确，从环保角度分析，本项目的平面布置是合理的。项目厂区平面布置见附图。</w:t>
            </w:r>
          </w:p>
        </w:tc>
      </w:tr>
      <w:tr w14:paraId="3FD452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39" w:type="pct"/>
            <w:noWrap w:val="0"/>
            <w:vAlign w:val="center"/>
          </w:tcPr>
          <w:p w14:paraId="5AE535F4">
            <w:pPr>
              <w:pStyle w:val="27"/>
              <w:adjustRightInd w:val="0"/>
              <w:snapToGrid w:val="0"/>
              <w:spacing w:before="0" w:beforeAutospacing="0" w:after="0" w:afterAutospacing="0"/>
              <w:jc w:val="center"/>
              <w:rPr>
                <w:rFonts w:ascii="Times New Roman" w:hAnsi="Times New Roman"/>
                <w:szCs w:val="24"/>
              </w:rPr>
            </w:pPr>
          </w:p>
        </w:tc>
        <w:tc>
          <w:tcPr>
            <w:tcW w:w="4760" w:type="pct"/>
            <w:noWrap w:val="0"/>
            <w:vAlign w:val="top"/>
          </w:tcPr>
          <w:p w14:paraId="5C36360F">
            <w:pPr>
              <w:keepNext w:val="0"/>
              <w:keepLines w:val="0"/>
              <w:pageBreakBefore w:val="0"/>
              <w:widowControl w:val="0"/>
              <w:suppressLineNumbers w:val="0"/>
              <w:tabs>
                <w:tab w:val="left" w:pos="1081"/>
              </w:tabs>
              <w:kinsoku/>
              <w:wordWrap/>
              <w:overflowPunct/>
              <w:topLinePunct w:val="0"/>
              <w:autoSpaceDE/>
              <w:autoSpaceDN/>
              <w:bidi w:val="0"/>
              <w:adjustRightInd w:val="0"/>
              <w:snapToGrid w:val="0"/>
              <w:spacing w:before="0" w:beforeAutospacing="0" w:after="0" w:afterAutospacing="0" w:line="360" w:lineRule="auto"/>
              <w:ind w:left="0" w:right="0" w:firstLine="482" w:firstLineChars="200"/>
              <w:jc w:val="both"/>
              <w:textAlignment w:val="auto"/>
              <w:rPr>
                <w:rFonts w:hint="default" w:ascii="Times New Roman" w:hAnsi="Times New Roman" w:eastAsia="宋体" w:cs="Times New Roman"/>
                <w:b/>
                <w:color w:val="000000" w:themeColor="text1"/>
                <w:sz w:val="24"/>
                <w:szCs w:val="24"/>
                <w:highlight w:val="none"/>
                <w:u w:val="none" w:color="auto"/>
                <w14:textFill>
                  <w14:solidFill>
                    <w14:schemeClr w14:val="tx1"/>
                  </w14:solidFill>
                </w14:textFill>
              </w:rPr>
            </w:pPr>
            <w:r>
              <w:rPr>
                <w:rFonts w:hint="default" w:ascii="Times New Roman" w:hAnsi="Times New Roman" w:eastAsia="宋体" w:cs="Times New Roman"/>
                <w:b/>
                <w:color w:val="000000" w:themeColor="text1"/>
                <w:sz w:val="24"/>
                <w:szCs w:val="24"/>
                <w:highlight w:val="none"/>
                <w:u w:val="none" w:color="auto"/>
                <w14:textFill>
                  <w14:solidFill>
                    <w14:schemeClr w14:val="tx1"/>
                  </w14:solidFill>
                </w14:textFill>
              </w:rPr>
              <w:t>1、生产工艺流程</w:t>
            </w:r>
          </w:p>
          <w:p w14:paraId="0242C2C5">
            <w:pPr>
              <w:keepNext w:val="0"/>
              <w:keepLines w:val="0"/>
              <w:pageBreakBefore w:val="0"/>
              <w:widowControl w:val="0"/>
              <w:suppressLineNumbers w:val="0"/>
              <w:tabs>
                <w:tab w:val="left" w:pos="1081"/>
              </w:tabs>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000000" w:themeColor="text1"/>
                <w:kern w:val="32"/>
                <w:sz w:val="24"/>
                <w:szCs w:val="24"/>
                <w:highlight w:val="none"/>
                <w:u w:val="none" w:color="auto"/>
                <w14:textFill>
                  <w14:solidFill>
                    <w14:schemeClr w14:val="tx1"/>
                  </w14:solidFill>
                </w14:textFill>
              </w:rPr>
            </w:pPr>
            <w:r>
              <w:rPr>
                <w:rFonts w:hint="default" w:ascii="Times New Roman" w:hAnsi="Times New Roman" w:eastAsia="宋体" w:cs="Times New Roman"/>
                <w:color w:val="000000" w:themeColor="text1"/>
                <w:kern w:val="32"/>
                <w:sz w:val="24"/>
                <w:szCs w:val="24"/>
                <w:highlight w:val="none"/>
                <w:u w:val="none" w:color="auto"/>
                <w14:textFill>
                  <w14:solidFill>
                    <w14:schemeClr w14:val="tx1"/>
                  </w14:solidFill>
                </w14:textFill>
              </w:rPr>
              <w:t>本项目运营期主要生产工艺流程及产污环节如下：</w:t>
            </w:r>
          </w:p>
          <w:p w14:paraId="3629C083">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80" w:firstLineChars="200"/>
              <w:textAlignment w:val="auto"/>
              <w:rPr>
                <w:rFonts w:hint="default" w:ascii="Times New Roman" w:hAnsi="Times New Roman" w:eastAsia="宋体" w:cs="宋体"/>
                <w:color w:val="auto"/>
                <w:kern w:val="2"/>
                <w:sz w:val="24"/>
                <w:szCs w:val="24"/>
                <w:lang w:val="en-US" w:eastAsia="zh-CN" w:bidi="ar-SA"/>
              </w:rPr>
            </w:pPr>
            <w:r>
              <w:rPr>
                <w:rFonts w:hint="default" w:ascii="Times New Roman" w:hAnsi="Times New Roman" w:eastAsia="宋体" w:cs="Times New Roman"/>
                <w:color w:val="000000" w:themeColor="text1"/>
                <w:sz w:val="24"/>
                <w:szCs w:val="24"/>
                <w:highlight w:val="none"/>
                <w:u w:val="none" w:color="auto"/>
                <w:lang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u w:val="none" w:color="auto"/>
                <w:lang w:val="en-US" w:eastAsia="zh-CN"/>
                <w14:textFill>
                  <w14:solidFill>
                    <w14:schemeClr w14:val="tx1"/>
                  </w14:solidFill>
                </w14:textFill>
              </w:rPr>
              <w:t>1）</w:t>
            </w:r>
            <w:r>
              <w:rPr>
                <w:rFonts w:hint="eastAsia" w:ascii="Times New Roman" w:hAnsi="Times New Roman" w:eastAsia="宋体" w:cs="宋体"/>
                <w:color w:val="auto"/>
                <w:kern w:val="2"/>
                <w:sz w:val="24"/>
                <w:szCs w:val="24"/>
                <w:lang w:val="en-US" w:eastAsia="zh-CN" w:bidi="ar-SA"/>
              </w:rPr>
              <w:t>机制炭</w:t>
            </w:r>
            <w:r>
              <w:rPr>
                <w:rFonts w:hint="default" w:ascii="Times New Roman" w:hAnsi="Times New Roman" w:eastAsia="宋体" w:cs="宋体"/>
                <w:color w:val="auto"/>
                <w:kern w:val="2"/>
                <w:sz w:val="24"/>
                <w:szCs w:val="24"/>
                <w:lang w:val="en-US" w:eastAsia="zh-CN" w:bidi="ar-SA"/>
              </w:rPr>
              <w:t>生产工艺及产污环节如下图</w:t>
            </w:r>
          </w:p>
          <w:tbl>
            <w:tblPr>
              <w:tblStyle w:val="30"/>
              <w:tblW w:w="0" w:type="auto"/>
              <w:tblInd w:w="5"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274"/>
            </w:tblGrid>
            <w:tr w14:paraId="457EEC6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9274" w:type="dxa"/>
                  <w:vAlign w:val="center"/>
                </w:tcPr>
                <w:p w14:paraId="1DF1C7D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right="0"/>
                    <w:jc w:val="center"/>
                    <w:textAlignment w:val="auto"/>
                    <w:rPr>
                      <w:rFonts w:hint="eastAsia" w:eastAsia="宋体"/>
                      <w:szCs w:val="21"/>
                      <w:vertAlign w:val="baseline"/>
                      <w:lang w:eastAsia="zh-CN"/>
                    </w:rPr>
                  </w:pPr>
                  <w:r>
                    <w:drawing>
                      <wp:anchor distT="0" distB="0" distL="114300" distR="114300" simplePos="0" relativeHeight="251668480" behindDoc="1" locked="0" layoutInCell="1" allowOverlap="1">
                        <wp:simplePos x="0" y="0"/>
                        <wp:positionH relativeFrom="column">
                          <wp:posOffset>-95885</wp:posOffset>
                        </wp:positionH>
                        <wp:positionV relativeFrom="paragraph">
                          <wp:posOffset>-207645</wp:posOffset>
                        </wp:positionV>
                        <wp:extent cx="5815965" cy="2975610"/>
                        <wp:effectExtent l="0" t="0" r="13335" b="15240"/>
                        <wp:wrapTight wrapText="bothSides">
                          <wp:wrapPolygon>
                            <wp:start x="0" y="0"/>
                            <wp:lineTo x="0" y="21434"/>
                            <wp:lineTo x="21508" y="21434"/>
                            <wp:lineTo x="21508" y="0"/>
                            <wp:lineTo x="0" y="0"/>
                          </wp:wrapPolygon>
                        </wp:wrapTight>
                        <wp:docPr id="14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5"/>
                                <pic:cNvPicPr>
                                  <a:picLocks noChangeAspect="1"/>
                                </pic:cNvPicPr>
                              </pic:nvPicPr>
                              <pic:blipFill>
                                <a:blip r:embed="rId12"/>
                                <a:stretch>
                                  <a:fillRect/>
                                </a:stretch>
                              </pic:blipFill>
                              <pic:spPr>
                                <a:xfrm>
                                  <a:off x="0" y="0"/>
                                  <a:ext cx="5815965" cy="2975610"/>
                                </a:xfrm>
                                <a:prstGeom prst="rect">
                                  <a:avLst/>
                                </a:prstGeom>
                                <a:noFill/>
                                <a:ln>
                                  <a:noFill/>
                                </a:ln>
                              </pic:spPr>
                            </pic:pic>
                          </a:graphicData>
                        </a:graphic>
                      </wp:anchor>
                    </w:drawing>
                  </w:r>
                  <w:r>
                    <w:rPr>
                      <w:rFonts w:hint="default"/>
                      <w:b/>
                      <w:bCs/>
                      <w:color w:val="000000" w:themeColor="text1"/>
                      <w:sz w:val="24"/>
                      <w:szCs w:val="24"/>
                      <w:u w:val="none"/>
                      <w:lang w:val="en-US" w:eastAsia="zh-CN"/>
                      <w14:textFill>
                        <w14:solidFill>
                          <w14:schemeClr w14:val="tx1"/>
                        </w14:solidFill>
                      </w14:textFill>
                    </w:rPr>
                    <w:t>图2-</w:t>
                  </w:r>
                  <w:r>
                    <w:rPr>
                      <w:rFonts w:hint="eastAsia"/>
                      <w:b/>
                      <w:bCs/>
                      <w:color w:val="000000" w:themeColor="text1"/>
                      <w:sz w:val="24"/>
                      <w:szCs w:val="24"/>
                      <w:u w:val="none"/>
                      <w:lang w:val="en-US" w:eastAsia="zh-CN"/>
                      <w14:textFill>
                        <w14:solidFill>
                          <w14:schemeClr w14:val="tx1"/>
                        </w14:solidFill>
                      </w14:textFill>
                    </w:rPr>
                    <w:t>4</w:t>
                  </w:r>
                  <w:r>
                    <w:rPr>
                      <w:rFonts w:hint="default"/>
                      <w:b/>
                      <w:bCs/>
                      <w:color w:val="000000" w:themeColor="text1"/>
                      <w:sz w:val="24"/>
                      <w:szCs w:val="24"/>
                      <w:u w:val="none"/>
                      <w:lang w:val="en-US" w:eastAsia="zh-CN"/>
                      <w14:textFill>
                        <w14:solidFill>
                          <w14:schemeClr w14:val="tx1"/>
                        </w14:solidFill>
                      </w14:textFill>
                    </w:rPr>
                    <w:t xml:space="preserve">  </w:t>
                  </w:r>
                  <w:r>
                    <w:rPr>
                      <w:rFonts w:hint="eastAsia"/>
                      <w:b/>
                      <w:bCs/>
                      <w:color w:val="000000" w:themeColor="text1"/>
                      <w:sz w:val="24"/>
                      <w:szCs w:val="24"/>
                      <w:u w:val="none"/>
                      <w:lang w:val="en-US" w:eastAsia="zh-CN"/>
                      <w14:textFill>
                        <w14:solidFill>
                          <w14:schemeClr w14:val="tx1"/>
                        </w14:solidFill>
                      </w14:textFill>
                    </w:rPr>
                    <w:t>机制炭</w:t>
                  </w:r>
                  <w:r>
                    <w:rPr>
                      <w:rFonts w:hint="default"/>
                      <w:b/>
                      <w:bCs/>
                      <w:color w:val="000000" w:themeColor="text1"/>
                      <w:sz w:val="24"/>
                      <w:szCs w:val="24"/>
                      <w:u w:val="none"/>
                      <w:lang w:val="en-US" w:eastAsia="zh-CN"/>
                      <w14:textFill>
                        <w14:solidFill>
                          <w14:schemeClr w14:val="tx1"/>
                        </w14:solidFill>
                      </w14:textFill>
                    </w:rPr>
                    <w:t>生产流程及产污环节图</w:t>
                  </w:r>
                </w:p>
              </w:tc>
            </w:tr>
          </w:tbl>
          <w:p w14:paraId="42A8C653">
            <w:pPr>
              <w:keepNext w:val="0"/>
              <w:keepLines w:val="0"/>
              <w:suppressLineNumbers w:val="0"/>
              <w:spacing w:before="0" w:beforeAutospacing="0" w:after="0" w:afterAutospacing="0" w:line="360" w:lineRule="auto"/>
              <w:ind w:left="0" w:right="0" w:firstLine="480" w:firstLineChars="200"/>
              <w:rPr>
                <w:rFonts w:hint="eastAsia"/>
                <w:sz w:val="24"/>
                <w:szCs w:val="24"/>
              </w:rPr>
            </w:pPr>
            <w:r>
              <w:rPr>
                <w:rFonts w:hint="eastAsia"/>
                <w:sz w:val="24"/>
                <w:szCs w:val="24"/>
                <w:lang w:val="en-US" w:eastAsia="zh-CN"/>
              </w:rPr>
              <w:t>①</w:t>
            </w:r>
            <w:r>
              <w:rPr>
                <w:rFonts w:hint="eastAsia"/>
                <w:sz w:val="24"/>
                <w:szCs w:val="24"/>
              </w:rPr>
              <w:t>原料卸载</w:t>
            </w:r>
          </w:p>
          <w:p w14:paraId="1C390A9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sz w:val="24"/>
                <w:szCs w:val="24"/>
              </w:rPr>
            </w:pPr>
            <w:r>
              <w:rPr>
                <w:rFonts w:hint="eastAsia"/>
                <w:sz w:val="24"/>
                <w:szCs w:val="24"/>
              </w:rPr>
              <w:t>原料采购当地周边</w:t>
            </w:r>
            <w:r>
              <w:rPr>
                <w:rFonts w:hint="default" w:cs="Times New Roman"/>
                <w:color w:val="000000" w:themeColor="text1"/>
                <w:sz w:val="24"/>
                <w:szCs w:val="24"/>
                <w14:textFill>
                  <w14:solidFill>
                    <w14:schemeClr w14:val="tx1"/>
                  </w14:solidFill>
                </w14:textFill>
              </w:rPr>
              <w:t>家具厂</w:t>
            </w:r>
            <w:r>
              <w:rPr>
                <w:rFonts w:hint="eastAsia" w:cs="Times New Roman"/>
                <w:color w:val="000000" w:themeColor="text1"/>
                <w:sz w:val="24"/>
                <w:szCs w:val="24"/>
                <w:lang w:eastAsia="zh-CN"/>
                <w14:textFill>
                  <w14:solidFill>
                    <w14:schemeClr w14:val="tx1"/>
                  </w14:solidFill>
                </w14:textFill>
              </w:rPr>
              <w:t>、</w:t>
            </w:r>
            <w:r>
              <w:rPr>
                <w:rFonts w:hint="eastAsia" w:cs="Times New Roman"/>
                <w:color w:val="000000" w:themeColor="text1"/>
                <w:sz w:val="24"/>
                <w:szCs w:val="24"/>
                <w:lang w:val="en-US" w:eastAsia="zh-CN"/>
                <w14:textFill>
                  <w14:solidFill>
                    <w14:schemeClr w14:val="tx1"/>
                  </w14:solidFill>
                </w14:textFill>
              </w:rPr>
              <w:t>木材加工厂</w:t>
            </w:r>
            <w:r>
              <w:rPr>
                <w:rFonts w:hint="eastAsia"/>
                <w:sz w:val="24"/>
                <w:szCs w:val="24"/>
              </w:rPr>
              <w:t>加工</w:t>
            </w:r>
            <w:r>
              <w:rPr>
                <w:rFonts w:hint="eastAsia"/>
                <w:sz w:val="24"/>
                <w:szCs w:val="24"/>
                <w:lang w:val="en-US" w:eastAsia="zh-CN"/>
              </w:rPr>
              <w:t>产生的木屑、</w:t>
            </w:r>
            <w:r>
              <w:rPr>
                <w:rFonts w:hint="eastAsia"/>
                <w:sz w:val="24"/>
                <w:szCs w:val="24"/>
              </w:rPr>
              <w:t>锯末及边角料</w:t>
            </w:r>
            <w:r>
              <w:rPr>
                <w:rFonts w:hint="eastAsia"/>
                <w:sz w:val="24"/>
                <w:szCs w:val="24"/>
                <w:lang w:val="en-US" w:eastAsia="zh-CN"/>
              </w:rPr>
              <w:t>等，以及周边农户收购的花生壳等</w:t>
            </w:r>
            <w:r>
              <w:rPr>
                <w:rFonts w:hint="eastAsia"/>
                <w:sz w:val="24"/>
                <w:szCs w:val="24"/>
              </w:rPr>
              <w:t>，由运输车辆袋装运至厂区，卸载到原料库，分区存放。</w:t>
            </w:r>
          </w:p>
          <w:p w14:paraId="5BDBE4C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sz w:val="24"/>
                <w:szCs w:val="24"/>
              </w:rPr>
            </w:pPr>
            <w:r>
              <w:rPr>
                <w:rFonts w:hint="eastAsia"/>
                <w:sz w:val="24"/>
                <w:szCs w:val="24"/>
                <w:lang w:val="en-US" w:eastAsia="zh-CN"/>
              </w:rPr>
              <w:t>②破碎、</w:t>
            </w:r>
            <w:r>
              <w:rPr>
                <w:rFonts w:hint="eastAsia"/>
                <w:sz w:val="24"/>
                <w:szCs w:val="24"/>
              </w:rPr>
              <w:t>筛分</w:t>
            </w:r>
          </w:p>
          <w:p w14:paraId="3E6DBB3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sz w:val="24"/>
                <w:szCs w:val="24"/>
              </w:rPr>
            </w:pPr>
            <w:r>
              <w:rPr>
                <w:rFonts w:hint="eastAsia"/>
                <w:sz w:val="24"/>
                <w:szCs w:val="24"/>
                <w:lang w:val="en-US" w:eastAsia="zh-CN"/>
              </w:rPr>
              <w:t>需要粉碎的原料（</w:t>
            </w:r>
            <w:r>
              <w:rPr>
                <w:rFonts w:hint="default"/>
                <w:b w:val="0"/>
                <w:bCs/>
                <w:lang w:val="en-US" w:eastAsia="zh-CN"/>
              </w:rPr>
              <w:t>废木材</w:t>
            </w:r>
            <w:r>
              <w:rPr>
                <w:rFonts w:hint="eastAsia"/>
                <w:sz w:val="24"/>
                <w:szCs w:val="24"/>
                <w:lang w:eastAsia="zh-CN"/>
              </w:rPr>
              <w:t>、</w:t>
            </w:r>
            <w:r>
              <w:rPr>
                <w:rFonts w:hint="eastAsia"/>
                <w:b w:val="0"/>
                <w:bCs/>
                <w:lang w:val="en-US" w:eastAsia="zh-CN"/>
              </w:rPr>
              <w:t>次</w:t>
            </w:r>
            <w:r>
              <w:rPr>
                <w:rFonts w:hint="default"/>
                <w:b w:val="0"/>
                <w:bCs/>
                <w:lang w:val="en-US" w:eastAsia="zh-CN"/>
              </w:rPr>
              <w:t>小薪材</w:t>
            </w:r>
            <w:r>
              <w:rPr>
                <w:rFonts w:hint="eastAsia"/>
                <w:sz w:val="24"/>
                <w:szCs w:val="24"/>
                <w:lang w:val="en-US" w:eastAsia="zh-CN"/>
              </w:rPr>
              <w:t>）经过人工送至粉碎机</w:t>
            </w:r>
            <w:r>
              <w:rPr>
                <w:rFonts w:hint="eastAsia"/>
                <w:sz w:val="24"/>
                <w:szCs w:val="24"/>
              </w:rPr>
              <w:t>进行粉碎，</w:t>
            </w:r>
            <w:r>
              <w:rPr>
                <w:rFonts w:hint="eastAsia"/>
                <w:sz w:val="24"/>
                <w:szCs w:val="24"/>
                <w:lang w:val="en-US" w:eastAsia="zh-CN"/>
              </w:rPr>
              <w:t>粉碎后的原料进入筛分机进行筛分，筛分后</w:t>
            </w:r>
            <w:r>
              <w:rPr>
                <w:rFonts w:hint="eastAsia"/>
                <w:sz w:val="24"/>
                <w:szCs w:val="24"/>
              </w:rPr>
              <w:t>大于5mm的</w:t>
            </w:r>
            <w:r>
              <w:rPr>
                <w:rFonts w:hint="eastAsia"/>
                <w:sz w:val="24"/>
                <w:szCs w:val="24"/>
                <w:lang w:val="en-US" w:eastAsia="zh-CN"/>
              </w:rPr>
              <w:t>原料</w:t>
            </w:r>
            <w:r>
              <w:rPr>
                <w:rFonts w:hint="eastAsia"/>
                <w:sz w:val="24"/>
                <w:szCs w:val="24"/>
              </w:rPr>
              <w:t>被分离出来</w:t>
            </w:r>
            <w:r>
              <w:rPr>
                <w:rFonts w:hint="eastAsia"/>
                <w:sz w:val="24"/>
                <w:szCs w:val="24"/>
                <w:lang w:val="en-US" w:eastAsia="zh-CN"/>
              </w:rPr>
              <w:t>后回至粉碎机进行再次破碎</w:t>
            </w:r>
            <w:r>
              <w:rPr>
                <w:rFonts w:hint="eastAsia"/>
                <w:sz w:val="24"/>
                <w:szCs w:val="24"/>
              </w:rPr>
              <w:t>。此过程产生的污染物主要为粉碎、筛分产生的粉尘。</w:t>
            </w:r>
          </w:p>
          <w:p w14:paraId="5073B208">
            <w:pPr>
              <w:keepNext w:val="0"/>
              <w:keepLines w:val="0"/>
              <w:suppressLineNumbers w:val="0"/>
              <w:spacing w:before="0" w:beforeAutospacing="0" w:after="0" w:afterAutospacing="0" w:line="360" w:lineRule="auto"/>
              <w:ind w:left="0" w:right="0" w:firstLine="480" w:firstLineChars="200"/>
              <w:rPr>
                <w:rFonts w:hint="eastAsia"/>
                <w:sz w:val="24"/>
                <w:szCs w:val="24"/>
              </w:rPr>
            </w:pPr>
            <w:r>
              <w:rPr>
                <w:rFonts w:hint="eastAsia"/>
                <w:sz w:val="24"/>
                <w:szCs w:val="24"/>
                <w:lang w:val="en-US" w:eastAsia="zh-CN"/>
              </w:rPr>
              <w:t>③</w:t>
            </w:r>
            <w:r>
              <w:rPr>
                <w:rFonts w:hint="eastAsia"/>
                <w:sz w:val="24"/>
                <w:szCs w:val="24"/>
              </w:rPr>
              <w:t>烘干</w:t>
            </w:r>
          </w:p>
          <w:p w14:paraId="3A771597">
            <w:pPr>
              <w:keepNext w:val="0"/>
              <w:keepLines w:val="0"/>
              <w:suppressLineNumbers w:val="0"/>
              <w:tabs>
                <w:tab w:val="left" w:pos="2671"/>
              </w:tabs>
              <w:spacing w:before="0" w:beforeAutospacing="0" w:after="0" w:afterAutospacing="0" w:line="360" w:lineRule="auto"/>
              <w:ind w:left="0" w:right="0" w:firstLine="480" w:firstLineChars="200"/>
              <w:rPr>
                <w:rFonts w:hint="eastAsia"/>
                <w:color w:val="000000" w:themeColor="text1"/>
                <w:sz w:val="24"/>
                <w:szCs w:val="24"/>
                <w14:textFill>
                  <w14:solidFill>
                    <w14:schemeClr w14:val="tx1"/>
                  </w14:solidFill>
                </w14:textFill>
              </w:rPr>
            </w:pPr>
            <w:r>
              <w:rPr>
                <w:rFonts w:hint="eastAsia"/>
                <w:sz w:val="24"/>
                <w:szCs w:val="24"/>
              </w:rPr>
              <w:t>进厂原料含水率约为2</w:t>
            </w:r>
            <w:r>
              <w:rPr>
                <w:rFonts w:hint="eastAsia"/>
                <w:sz w:val="24"/>
                <w:szCs w:val="24"/>
                <w:lang w:val="en-US" w:eastAsia="zh-CN"/>
              </w:rPr>
              <w:t>5</w:t>
            </w:r>
            <w:r>
              <w:rPr>
                <w:rFonts w:hint="default"/>
                <w:sz w:val="24"/>
                <w:szCs w:val="24"/>
              </w:rPr>
              <w:t>%</w:t>
            </w:r>
            <w:r>
              <w:rPr>
                <w:rFonts w:hint="eastAsia"/>
                <w:sz w:val="24"/>
                <w:szCs w:val="24"/>
              </w:rPr>
              <w:t>左右，因此需要对</w:t>
            </w:r>
            <w:r>
              <w:rPr>
                <w:rFonts w:hint="eastAsia"/>
                <w:sz w:val="24"/>
                <w:szCs w:val="24"/>
                <w:lang w:val="en-US" w:eastAsia="zh-CN"/>
              </w:rPr>
              <w:t>筛分后的细料</w:t>
            </w:r>
            <w:r>
              <w:rPr>
                <w:rFonts w:hint="eastAsia"/>
                <w:sz w:val="24"/>
                <w:szCs w:val="24"/>
              </w:rPr>
              <w:t>进行干燥处理，烘干温度为</w:t>
            </w:r>
            <w:r>
              <w:rPr>
                <w:rFonts w:hint="default"/>
                <w:sz w:val="24"/>
                <w:szCs w:val="24"/>
              </w:rPr>
              <w:t>50-60</w:t>
            </w:r>
            <w:r>
              <w:rPr>
                <w:rFonts w:hint="eastAsia"/>
                <w:sz w:val="24"/>
                <w:szCs w:val="24"/>
              </w:rPr>
              <w:t>℃，烘干机主要采用热风炉提供热风对原料进行烘干，烘干后的</w:t>
            </w:r>
            <w:r>
              <w:rPr>
                <w:rFonts w:hint="eastAsia"/>
                <w:sz w:val="24"/>
                <w:szCs w:val="24"/>
                <w:lang w:val="en-US" w:eastAsia="zh-CN"/>
              </w:rPr>
              <w:t>物料</w:t>
            </w:r>
            <w:r>
              <w:rPr>
                <w:rFonts w:hint="eastAsia"/>
                <w:sz w:val="24"/>
                <w:szCs w:val="24"/>
              </w:rPr>
              <w:t>和所产生的水汽被风机吸走，经</w:t>
            </w:r>
            <w:r>
              <w:rPr>
                <w:rFonts w:hint="eastAsia"/>
                <w:color w:val="000000" w:themeColor="text1"/>
                <w:sz w:val="24"/>
                <w:szCs w:val="24"/>
                <w14:textFill>
                  <w14:solidFill>
                    <w14:schemeClr w14:val="tx1"/>
                  </w14:solidFill>
                </w14:textFill>
              </w:rPr>
              <w:t>过管道被送入旋风分离器中，进行水汽和干料的分离。经过烘干的</w:t>
            </w:r>
            <w:r>
              <w:rPr>
                <w:rFonts w:hint="eastAsia"/>
                <w:color w:val="000000" w:themeColor="text1"/>
                <w:sz w:val="24"/>
                <w:szCs w:val="24"/>
                <w:lang w:val="en-US" w:eastAsia="zh-CN"/>
                <w14:textFill>
                  <w14:solidFill>
                    <w14:schemeClr w14:val="tx1"/>
                  </w14:solidFill>
                </w14:textFill>
              </w:rPr>
              <w:t>物料</w:t>
            </w:r>
            <w:r>
              <w:rPr>
                <w:rFonts w:hint="eastAsia"/>
                <w:color w:val="000000" w:themeColor="text1"/>
                <w:sz w:val="24"/>
                <w:szCs w:val="24"/>
                <w14:textFill>
                  <w14:solidFill>
                    <w14:schemeClr w14:val="tx1"/>
                  </w14:solidFill>
                </w14:textFill>
              </w:rPr>
              <w:t>湿度大约在（</w:t>
            </w:r>
            <w:r>
              <w:rPr>
                <w:rFonts w:hint="default"/>
                <w:color w:val="000000" w:themeColor="text1"/>
                <w:sz w:val="24"/>
                <w:szCs w:val="24"/>
                <w14:textFill>
                  <w14:solidFill>
                    <w14:schemeClr w14:val="tx1"/>
                  </w14:solidFill>
                </w14:textFill>
              </w:rPr>
              <w:t>4%-8%</w:t>
            </w:r>
            <w:r>
              <w:rPr>
                <w:rFonts w:hint="eastAsia"/>
                <w:color w:val="000000" w:themeColor="text1"/>
                <w:sz w:val="24"/>
                <w:szCs w:val="24"/>
                <w14:textFill>
                  <w14:solidFill>
                    <w14:schemeClr w14:val="tx1"/>
                  </w14:solidFill>
                </w14:textFill>
              </w:rPr>
              <w:t>），在旋风分离器中通过重力作用，干</w:t>
            </w:r>
            <w:r>
              <w:rPr>
                <w:rFonts w:hint="eastAsia"/>
                <w:color w:val="000000" w:themeColor="text1"/>
                <w:sz w:val="24"/>
                <w:szCs w:val="24"/>
                <w:lang w:val="en-US" w:eastAsia="zh-CN"/>
                <w14:textFill>
                  <w14:solidFill>
                    <w14:schemeClr w14:val="tx1"/>
                  </w14:solidFill>
                </w14:textFill>
              </w:rPr>
              <w:t>物料</w:t>
            </w:r>
            <w:r>
              <w:rPr>
                <w:rFonts w:hint="eastAsia"/>
                <w:color w:val="000000" w:themeColor="text1"/>
                <w:sz w:val="24"/>
                <w:szCs w:val="24"/>
                <w14:textFill>
                  <w14:solidFill>
                    <w14:schemeClr w14:val="tx1"/>
                  </w14:solidFill>
                </w14:textFill>
              </w:rPr>
              <w:t>从潮湿的空气被分离出来落入料箱。</w:t>
            </w:r>
          </w:p>
          <w:p w14:paraId="24D97296">
            <w:pPr>
              <w:keepNext w:val="0"/>
              <w:keepLines w:val="0"/>
              <w:suppressLineNumbers w:val="0"/>
              <w:spacing w:before="0" w:beforeAutospacing="0" w:after="0" w:afterAutospacing="0" w:line="360" w:lineRule="auto"/>
              <w:ind w:left="0" w:right="0" w:firstLine="480" w:firstLineChars="200"/>
              <w:rPr>
                <w:rFonts w:hint="eastAsia"/>
                <w:color w:val="000000" w:themeColor="text1"/>
                <w:sz w:val="24"/>
                <w:szCs w:val="24"/>
                <w:u w:val="none"/>
                <w14:textFill>
                  <w14:solidFill>
                    <w14:schemeClr w14:val="tx1"/>
                  </w14:solidFill>
                </w14:textFill>
              </w:rPr>
            </w:pPr>
            <w:r>
              <w:rPr>
                <w:rFonts w:hint="eastAsia"/>
                <w:color w:val="000000" w:themeColor="text1"/>
                <w:sz w:val="24"/>
                <w:szCs w:val="24"/>
                <w:u w:val="none"/>
                <w14:textFill>
                  <w14:solidFill>
                    <w14:schemeClr w14:val="tx1"/>
                  </w14:solidFill>
                </w14:textFill>
              </w:rPr>
              <w:t>热风炉以炭化工作时产生的可燃气体（净化木煤气）为燃料，当开工时</w:t>
            </w:r>
            <w:r>
              <w:rPr>
                <w:rFonts w:hint="eastAsia"/>
                <w:color w:val="000000" w:themeColor="text1"/>
                <w:sz w:val="24"/>
                <w:szCs w:val="24"/>
                <w:u w:val="none"/>
                <w:lang w:val="en-US" w:eastAsia="zh-CN"/>
                <w14:textFill>
                  <w14:solidFill>
                    <w14:schemeClr w14:val="tx1"/>
                  </w14:solidFill>
                </w14:textFill>
              </w:rPr>
              <w:t>储存柜</w:t>
            </w:r>
            <w:r>
              <w:rPr>
                <w:rFonts w:hint="eastAsia"/>
                <w:color w:val="000000" w:themeColor="text1"/>
                <w:sz w:val="24"/>
                <w:szCs w:val="24"/>
                <w:u w:val="none"/>
                <w14:textFill>
                  <w14:solidFill>
                    <w14:schemeClr w14:val="tx1"/>
                  </w14:solidFill>
                </w14:textFill>
              </w:rPr>
              <w:t>无木煤气</w:t>
            </w:r>
            <w:r>
              <w:rPr>
                <w:rFonts w:hint="eastAsia"/>
                <w:color w:val="000000" w:themeColor="text1"/>
                <w:sz w:val="24"/>
                <w:szCs w:val="24"/>
                <w:u w:val="none"/>
                <w:lang w:val="en-US" w:eastAsia="zh-CN"/>
                <w14:textFill>
                  <w14:solidFill>
                    <w14:schemeClr w14:val="tx1"/>
                  </w14:solidFill>
                </w14:textFill>
              </w:rPr>
              <w:t>储存</w:t>
            </w:r>
            <w:r>
              <w:rPr>
                <w:rFonts w:hint="eastAsia"/>
                <w:color w:val="000000" w:themeColor="text1"/>
                <w:sz w:val="24"/>
                <w:szCs w:val="24"/>
                <w:u w:val="none"/>
                <w14:textFill>
                  <w14:solidFill>
                    <w14:schemeClr w14:val="tx1"/>
                  </w14:solidFill>
                </w14:textFill>
              </w:rPr>
              <w:t>时，</w:t>
            </w:r>
            <w:r>
              <w:rPr>
                <w:rFonts w:hint="eastAsia"/>
                <w:bCs/>
                <w:color w:val="000000" w:themeColor="text1"/>
                <w:sz w:val="24"/>
                <w:szCs w:val="24"/>
                <w:u w:val="none"/>
                <w:lang w:val="en-US" w:eastAsia="zh-CN"/>
                <w14:textFill>
                  <w14:solidFill>
                    <w14:schemeClr w14:val="tx1"/>
                  </w14:solidFill>
                </w14:textFill>
              </w:rPr>
              <w:t>采用电源产生热源进行烘干</w:t>
            </w:r>
            <w:r>
              <w:rPr>
                <w:rFonts w:hint="eastAsia"/>
                <w:color w:val="000000" w:themeColor="text1"/>
                <w:sz w:val="24"/>
                <w:szCs w:val="24"/>
                <w:u w:val="none"/>
                <w14:textFill>
                  <w14:solidFill>
                    <w14:schemeClr w14:val="tx1"/>
                  </w14:solidFill>
                </w14:textFill>
              </w:rPr>
              <w:t>。炭化炉</w:t>
            </w:r>
            <w:r>
              <w:rPr>
                <w:rFonts w:hint="eastAsia"/>
                <w:color w:val="000000" w:themeColor="text1"/>
                <w:sz w:val="24"/>
                <w:szCs w:val="24"/>
                <w:u w:val="none"/>
                <w:lang w:val="en-US" w:eastAsia="zh-CN"/>
                <w14:textFill>
                  <w14:solidFill>
                    <w14:schemeClr w14:val="tx1"/>
                  </w14:solidFill>
                </w14:textFill>
              </w:rPr>
              <w:t>烟气经净化后在暂存柜暂存，暂存柜</w:t>
            </w:r>
            <w:r>
              <w:rPr>
                <w:rFonts w:hint="eastAsia"/>
                <w:color w:val="000000" w:themeColor="text1"/>
                <w:sz w:val="24"/>
                <w:szCs w:val="24"/>
                <w:u w:val="none"/>
                <w14:textFill>
                  <w14:solidFill>
                    <w14:schemeClr w14:val="tx1"/>
                  </w14:solidFill>
                </w14:textFill>
              </w:rPr>
              <w:t>与烘干设备配套的热风炉采用管道相连接，</w:t>
            </w:r>
            <w:r>
              <w:rPr>
                <w:rFonts w:hint="eastAsia"/>
                <w:color w:val="000000" w:themeColor="text1"/>
                <w:sz w:val="24"/>
                <w:szCs w:val="24"/>
                <w:u w:val="none"/>
                <w:lang w:val="en-US" w:eastAsia="zh-CN"/>
                <w14:textFill>
                  <w14:solidFill>
                    <w14:schemeClr w14:val="tx1"/>
                  </w14:solidFill>
                </w14:textFill>
              </w:rPr>
              <w:t>经净化后的</w:t>
            </w:r>
            <w:r>
              <w:rPr>
                <w:rFonts w:hint="eastAsia"/>
                <w:color w:val="000000" w:themeColor="text1"/>
                <w:sz w:val="24"/>
                <w:szCs w:val="24"/>
                <w:u w:val="none"/>
                <w14:textFill>
                  <w14:solidFill>
                    <w14:schemeClr w14:val="tx1"/>
                  </w14:solidFill>
                </w14:textFill>
              </w:rPr>
              <w:t>可燃气体引至热风炉燃烧室，</w:t>
            </w:r>
            <w:r>
              <w:rPr>
                <w:rFonts w:hint="default"/>
                <w:color w:val="000000" w:themeColor="text1"/>
                <w:sz w:val="24"/>
                <w:szCs w:val="24"/>
                <w:u w:val="none"/>
                <w14:textFill>
                  <w14:solidFill>
                    <w14:schemeClr w14:val="tx1"/>
                  </w14:solidFill>
                </w14:textFill>
              </w:rPr>
              <w:t>通过开关控制，气体</w:t>
            </w:r>
            <w:r>
              <w:rPr>
                <w:rFonts w:hint="eastAsia"/>
                <w:color w:val="000000" w:themeColor="text1"/>
                <w:sz w:val="24"/>
                <w:szCs w:val="24"/>
                <w:u w:val="none"/>
                <w14:textFill>
                  <w14:solidFill>
                    <w14:schemeClr w14:val="tx1"/>
                  </w14:solidFill>
                </w14:textFill>
              </w:rPr>
              <w:t>引</w:t>
            </w:r>
            <w:r>
              <w:rPr>
                <w:rFonts w:hint="default"/>
                <w:color w:val="000000" w:themeColor="text1"/>
                <w:sz w:val="24"/>
                <w:szCs w:val="24"/>
                <w:u w:val="none"/>
                <w14:textFill>
                  <w14:solidFill>
                    <w14:schemeClr w14:val="tx1"/>
                  </w14:solidFill>
                </w14:textFill>
              </w:rPr>
              <w:t>入炉室内，遇火星即燃烧</w:t>
            </w:r>
            <w:r>
              <w:rPr>
                <w:rFonts w:hint="eastAsia"/>
                <w:color w:val="000000" w:themeColor="text1"/>
                <w:sz w:val="24"/>
                <w:szCs w:val="24"/>
                <w:u w:val="none"/>
                <w14:textFill>
                  <w14:solidFill>
                    <w14:schemeClr w14:val="tx1"/>
                  </w14:solidFill>
                </w14:textFill>
              </w:rPr>
              <w:t>点燃，产生高温气流。高温气流与原料一同进入干燥管，在高速热气流输送中，将原料中的水分蒸发，烘干过程产生的废气主要为燃烧废气及物料干燥水蒸气的混合气。</w:t>
            </w:r>
          </w:p>
          <w:p w14:paraId="7F6D6D12">
            <w:pPr>
              <w:keepNext w:val="0"/>
              <w:keepLines w:val="0"/>
              <w:suppressLineNumbers w:val="0"/>
              <w:spacing w:before="0" w:beforeAutospacing="0" w:after="0" w:afterAutospacing="0" w:line="360" w:lineRule="auto"/>
              <w:ind w:left="0" w:right="0" w:firstLine="480" w:firstLineChars="200"/>
              <w:rPr>
                <w:rFonts w:hint="eastAsia"/>
                <w:color w:val="000000" w:themeColor="text1"/>
                <w:sz w:val="24"/>
                <w:szCs w:val="24"/>
                <w:u w:val="none"/>
                <w14:textFill>
                  <w14:solidFill>
                    <w14:schemeClr w14:val="tx1"/>
                  </w14:solidFill>
                </w14:textFill>
              </w:rPr>
            </w:pPr>
            <w:r>
              <w:rPr>
                <w:rFonts w:hint="eastAsia"/>
                <w:color w:val="000000" w:themeColor="text1"/>
                <w:sz w:val="24"/>
                <w:szCs w:val="24"/>
                <w:u w:val="none"/>
                <w:lang w:val="en-US" w:eastAsia="zh-CN"/>
                <w14:textFill>
                  <w14:solidFill>
                    <w14:schemeClr w14:val="tx1"/>
                  </w14:solidFill>
                </w14:textFill>
              </w:rPr>
              <w:t>④</w:t>
            </w:r>
            <w:r>
              <w:rPr>
                <w:rFonts w:hint="eastAsia"/>
                <w:color w:val="000000" w:themeColor="text1"/>
                <w:sz w:val="24"/>
                <w:szCs w:val="24"/>
                <w:u w:val="none"/>
                <w14:textFill>
                  <w14:solidFill>
                    <w14:schemeClr w14:val="tx1"/>
                  </w14:solidFill>
                </w14:textFill>
              </w:rPr>
              <w:t>制棒</w:t>
            </w:r>
          </w:p>
          <w:p w14:paraId="67368E50">
            <w:pPr>
              <w:keepNext w:val="0"/>
              <w:keepLines w:val="0"/>
              <w:suppressLineNumbers w:val="0"/>
              <w:spacing w:before="0" w:beforeAutospacing="0" w:after="0" w:afterAutospacing="0" w:line="360" w:lineRule="auto"/>
              <w:ind w:left="0" w:right="0" w:firstLine="480" w:firstLineChars="200"/>
              <w:rPr>
                <w:rFonts w:hint="eastAsia"/>
                <w:color w:val="000000" w:themeColor="text1"/>
                <w:kern w:val="0"/>
                <w:sz w:val="24"/>
                <w:szCs w:val="24"/>
                <w:u w:val="none"/>
                <w14:textFill>
                  <w14:solidFill>
                    <w14:schemeClr w14:val="tx1"/>
                  </w14:solidFill>
                </w14:textFill>
              </w:rPr>
            </w:pPr>
            <w:r>
              <w:rPr>
                <w:rFonts w:hint="eastAsia"/>
                <w:color w:val="000000" w:themeColor="text1"/>
                <w:sz w:val="24"/>
                <w:szCs w:val="24"/>
                <w:u w:val="none"/>
                <w14:textFill>
                  <w14:solidFill>
                    <w14:schemeClr w14:val="tx1"/>
                  </w14:solidFill>
                </w14:textFill>
              </w:rPr>
              <w:t>烘干后的</w:t>
            </w:r>
            <w:r>
              <w:rPr>
                <w:rFonts w:hint="eastAsia"/>
                <w:color w:val="000000" w:themeColor="text1"/>
                <w:sz w:val="24"/>
                <w:szCs w:val="24"/>
                <w:u w:val="none"/>
                <w:lang w:val="en-US" w:eastAsia="zh-CN"/>
                <w14:textFill>
                  <w14:solidFill>
                    <w14:schemeClr w14:val="tx1"/>
                  </w14:solidFill>
                </w14:textFill>
              </w:rPr>
              <w:t>物料</w:t>
            </w:r>
            <w:r>
              <w:rPr>
                <w:rFonts w:hint="eastAsia"/>
                <w:color w:val="000000" w:themeColor="text1"/>
                <w:sz w:val="24"/>
                <w:szCs w:val="24"/>
                <w:u w:val="none"/>
                <w14:textFill>
                  <w14:solidFill>
                    <w14:schemeClr w14:val="tx1"/>
                  </w14:solidFill>
                </w14:textFill>
              </w:rPr>
              <w:t>在料箱里经螺旋送料机直接送入制棒机中</w:t>
            </w:r>
            <w:r>
              <w:rPr>
                <w:rFonts w:hint="eastAsia"/>
                <w:color w:val="000000" w:themeColor="text1"/>
                <w:sz w:val="24"/>
                <w:szCs w:val="24"/>
                <w:u w:val="none"/>
                <w:lang w:val="en-US" w:eastAsia="zh-CN"/>
                <w14:textFill>
                  <w14:solidFill>
                    <w14:schemeClr w14:val="tx1"/>
                  </w14:solidFill>
                </w14:textFill>
              </w:rPr>
              <w:t>制棒成型为薪棒。</w:t>
            </w:r>
            <w:r>
              <w:rPr>
                <w:rFonts w:hint="eastAsia"/>
                <w:color w:val="000000" w:themeColor="text1"/>
                <w:kern w:val="0"/>
                <w:sz w:val="24"/>
                <w:szCs w:val="24"/>
                <w:u w:val="none"/>
                <w14:textFill>
                  <w14:solidFill>
                    <w14:schemeClr w14:val="tx1"/>
                  </w14:solidFill>
                </w14:textFill>
              </w:rPr>
              <w:t>制棒机的成型套筒外有电加热圈，它可使成型套筒的温度上升到350℃左右。</w:t>
            </w:r>
          </w:p>
          <w:p w14:paraId="3F958443">
            <w:pPr>
              <w:keepNext w:val="0"/>
              <w:keepLines w:val="0"/>
              <w:suppressLineNumbers w:val="0"/>
              <w:spacing w:before="0" w:beforeAutospacing="0" w:after="0" w:afterAutospacing="0" w:line="360" w:lineRule="auto"/>
              <w:ind w:left="0" w:right="0" w:firstLine="480" w:firstLineChars="200"/>
              <w:rPr>
                <w:rFonts w:hint="eastAsia"/>
                <w:color w:val="000000" w:themeColor="text1"/>
                <w:sz w:val="24"/>
                <w:szCs w:val="24"/>
                <w:u w:val="none"/>
                <w14:textFill>
                  <w14:solidFill>
                    <w14:schemeClr w14:val="tx1"/>
                  </w14:solidFill>
                </w14:textFill>
              </w:rPr>
            </w:pPr>
            <w:r>
              <w:rPr>
                <w:rFonts w:hint="eastAsia"/>
                <w:color w:val="000000" w:themeColor="text1"/>
                <w:sz w:val="24"/>
                <w:szCs w:val="24"/>
                <w:u w:val="none"/>
                <w14:textFill>
                  <w14:solidFill>
                    <w14:schemeClr w14:val="tx1"/>
                  </w14:solidFill>
                </w14:textFill>
              </w:rPr>
              <w:t>成型原理：利用木质原料固有的特性，通过高温软化的生物质燃料，在高温高压下，木质原料中的木质素纤维相结合，形成带中心孔的半成品</w:t>
            </w:r>
            <w:r>
              <w:rPr>
                <w:rFonts w:hint="eastAsia"/>
                <w:color w:val="000000" w:themeColor="text1"/>
                <w:sz w:val="24"/>
                <w:szCs w:val="24"/>
                <w:u w:val="none"/>
                <w:lang w:val="en-US" w:eastAsia="zh-CN"/>
                <w14:textFill>
                  <w14:solidFill>
                    <w14:schemeClr w14:val="tx1"/>
                  </w14:solidFill>
                </w14:textFill>
              </w:rPr>
              <w:t>薪棒</w:t>
            </w:r>
            <w:r>
              <w:rPr>
                <w:rFonts w:hint="eastAsia"/>
                <w:color w:val="000000" w:themeColor="text1"/>
                <w:sz w:val="24"/>
                <w:szCs w:val="24"/>
                <w:u w:val="none"/>
                <w14:textFill>
                  <w14:solidFill>
                    <w14:schemeClr w14:val="tx1"/>
                  </w14:solidFill>
                </w14:textFill>
              </w:rPr>
              <w:t>。</w:t>
            </w:r>
            <w:r>
              <w:rPr>
                <w:rFonts w:hint="eastAsia"/>
                <w:color w:val="000000" w:themeColor="text1"/>
                <w:sz w:val="24"/>
                <w:szCs w:val="24"/>
                <w:u w:val="none"/>
                <w:lang w:val="en-US" w:eastAsia="zh-CN"/>
                <w14:textFill>
                  <w14:solidFill>
                    <w14:schemeClr w14:val="tx1"/>
                  </w14:solidFill>
                </w14:textFill>
              </w:rPr>
              <w:t>制棒机配套截断装置，制棒成型的长度在15cm-100cm之间</w:t>
            </w:r>
            <w:r>
              <w:rPr>
                <w:rFonts w:hint="eastAsia"/>
                <w:color w:val="000000" w:themeColor="text1"/>
                <w:sz w:val="24"/>
                <w:szCs w:val="24"/>
                <w:u w:val="none"/>
                <w14:textFill>
                  <w14:solidFill>
                    <w14:schemeClr w14:val="tx1"/>
                  </w14:solidFill>
                </w14:textFill>
              </w:rPr>
              <w:t>。制棒成型过程主要是密闭机械过程，</w:t>
            </w:r>
            <w:r>
              <w:rPr>
                <w:rFonts w:hint="eastAsia"/>
                <w:color w:val="000000" w:themeColor="text1"/>
                <w:sz w:val="24"/>
                <w:szCs w:val="24"/>
                <w:highlight w:val="none"/>
                <w:u w:val="none"/>
                <w14:textFill>
                  <w14:solidFill>
                    <w14:schemeClr w14:val="tx1"/>
                  </w14:solidFill>
                </w14:textFill>
              </w:rPr>
              <w:t>干燥后的木屑在制棒机的螺旋机械挤压作用下</w:t>
            </w:r>
            <w:r>
              <w:rPr>
                <w:rFonts w:hint="eastAsia"/>
                <w:color w:val="000000" w:themeColor="text1"/>
                <w:sz w:val="24"/>
                <w:szCs w:val="24"/>
                <w:highlight w:val="none"/>
                <w:u w:val="none"/>
                <w:lang w:val="en-US" w:eastAsia="zh-CN"/>
                <w14:textFill>
                  <w14:solidFill>
                    <w14:schemeClr w14:val="tx1"/>
                  </w14:solidFill>
                </w14:textFill>
              </w:rPr>
              <w:t>及截断过程</w:t>
            </w:r>
            <w:r>
              <w:rPr>
                <w:rFonts w:hint="eastAsia"/>
                <w:color w:val="000000" w:themeColor="text1"/>
                <w:sz w:val="24"/>
                <w:szCs w:val="24"/>
                <w:highlight w:val="none"/>
                <w:u w:val="none"/>
                <w14:textFill>
                  <w14:solidFill>
                    <w14:schemeClr w14:val="tx1"/>
                  </w14:solidFill>
                </w14:textFill>
              </w:rPr>
              <w:t>，产生少量</w:t>
            </w:r>
            <w:r>
              <w:rPr>
                <w:rFonts w:hint="eastAsia"/>
                <w:color w:val="000000" w:themeColor="text1"/>
                <w:sz w:val="24"/>
                <w:szCs w:val="24"/>
                <w:highlight w:val="none"/>
                <w:u w:val="none"/>
                <w:lang w:val="en-US" w:eastAsia="zh-CN"/>
                <w14:textFill>
                  <w14:solidFill>
                    <w14:schemeClr w14:val="tx1"/>
                  </w14:solidFill>
                </w14:textFill>
              </w:rPr>
              <w:t>粉尘废气</w:t>
            </w:r>
            <w:r>
              <w:rPr>
                <w:rFonts w:hint="eastAsia"/>
                <w:color w:val="000000" w:themeColor="text1"/>
                <w:sz w:val="24"/>
                <w:szCs w:val="24"/>
                <w:highlight w:val="none"/>
                <w:u w:val="none"/>
                <w14:textFill>
                  <w14:solidFill>
                    <w14:schemeClr w14:val="tx1"/>
                  </w14:solidFill>
                </w14:textFill>
              </w:rPr>
              <w:t>。</w:t>
            </w:r>
          </w:p>
          <w:p w14:paraId="64EC59A4">
            <w:pPr>
              <w:keepNext w:val="0"/>
              <w:keepLines w:val="0"/>
              <w:suppressLineNumbers w:val="0"/>
              <w:spacing w:before="0" w:beforeAutospacing="0" w:after="0" w:afterAutospacing="0" w:line="360" w:lineRule="auto"/>
              <w:ind w:left="0" w:right="0" w:firstLine="480" w:firstLineChars="200"/>
              <w:rPr>
                <w:rFonts w:hint="eastAsia"/>
                <w:color w:val="000000" w:themeColor="text1"/>
                <w:sz w:val="24"/>
                <w:szCs w:val="24"/>
                <w14:textFill>
                  <w14:solidFill>
                    <w14:schemeClr w14:val="tx1"/>
                  </w14:solidFill>
                </w14:textFill>
              </w:rPr>
            </w:pPr>
            <w:r>
              <w:rPr>
                <w:rFonts w:hint="eastAsia"/>
                <w:color w:val="000000" w:themeColor="text1"/>
                <w:sz w:val="24"/>
                <w:szCs w:val="24"/>
                <w:lang w:val="en-US" w:eastAsia="zh-CN"/>
                <w14:textFill>
                  <w14:solidFill>
                    <w14:schemeClr w14:val="tx1"/>
                  </w14:solidFill>
                </w14:textFill>
              </w:rPr>
              <w:t>⑤</w:t>
            </w:r>
            <w:r>
              <w:rPr>
                <w:rFonts w:hint="eastAsia"/>
                <w:color w:val="000000" w:themeColor="text1"/>
                <w:sz w:val="24"/>
                <w:szCs w:val="24"/>
                <w14:textFill>
                  <w14:solidFill>
                    <w14:schemeClr w14:val="tx1"/>
                  </w14:solidFill>
                </w14:textFill>
              </w:rPr>
              <w:t>炭化</w:t>
            </w:r>
          </w:p>
          <w:p w14:paraId="4ED5403C">
            <w:pPr>
              <w:keepNext w:val="0"/>
              <w:keepLines w:val="0"/>
              <w:suppressLineNumbers w:val="0"/>
              <w:spacing w:before="0" w:beforeAutospacing="0" w:after="0" w:afterAutospacing="0" w:line="360" w:lineRule="auto"/>
              <w:ind w:left="0" w:right="0" w:firstLine="480" w:firstLineChars="200"/>
              <w:rPr>
                <w:rFonts w:hint="eastAsia"/>
                <w:sz w:val="24"/>
                <w:szCs w:val="24"/>
              </w:rPr>
            </w:pPr>
            <w:r>
              <w:rPr>
                <w:rFonts w:hint="eastAsia"/>
                <w:sz w:val="24"/>
                <w:szCs w:val="24"/>
              </w:rPr>
              <w:t>将成型炭棒</w:t>
            </w:r>
            <w:r>
              <w:rPr>
                <w:rFonts w:hint="eastAsia"/>
                <w:sz w:val="24"/>
                <w:szCs w:val="24"/>
                <w:lang w:val="en-US" w:eastAsia="zh-CN"/>
              </w:rPr>
              <w:t>通过传送装置送入炭化炉，</w:t>
            </w:r>
            <w:r>
              <w:rPr>
                <w:rFonts w:hint="eastAsia"/>
                <w:sz w:val="24"/>
                <w:szCs w:val="24"/>
              </w:rPr>
              <w:t>在炭化炉内通过自身缺氧燃烧产生热量，在高温高压环境下进行干馏炭化，炭化室封闭以隔绝空气。干馏是一个复杂的化学反应，炭化过程大体上可分为四个阶段。</w:t>
            </w:r>
          </w:p>
          <w:p w14:paraId="1CA0690C">
            <w:pPr>
              <w:keepNext w:val="0"/>
              <w:keepLines w:val="0"/>
              <w:numPr>
                <w:ilvl w:val="0"/>
                <w:numId w:val="2"/>
              </w:numPr>
              <w:suppressLineNumbers w:val="0"/>
              <w:spacing w:before="0" w:beforeAutospacing="0" w:after="0" w:afterAutospacing="0" w:line="360" w:lineRule="auto"/>
              <w:ind w:left="0" w:right="0" w:firstLine="480" w:firstLineChars="200"/>
              <w:rPr>
                <w:rFonts w:hint="eastAsia"/>
                <w:sz w:val="24"/>
                <w:szCs w:val="24"/>
              </w:rPr>
            </w:pPr>
            <w:r>
              <w:rPr>
                <w:rFonts w:hint="eastAsia"/>
                <w:sz w:val="24"/>
                <w:szCs w:val="24"/>
              </w:rPr>
              <w:t>干燥阶段：这个阶段的温度在20-150℃，</w:t>
            </w:r>
            <w:r>
              <w:rPr>
                <w:rFonts w:hint="eastAsia"/>
                <w:sz w:val="24"/>
                <w:szCs w:val="24"/>
                <w:lang w:val="en-US" w:eastAsia="zh-CN"/>
              </w:rPr>
              <w:t>从点火开始，至炉温上升至</w:t>
            </w:r>
            <w:r>
              <w:rPr>
                <w:rFonts w:hint="eastAsia"/>
                <w:sz w:val="24"/>
                <w:szCs w:val="24"/>
              </w:rPr>
              <w:t>150℃</w:t>
            </w:r>
            <w:r>
              <w:rPr>
                <w:rFonts w:hint="eastAsia"/>
                <w:sz w:val="24"/>
                <w:szCs w:val="24"/>
                <w:lang w:val="en-US" w:eastAsia="zh-CN"/>
              </w:rPr>
              <w:t>左右，薪棒所含的水分主要依靠外加热量进行蒸发，</w:t>
            </w:r>
            <w:r>
              <w:rPr>
                <w:rFonts w:hint="eastAsia"/>
                <w:sz w:val="24"/>
                <w:szCs w:val="24"/>
              </w:rPr>
              <w:t>此阶段棒体基本无化学变化</w:t>
            </w:r>
            <w:r>
              <w:rPr>
                <w:rFonts w:hint="eastAsia"/>
                <w:sz w:val="24"/>
                <w:szCs w:val="24"/>
                <w:lang w:eastAsia="zh-CN"/>
              </w:rPr>
              <w:t>。</w:t>
            </w:r>
            <w:r>
              <w:rPr>
                <w:rFonts w:hint="eastAsia"/>
                <w:sz w:val="24"/>
                <w:szCs w:val="24"/>
                <w:lang w:val="en-US" w:eastAsia="zh-CN"/>
              </w:rPr>
              <w:t>此过程废气主要产生水蒸气。</w:t>
            </w:r>
          </w:p>
          <w:p w14:paraId="5028E9AA">
            <w:pPr>
              <w:keepNext w:val="0"/>
              <w:keepLines w:val="0"/>
              <w:suppressLineNumbers w:val="0"/>
              <w:spacing w:before="0" w:beforeAutospacing="0" w:after="0" w:afterAutospacing="0" w:line="360" w:lineRule="auto"/>
              <w:ind w:left="0" w:right="0" w:firstLine="480" w:firstLineChars="200"/>
              <w:rPr>
                <w:rFonts w:hint="eastAsia"/>
                <w:sz w:val="24"/>
                <w:szCs w:val="24"/>
              </w:rPr>
            </w:pPr>
            <w:r>
              <w:rPr>
                <w:rFonts w:hint="eastAsia"/>
                <w:sz w:val="24"/>
                <w:szCs w:val="24"/>
              </w:rPr>
              <w:t>B、预炭化阶段：这个阶段的温度为50-275℃，木质材料热分解反应比较明显，木质材料化学组成开始发生变化，其中不稳定的组分，如半纤维素分解生成CO</w:t>
            </w:r>
            <w:r>
              <w:rPr>
                <w:rFonts w:hint="eastAsia"/>
                <w:sz w:val="24"/>
                <w:szCs w:val="24"/>
                <w:vertAlign w:val="subscript"/>
              </w:rPr>
              <w:t>2</w:t>
            </w:r>
            <w:r>
              <w:rPr>
                <w:rFonts w:hint="eastAsia"/>
                <w:sz w:val="24"/>
                <w:szCs w:val="24"/>
              </w:rPr>
              <w:t>、CO和少量醋酸等物质。</w:t>
            </w:r>
          </w:p>
          <w:p w14:paraId="36B015FE">
            <w:pPr>
              <w:keepNext w:val="0"/>
              <w:keepLines w:val="0"/>
              <w:suppressLineNumbers w:val="0"/>
              <w:spacing w:before="0" w:beforeAutospacing="0" w:after="0" w:afterAutospacing="0" w:line="360" w:lineRule="auto"/>
              <w:ind w:left="0" w:right="0" w:firstLine="480" w:firstLineChars="200"/>
              <w:rPr>
                <w:rFonts w:hint="eastAsia"/>
                <w:sz w:val="24"/>
                <w:szCs w:val="24"/>
              </w:rPr>
            </w:pPr>
            <w:r>
              <w:rPr>
                <w:rFonts w:hint="eastAsia"/>
                <w:sz w:val="24"/>
                <w:szCs w:val="24"/>
              </w:rPr>
              <w:t>以上两个阶段都要外界供给热量来保证热解温度的上升，所以又称为吸热分解阶段。</w:t>
            </w:r>
          </w:p>
          <w:p w14:paraId="42AA14E8">
            <w:pPr>
              <w:keepNext w:val="0"/>
              <w:keepLines w:val="0"/>
              <w:suppressLineNumbers w:val="0"/>
              <w:spacing w:before="0" w:beforeAutospacing="0" w:after="0" w:afterAutospacing="0" w:line="360" w:lineRule="auto"/>
              <w:ind w:left="0" w:right="0" w:firstLine="480" w:firstLineChars="200"/>
              <w:rPr>
                <w:rFonts w:hint="eastAsia"/>
                <w:sz w:val="24"/>
                <w:szCs w:val="24"/>
              </w:rPr>
            </w:pPr>
            <w:r>
              <w:rPr>
                <w:rFonts w:hint="eastAsia"/>
                <w:sz w:val="24"/>
                <w:szCs w:val="24"/>
              </w:rPr>
              <w:t>C、炭化阶段：这个阶段的温度为75-400℃，在这个阶段中，木质材料急剧地进行热分解，同时生成了木焦油等液体产物，此外还产生了甲烷、乙烯等可燃性气体。这一阶段放出大量反应热，所以又称为放热反应阶段。</w:t>
            </w:r>
          </w:p>
          <w:p w14:paraId="6F54B74F">
            <w:pPr>
              <w:keepNext w:val="0"/>
              <w:keepLines w:val="0"/>
              <w:suppressLineNumbers w:val="0"/>
              <w:spacing w:before="0" w:beforeAutospacing="0" w:after="0" w:afterAutospacing="0" w:line="360" w:lineRule="auto"/>
              <w:ind w:left="0" w:right="0" w:firstLine="480" w:firstLineChars="200"/>
              <w:rPr>
                <w:rFonts w:hint="eastAsia"/>
                <w:sz w:val="24"/>
                <w:szCs w:val="24"/>
              </w:rPr>
            </w:pPr>
            <w:r>
              <w:rPr>
                <w:rFonts w:hint="eastAsia"/>
                <w:sz w:val="24"/>
                <w:szCs w:val="24"/>
              </w:rPr>
              <w:t>D、煅烧阶段</w:t>
            </w:r>
          </w:p>
          <w:p w14:paraId="0A86971F">
            <w:pPr>
              <w:keepNext w:val="0"/>
              <w:keepLines w:val="0"/>
              <w:suppressLineNumbers w:val="0"/>
              <w:spacing w:before="0" w:beforeAutospacing="0" w:after="0" w:afterAutospacing="0" w:line="360" w:lineRule="auto"/>
              <w:ind w:left="0" w:right="0" w:firstLine="480" w:firstLineChars="200"/>
              <w:rPr>
                <w:rFonts w:hint="eastAsia"/>
                <w:sz w:val="24"/>
                <w:szCs w:val="24"/>
              </w:rPr>
            </w:pPr>
            <w:r>
              <w:rPr>
                <w:rFonts w:hint="eastAsia"/>
                <w:sz w:val="24"/>
                <w:szCs w:val="24"/>
              </w:rPr>
              <w:t>温度上升</w:t>
            </w:r>
            <w:r>
              <w:rPr>
                <w:rFonts w:hint="default"/>
                <w:sz w:val="24"/>
                <w:szCs w:val="24"/>
              </w:rPr>
              <w:t>450-500</w:t>
            </w:r>
            <w:r>
              <w:rPr>
                <w:rFonts w:hint="eastAsia"/>
                <w:sz w:val="24"/>
                <w:szCs w:val="24"/>
              </w:rPr>
              <w:t>℃，这个阶段依靠外部供给热量进行炭的煅烧，排出残留在木炭中的挥发性物质，提高炭的固定的碳含量。</w:t>
            </w:r>
          </w:p>
          <w:p w14:paraId="42AACE96">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b w:val="0"/>
                <w:bCs w:val="0"/>
                <w:color w:val="000000" w:themeColor="text1"/>
                <w:sz w:val="24"/>
                <w:szCs w:val="24"/>
                <w:u w:val="none"/>
                <w14:textFill>
                  <w14:solidFill>
                    <w14:schemeClr w14:val="tx1"/>
                  </w14:solidFill>
                </w14:textFill>
              </w:rPr>
            </w:pPr>
            <w:r>
              <w:rPr>
                <w:rFonts w:hint="default" w:ascii="Times New Roman" w:hAnsi="Times New Roman" w:cs="Times New Roman"/>
                <w:b w:val="0"/>
                <w:bCs w:val="0"/>
                <w:color w:val="000000" w:themeColor="text1"/>
                <w:sz w:val="24"/>
                <w:szCs w:val="24"/>
                <w:u w:val="none"/>
                <w14:textFill>
                  <w14:solidFill>
                    <w14:schemeClr w14:val="tx1"/>
                  </w14:solidFill>
                </w14:textFill>
              </w:rPr>
              <w:t>炭化过程中会产生</w:t>
            </w:r>
            <w:r>
              <w:rPr>
                <w:rFonts w:hint="default" w:ascii="Times New Roman" w:hAnsi="Times New Roman" w:cs="Times New Roman"/>
                <w:b w:val="0"/>
                <w:bCs w:val="0"/>
                <w:color w:val="000000" w:themeColor="text1"/>
                <w:sz w:val="24"/>
                <w:szCs w:val="24"/>
                <w:u w:val="none"/>
                <w:lang w:val="en-US" w:eastAsia="zh-CN"/>
                <w14:textFill>
                  <w14:solidFill>
                    <w14:schemeClr w14:val="tx1"/>
                  </w14:solidFill>
                </w14:textFill>
              </w:rPr>
              <w:t>可燃气（</w:t>
            </w:r>
            <w:r>
              <w:rPr>
                <w:rFonts w:hint="default" w:ascii="Times New Roman" w:hAnsi="Times New Roman" w:cs="Times New Roman"/>
                <w:b w:val="0"/>
                <w:bCs w:val="0"/>
                <w:color w:val="000000" w:themeColor="text1"/>
                <w:sz w:val="24"/>
                <w:szCs w:val="24"/>
                <w:u w:val="none"/>
                <w14:textFill>
                  <w14:solidFill>
                    <w14:schemeClr w14:val="tx1"/>
                  </w14:solidFill>
                </w14:textFill>
              </w:rPr>
              <w:t>木煤气</w:t>
            </w:r>
            <w:r>
              <w:rPr>
                <w:rFonts w:hint="default" w:ascii="Times New Roman" w:hAnsi="Times New Roman" w:cs="Times New Roman"/>
                <w:b w:val="0"/>
                <w:bCs w:val="0"/>
                <w:color w:val="000000" w:themeColor="text1"/>
                <w:sz w:val="24"/>
                <w:szCs w:val="24"/>
                <w:u w:val="none"/>
                <w:lang w:val="en-US" w:eastAsia="zh-CN"/>
                <w14:textFill>
                  <w14:solidFill>
                    <w14:schemeClr w14:val="tx1"/>
                  </w14:solidFill>
                </w14:textFill>
              </w:rPr>
              <w:t>）</w:t>
            </w:r>
            <w:r>
              <w:rPr>
                <w:rFonts w:hint="default" w:ascii="Times New Roman" w:hAnsi="Times New Roman" w:cs="Times New Roman"/>
                <w:b w:val="0"/>
                <w:bCs w:val="0"/>
                <w:color w:val="000000" w:themeColor="text1"/>
                <w:sz w:val="24"/>
                <w:szCs w:val="24"/>
                <w:u w:val="none"/>
                <w14:textFill>
                  <w14:solidFill>
                    <w14:schemeClr w14:val="tx1"/>
                  </w14:solidFill>
                </w14:textFill>
              </w:rPr>
              <w:t>、</w:t>
            </w:r>
            <w:r>
              <w:rPr>
                <w:rFonts w:hint="default" w:ascii="Times New Roman" w:hAnsi="Times New Roman" w:cs="Times New Roman"/>
                <w:b w:val="0"/>
                <w:bCs w:val="0"/>
                <w:color w:val="000000" w:themeColor="text1"/>
                <w:sz w:val="24"/>
                <w:szCs w:val="24"/>
                <w:u w:val="none"/>
                <w:lang w:val="en-US" w:eastAsia="zh-CN"/>
                <w14:textFill>
                  <w14:solidFill>
                    <w14:schemeClr w14:val="tx1"/>
                  </w14:solidFill>
                </w14:textFill>
              </w:rPr>
              <w:t>机制炭</w:t>
            </w:r>
            <w:r>
              <w:rPr>
                <w:rFonts w:hint="default" w:ascii="Times New Roman" w:hAnsi="Times New Roman" w:cs="Times New Roman"/>
                <w:b w:val="0"/>
                <w:bCs w:val="0"/>
                <w:color w:val="000000" w:themeColor="text1"/>
                <w:sz w:val="24"/>
                <w:szCs w:val="24"/>
                <w:u w:val="none"/>
                <w14:textFill>
                  <w14:solidFill>
                    <w14:schemeClr w14:val="tx1"/>
                  </w14:solidFill>
                </w14:textFill>
              </w:rPr>
              <w:t>、木焦油和酸类液体混合物。木煤气主要成分是一氧化碳、二氧化碳、甲烷、乙烯和氢气等，还含有少量未去除的木焦油和木醋液。</w:t>
            </w:r>
          </w:p>
          <w:p w14:paraId="1844C03A">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b w:val="0"/>
                <w:bCs w:val="0"/>
                <w:color w:val="000000" w:themeColor="text1"/>
                <w:sz w:val="24"/>
                <w:szCs w:val="24"/>
                <w:u w:val="none"/>
                <w14:textFill>
                  <w14:solidFill>
                    <w14:schemeClr w14:val="tx1"/>
                  </w14:solidFill>
                </w14:textFill>
              </w:rPr>
            </w:pPr>
            <w:r>
              <w:rPr>
                <w:rFonts w:hint="default" w:ascii="Times New Roman" w:hAnsi="Times New Roman" w:cs="Times New Roman"/>
                <w:b w:val="0"/>
                <w:bCs w:val="0"/>
                <w:color w:val="000000" w:themeColor="text1"/>
                <w:sz w:val="24"/>
                <w:szCs w:val="24"/>
                <w:u w:val="none"/>
                <w:lang w:val="en-US" w:eastAsia="zh-CN"/>
                <w14:textFill>
                  <w14:solidFill>
                    <w14:schemeClr w14:val="tx1"/>
                  </w14:solidFill>
                </w14:textFill>
              </w:rPr>
              <w:t>⑦</w:t>
            </w:r>
            <w:r>
              <w:rPr>
                <w:rFonts w:hint="default" w:ascii="Times New Roman" w:hAnsi="Times New Roman" w:cs="Times New Roman"/>
                <w:b w:val="0"/>
                <w:bCs w:val="0"/>
                <w:color w:val="000000" w:themeColor="text1"/>
                <w:sz w:val="24"/>
                <w:szCs w:val="24"/>
                <w:u w:val="none"/>
                <w14:textFill>
                  <w14:solidFill>
                    <w14:schemeClr w14:val="tx1"/>
                  </w14:solidFill>
                </w14:textFill>
              </w:rPr>
              <w:t>冷却、</w:t>
            </w:r>
            <w:r>
              <w:rPr>
                <w:rFonts w:hint="default" w:ascii="Times New Roman" w:hAnsi="Times New Roman" w:cs="Times New Roman"/>
                <w:b w:val="0"/>
                <w:bCs w:val="0"/>
                <w:color w:val="000000" w:themeColor="text1"/>
                <w:sz w:val="24"/>
                <w:szCs w:val="24"/>
                <w:u w:val="none"/>
                <w:lang w:val="en-US" w:eastAsia="zh-CN"/>
                <w14:textFill>
                  <w14:solidFill>
                    <w14:schemeClr w14:val="tx1"/>
                  </w14:solidFill>
                </w14:textFill>
              </w:rPr>
              <w:t>锯切、</w:t>
            </w:r>
            <w:r>
              <w:rPr>
                <w:rFonts w:hint="default" w:ascii="Times New Roman" w:hAnsi="Times New Roman" w:cs="Times New Roman"/>
                <w:b w:val="0"/>
                <w:bCs w:val="0"/>
                <w:color w:val="000000" w:themeColor="text1"/>
                <w:sz w:val="24"/>
                <w:szCs w:val="24"/>
                <w:u w:val="none"/>
                <w14:textFill>
                  <w14:solidFill>
                    <w14:schemeClr w14:val="tx1"/>
                  </w14:solidFill>
                </w14:textFill>
              </w:rPr>
              <w:t>包装</w:t>
            </w:r>
          </w:p>
          <w:p w14:paraId="056DFDE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b w:val="0"/>
                <w:bCs w:val="0"/>
                <w:color w:val="000000" w:themeColor="text1"/>
                <w:kern w:val="0"/>
                <w:sz w:val="24"/>
                <w:szCs w:val="24"/>
                <w:u w:val="none"/>
                <w:lang w:val="en-US" w:eastAsia="zh-CN" w:bidi="ar"/>
                <w14:textFill>
                  <w14:solidFill>
                    <w14:schemeClr w14:val="tx1"/>
                  </w14:solidFill>
                </w14:textFill>
              </w:rPr>
            </w:pPr>
            <w:r>
              <w:rPr>
                <w:rFonts w:hint="default" w:ascii="Times New Roman" w:hAnsi="Times New Roman" w:eastAsia="宋体" w:cs="Times New Roman"/>
                <w:b w:val="0"/>
                <w:bCs w:val="0"/>
                <w:color w:val="000000" w:themeColor="text1"/>
                <w:kern w:val="0"/>
                <w:sz w:val="24"/>
                <w:szCs w:val="24"/>
                <w:u w:val="none"/>
                <w:lang w:val="en-US" w:eastAsia="zh-CN" w:bidi="ar"/>
                <w14:textFill>
                  <w14:solidFill>
                    <w14:schemeClr w14:val="tx1"/>
                  </w14:solidFill>
                </w14:textFill>
              </w:rPr>
              <w:t>炭化完成后的炭棒，置于冷却沙池</w:t>
            </w:r>
            <w:r>
              <w:rPr>
                <w:rFonts w:hint="default" w:ascii="Times New Roman" w:hAnsi="Times New Roman" w:cs="Times New Roman"/>
                <w:b w:val="0"/>
                <w:bCs w:val="0"/>
                <w:color w:val="000000" w:themeColor="text1"/>
                <w:kern w:val="0"/>
                <w:sz w:val="24"/>
                <w:szCs w:val="24"/>
                <w:u w:val="none"/>
                <w:lang w:val="en-US" w:eastAsia="zh-CN" w:bidi="ar"/>
                <w14:textFill>
                  <w14:solidFill>
                    <w14:schemeClr w14:val="tx1"/>
                  </w14:solidFill>
                </w14:textFill>
              </w:rPr>
              <w:t>（湿沙）</w:t>
            </w:r>
            <w:r>
              <w:rPr>
                <w:rFonts w:hint="default" w:ascii="Times New Roman" w:hAnsi="Times New Roman" w:eastAsia="宋体" w:cs="Times New Roman"/>
                <w:b w:val="0"/>
                <w:bCs w:val="0"/>
                <w:color w:val="000000" w:themeColor="text1"/>
                <w:kern w:val="0"/>
                <w:sz w:val="24"/>
                <w:szCs w:val="24"/>
                <w:u w:val="none"/>
                <w:lang w:val="en-US" w:eastAsia="zh-CN" w:bidi="ar"/>
                <w14:textFill>
                  <w14:solidFill>
                    <w14:schemeClr w14:val="tx1"/>
                  </w14:solidFill>
                </w14:textFill>
              </w:rPr>
              <w:t>，盖上方形窒息桶，自然冷却，冷却后的</w:t>
            </w:r>
            <w:r>
              <w:rPr>
                <w:rFonts w:hint="default" w:ascii="Times New Roman" w:hAnsi="Times New Roman" w:cs="Times New Roman"/>
                <w:b w:val="0"/>
                <w:bCs w:val="0"/>
                <w:color w:val="000000" w:themeColor="text1"/>
                <w:kern w:val="0"/>
                <w:sz w:val="24"/>
                <w:szCs w:val="24"/>
                <w:u w:val="none"/>
                <w:lang w:val="en-US" w:eastAsia="zh-CN" w:bidi="ar"/>
                <w14:textFill>
                  <w14:solidFill>
                    <w14:schemeClr w14:val="tx1"/>
                  </w14:solidFill>
                </w14:textFill>
              </w:rPr>
              <w:t>机制炭碳棒经锯切机锯切成3cm×3cm×7.3cm的</w:t>
            </w:r>
            <w:r>
              <w:rPr>
                <w:rFonts w:hint="default" w:ascii="Times New Roman" w:hAnsi="Times New Roman" w:eastAsia="宋体" w:cs="Times New Roman"/>
                <w:b w:val="0"/>
                <w:bCs w:val="0"/>
                <w:color w:val="000000" w:themeColor="text1"/>
                <w:kern w:val="0"/>
                <w:sz w:val="24"/>
                <w:szCs w:val="24"/>
                <w:u w:val="none"/>
                <w:lang w:val="en-US" w:eastAsia="zh-CN" w:bidi="ar"/>
                <w14:textFill>
                  <w14:solidFill>
                    <w14:schemeClr w14:val="tx1"/>
                  </w14:solidFill>
                </w14:textFill>
              </w:rPr>
              <w:t>成品</w:t>
            </w:r>
            <w:r>
              <w:rPr>
                <w:rFonts w:hint="default" w:ascii="Times New Roman" w:hAnsi="Times New Roman" w:cs="Times New Roman"/>
                <w:b w:val="0"/>
                <w:bCs w:val="0"/>
                <w:color w:val="000000" w:themeColor="text1"/>
                <w:kern w:val="0"/>
                <w:sz w:val="24"/>
                <w:szCs w:val="24"/>
                <w:u w:val="none"/>
                <w:lang w:val="en-US" w:eastAsia="zh-CN" w:bidi="ar"/>
                <w14:textFill>
                  <w14:solidFill>
                    <w14:schemeClr w14:val="tx1"/>
                  </w14:solidFill>
                </w14:textFill>
              </w:rPr>
              <w:t>机制炭，然后</w:t>
            </w:r>
            <w:r>
              <w:rPr>
                <w:rFonts w:hint="default" w:ascii="Times New Roman" w:hAnsi="Times New Roman" w:eastAsia="宋体" w:cs="Times New Roman"/>
                <w:b w:val="0"/>
                <w:bCs w:val="0"/>
                <w:color w:val="000000" w:themeColor="text1"/>
                <w:kern w:val="0"/>
                <w:sz w:val="24"/>
                <w:szCs w:val="24"/>
                <w:u w:val="none"/>
                <w:lang w:val="en-US" w:eastAsia="zh-CN" w:bidi="ar"/>
                <w14:textFill>
                  <w14:solidFill>
                    <w14:schemeClr w14:val="tx1"/>
                  </w14:solidFill>
                </w14:textFill>
              </w:rPr>
              <w:t>包装入库、待售。</w:t>
            </w:r>
          </w:p>
          <w:p w14:paraId="6C70E72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cs="Times New Roman"/>
                <w:b w:val="0"/>
                <w:bCs w:val="0"/>
                <w:color w:val="000000" w:themeColor="text1"/>
                <w:kern w:val="0"/>
                <w:sz w:val="24"/>
                <w:szCs w:val="24"/>
                <w:u w:val="none"/>
                <w:lang w:val="en-US" w:eastAsia="zh-CN" w:bidi="ar"/>
                <w14:textFill>
                  <w14:solidFill>
                    <w14:schemeClr w14:val="tx1"/>
                  </w14:solidFill>
                </w14:textFill>
              </w:rPr>
            </w:pPr>
            <w:r>
              <w:rPr>
                <w:rFonts w:hint="default" w:ascii="Times New Roman" w:hAnsi="Times New Roman" w:cs="Times New Roman"/>
                <w:b w:val="0"/>
                <w:bCs w:val="0"/>
                <w:color w:val="000000" w:themeColor="text1"/>
                <w:kern w:val="0"/>
                <w:sz w:val="24"/>
                <w:szCs w:val="24"/>
                <w:u w:val="none"/>
                <w:lang w:val="en-US" w:eastAsia="zh-CN" w:bidi="ar"/>
                <w14:textFill>
                  <w14:solidFill>
                    <w14:schemeClr w14:val="tx1"/>
                  </w14:solidFill>
                </w14:textFill>
              </w:rPr>
              <w:t>此过程产生固废、粉尘废气。</w:t>
            </w:r>
          </w:p>
          <w:p w14:paraId="5EAB099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cs="Times New Roman"/>
                <w:b w:val="0"/>
                <w:bCs w:val="0"/>
                <w:color w:val="000000" w:themeColor="text1"/>
                <w:sz w:val="24"/>
                <w:szCs w:val="24"/>
                <w:u w:val="none"/>
                <w14:textFill>
                  <w14:solidFill>
                    <w14:schemeClr w14:val="tx1"/>
                  </w14:solidFill>
                </w14:textFill>
              </w:rPr>
            </w:pPr>
            <w:r>
              <w:rPr>
                <w:rFonts w:hint="default" w:ascii="Times New Roman" w:hAnsi="Times New Roman" w:cs="Times New Roman"/>
                <w:b w:val="0"/>
                <w:bCs w:val="0"/>
                <w:color w:val="000000" w:themeColor="text1"/>
                <w:sz w:val="24"/>
                <w:szCs w:val="24"/>
                <w:u w:val="none"/>
                <w:lang w:val="en-US" w:eastAsia="zh-CN"/>
                <w14:textFill>
                  <w14:solidFill>
                    <w14:schemeClr w14:val="tx1"/>
                  </w14:solidFill>
                </w14:textFill>
              </w:rPr>
              <w:t>⑧</w:t>
            </w:r>
            <w:r>
              <w:rPr>
                <w:rFonts w:hint="default" w:ascii="Times New Roman" w:hAnsi="Times New Roman" w:cs="Times New Roman"/>
                <w:b w:val="0"/>
                <w:bCs w:val="0"/>
                <w:color w:val="000000" w:themeColor="text1"/>
                <w:sz w:val="24"/>
                <w:szCs w:val="24"/>
                <w:u w:val="none"/>
                <w14:textFill>
                  <w14:solidFill>
                    <w14:schemeClr w14:val="tx1"/>
                  </w14:solidFill>
                </w14:textFill>
              </w:rPr>
              <w:t>炭化气回收利用及废气治理</w:t>
            </w:r>
          </w:p>
          <w:p w14:paraId="09BE469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b w:val="0"/>
                <w:bCs w:val="0"/>
                <w:color w:val="000000" w:themeColor="text1"/>
                <w:sz w:val="24"/>
                <w:szCs w:val="24"/>
                <w:highlight w:val="yellow"/>
                <w:u w:val="none"/>
                <w:lang w:val="en-US" w:eastAsia="zh-CN"/>
                <w14:textFill>
                  <w14:solidFill>
                    <w14:schemeClr w14:val="tx1"/>
                  </w14:solidFill>
                </w14:textFill>
              </w:rPr>
            </w:pPr>
            <w:r>
              <w:rPr>
                <w:rFonts w:hint="default" w:ascii="Times New Roman" w:hAnsi="Times New Roman" w:cs="Times New Roman"/>
                <w:b w:val="0"/>
                <w:bCs w:val="0"/>
                <w:color w:val="000000" w:themeColor="text1"/>
                <w:sz w:val="24"/>
                <w:szCs w:val="24"/>
                <w:u w:val="none"/>
                <w14:textFill>
                  <w14:solidFill>
                    <w14:schemeClr w14:val="tx1"/>
                  </w14:solidFill>
                </w14:textFill>
              </w:rPr>
              <w:t>本项目炭化炉产生的炭化烟气通过密闭的管道输送至炭化炉配套的烟气净化系统，</w:t>
            </w:r>
            <w:r>
              <w:rPr>
                <w:rFonts w:hint="default" w:ascii="Times New Roman" w:hAnsi="Times New Roman" w:cs="Times New Roman"/>
                <w:b w:val="0"/>
                <w:bCs w:val="0"/>
                <w:color w:val="000000" w:themeColor="text1"/>
                <w:sz w:val="24"/>
                <w:szCs w:val="24"/>
                <w:highlight w:val="none"/>
                <w:u w:val="none"/>
                <w14:textFill>
                  <w14:solidFill>
                    <w14:schemeClr w14:val="tx1"/>
                  </w14:solidFill>
                </w14:textFill>
              </w:rPr>
              <w:t>燃气</w:t>
            </w:r>
            <w:r>
              <w:rPr>
                <w:rFonts w:hint="default" w:ascii="Times New Roman" w:hAnsi="Times New Roman" w:cs="Times New Roman"/>
                <w:b w:val="0"/>
                <w:bCs w:val="0"/>
                <w:color w:val="000000" w:themeColor="text1"/>
                <w:sz w:val="24"/>
                <w:szCs w:val="24"/>
                <w:highlight w:val="none"/>
                <w:u w:val="none"/>
                <w:lang w:val="en-US" w:eastAsia="zh-CN"/>
                <w14:textFill>
                  <w14:solidFill>
                    <w14:schemeClr w14:val="tx1"/>
                  </w14:solidFill>
                </w14:textFill>
              </w:rPr>
              <w:t>冷凝</w:t>
            </w:r>
            <w:r>
              <w:rPr>
                <w:rFonts w:hint="default" w:ascii="Times New Roman" w:hAnsi="Times New Roman" w:cs="Times New Roman"/>
                <w:b w:val="0"/>
                <w:bCs w:val="0"/>
                <w:color w:val="000000" w:themeColor="text1"/>
                <w:sz w:val="24"/>
                <w:szCs w:val="24"/>
                <w:highlight w:val="none"/>
                <w:u w:val="none"/>
                <w14:textFill>
                  <w14:solidFill>
                    <w14:schemeClr w14:val="tx1"/>
                  </w14:solidFill>
                </w14:textFill>
              </w:rPr>
              <w:t>主要是将生物质气中含有的酚、烃、醋酸等有机物根据其沸点不同（木醋液沸点控制105—120℃</w:t>
            </w:r>
            <w:r>
              <w:rPr>
                <w:rFonts w:hint="default" w:ascii="Times New Roman" w:hAnsi="Times New Roman" w:cs="Times New Roman"/>
                <w:b w:val="0"/>
                <w:bCs w:val="0"/>
                <w:color w:val="000000" w:themeColor="text1"/>
                <w:sz w:val="24"/>
                <w:szCs w:val="24"/>
                <w:highlight w:val="none"/>
                <w:u w:val="none"/>
                <w:lang w:eastAsia="zh-CN"/>
                <w14:textFill>
                  <w14:solidFill>
                    <w14:schemeClr w14:val="tx1"/>
                  </w14:solidFill>
                </w14:textFill>
              </w:rPr>
              <w:t>，</w:t>
            </w:r>
            <w:r>
              <w:rPr>
                <w:rFonts w:hint="default" w:ascii="Times New Roman" w:hAnsi="Times New Roman" w:cs="Times New Roman"/>
                <w:b w:val="0"/>
                <w:bCs w:val="0"/>
                <w:color w:val="000000" w:themeColor="text1"/>
                <w:sz w:val="24"/>
                <w:szCs w:val="24"/>
                <w:highlight w:val="none"/>
                <w:u w:val="none"/>
                <w14:textFill>
                  <w14:solidFill>
                    <w14:schemeClr w14:val="tx1"/>
                  </w14:solidFill>
                </w14:textFill>
              </w:rPr>
              <w:t>木焦油沸点控制205—225℃)</w:t>
            </w:r>
            <w:r>
              <w:rPr>
                <w:rFonts w:hint="default" w:ascii="Times New Roman" w:hAnsi="Times New Roman" w:cs="Times New Roman"/>
                <w:b w:val="0"/>
                <w:bCs w:val="0"/>
                <w:color w:val="000000" w:themeColor="text1"/>
                <w:sz w:val="24"/>
                <w:szCs w:val="24"/>
                <w:highlight w:val="none"/>
                <w:u w:val="none"/>
                <w:lang w:eastAsia="zh-CN"/>
                <w14:textFill>
                  <w14:solidFill>
                    <w14:schemeClr w14:val="tx1"/>
                  </w14:solidFill>
                </w14:textFill>
              </w:rPr>
              <w:t>，</w:t>
            </w:r>
            <w:r>
              <w:rPr>
                <w:rFonts w:hint="default" w:ascii="Times New Roman" w:hAnsi="Times New Roman" w:cs="Times New Roman"/>
                <w:b w:val="0"/>
                <w:bCs w:val="0"/>
                <w:color w:val="000000" w:themeColor="text1"/>
                <w:sz w:val="24"/>
                <w:szCs w:val="24"/>
                <w:highlight w:val="none"/>
                <w:u w:val="none"/>
                <w:lang w:val="en-US" w:eastAsia="zh-CN"/>
                <w14:textFill>
                  <w14:solidFill>
                    <w14:schemeClr w14:val="tx1"/>
                  </w14:solidFill>
                </w14:textFill>
              </w:rPr>
              <w:t>进入烟气净化系统冷凝装置</w:t>
            </w:r>
            <w:r>
              <w:rPr>
                <w:rFonts w:hint="default" w:ascii="Times New Roman" w:hAnsi="Times New Roman" w:cs="Times New Roman"/>
                <w:b w:val="0"/>
                <w:bCs w:val="0"/>
                <w:color w:val="000000" w:themeColor="text1"/>
                <w:sz w:val="24"/>
                <w:szCs w:val="24"/>
                <w:highlight w:val="none"/>
                <w:u w:val="none"/>
                <w14:textFill>
                  <w14:solidFill>
                    <w14:schemeClr w14:val="tx1"/>
                  </w14:solidFill>
                </w14:textFill>
              </w:rPr>
              <w:t>进行冷凝分离的过程</w:t>
            </w:r>
            <w:r>
              <w:rPr>
                <w:rFonts w:hint="default" w:ascii="Times New Roman" w:hAnsi="Times New Roman" w:cs="Times New Roman"/>
                <w:b w:val="0"/>
                <w:bCs w:val="0"/>
                <w:color w:val="000000" w:themeColor="text1"/>
                <w:sz w:val="24"/>
                <w:szCs w:val="24"/>
                <w:highlight w:val="none"/>
                <w:u w:val="none"/>
                <w:lang w:eastAsia="zh-CN"/>
                <w14:textFill>
                  <w14:solidFill>
                    <w14:schemeClr w14:val="tx1"/>
                  </w14:solidFill>
                </w14:textFill>
              </w:rPr>
              <w:t>（</w:t>
            </w:r>
            <w:r>
              <w:rPr>
                <w:rFonts w:hint="default" w:ascii="Times New Roman" w:hAnsi="Times New Roman" w:cs="Times New Roman"/>
                <w:b w:val="0"/>
                <w:bCs w:val="0"/>
                <w:color w:val="000000" w:themeColor="text1"/>
                <w:sz w:val="24"/>
                <w:szCs w:val="24"/>
                <w:highlight w:val="none"/>
                <w:u w:val="none"/>
                <w:lang w:val="en-US" w:eastAsia="zh-CN"/>
                <w14:textFill>
                  <w14:solidFill>
                    <w14:schemeClr w14:val="tx1"/>
                  </w14:solidFill>
                </w14:textFill>
              </w:rPr>
              <w:t>间接冷却</w:t>
            </w:r>
            <w:r>
              <w:rPr>
                <w:rFonts w:hint="default" w:ascii="Times New Roman" w:hAnsi="Times New Roman" w:cs="Times New Roman"/>
                <w:b w:val="0"/>
                <w:bCs w:val="0"/>
                <w:color w:val="000000" w:themeColor="text1"/>
                <w:sz w:val="24"/>
                <w:szCs w:val="24"/>
                <w:highlight w:val="none"/>
                <w:u w:val="none"/>
                <w:lang w:eastAsia="zh-CN"/>
                <w14:textFill>
                  <w14:solidFill>
                    <w14:schemeClr w14:val="tx1"/>
                  </w14:solidFill>
                </w14:textFill>
              </w:rPr>
              <w:t>）</w:t>
            </w:r>
            <w:r>
              <w:rPr>
                <w:rFonts w:hint="default" w:ascii="Times New Roman" w:hAnsi="Times New Roman" w:cs="Times New Roman"/>
                <w:b w:val="0"/>
                <w:bCs w:val="0"/>
                <w:color w:val="000000" w:themeColor="text1"/>
                <w:sz w:val="24"/>
                <w:szCs w:val="24"/>
                <w:highlight w:val="none"/>
                <w:u w:val="none"/>
                <w14:textFill>
                  <w14:solidFill>
                    <w14:schemeClr w14:val="tx1"/>
                  </w14:solidFill>
                </w14:textFill>
              </w:rPr>
              <w:t>。即进入的烟气</w:t>
            </w:r>
            <w:r>
              <w:rPr>
                <w:rFonts w:hint="default" w:ascii="Times New Roman" w:hAnsi="Times New Roman" w:cs="Times New Roman"/>
                <w:b w:val="0"/>
                <w:bCs w:val="0"/>
                <w:color w:val="000000" w:themeColor="text1"/>
                <w:sz w:val="24"/>
                <w:szCs w:val="24"/>
                <w:highlight w:val="none"/>
                <w:u w:val="none"/>
                <w:lang w:val="en-US" w:eastAsia="zh-CN"/>
                <w14:textFill>
                  <w14:solidFill>
                    <w14:schemeClr w14:val="tx1"/>
                  </w14:solidFill>
                </w14:textFill>
              </w:rPr>
              <w:t>冷凝</w:t>
            </w:r>
            <w:r>
              <w:rPr>
                <w:rFonts w:hint="default" w:ascii="Times New Roman" w:hAnsi="Times New Roman" w:cs="Times New Roman"/>
                <w:b w:val="0"/>
                <w:bCs w:val="0"/>
                <w:color w:val="000000" w:themeColor="text1"/>
                <w:sz w:val="24"/>
                <w:szCs w:val="24"/>
                <w:highlight w:val="none"/>
                <w:u w:val="none"/>
                <w14:textFill>
                  <w14:solidFill>
                    <w14:schemeClr w14:val="tx1"/>
                  </w14:solidFill>
                </w14:textFill>
              </w:rPr>
              <w:t>系统</w:t>
            </w:r>
            <w:r>
              <w:rPr>
                <w:rFonts w:hint="default" w:ascii="Times New Roman" w:hAnsi="Times New Roman" w:cs="Times New Roman"/>
                <w:b w:val="0"/>
                <w:bCs w:val="0"/>
                <w:color w:val="000000" w:themeColor="text1"/>
                <w:sz w:val="24"/>
                <w:szCs w:val="24"/>
                <w:highlight w:val="none"/>
                <w:u w:val="none"/>
                <w:lang w:val="en-US" w:eastAsia="zh-CN"/>
                <w14:textFill>
                  <w14:solidFill>
                    <w14:schemeClr w14:val="tx1"/>
                  </w14:solidFill>
                </w14:textFill>
              </w:rPr>
              <w:t>的烟</w:t>
            </w:r>
            <w:r>
              <w:rPr>
                <w:rFonts w:hint="default" w:ascii="Times New Roman" w:hAnsi="Times New Roman" w:cs="Times New Roman"/>
                <w:b w:val="0"/>
                <w:bCs w:val="0"/>
                <w:color w:val="000000" w:themeColor="text1"/>
                <w:sz w:val="24"/>
                <w:szCs w:val="24"/>
                <w:highlight w:val="none"/>
                <w:u w:val="none"/>
                <w14:textFill>
                  <w14:solidFill>
                    <w14:schemeClr w14:val="tx1"/>
                  </w14:solidFill>
                </w14:textFill>
              </w:rPr>
              <w:t>气首先控制温度至200℃</w:t>
            </w:r>
            <w:r>
              <w:rPr>
                <w:rFonts w:hint="default" w:ascii="Times New Roman" w:hAnsi="Times New Roman" w:cs="Times New Roman"/>
                <w:b w:val="0"/>
                <w:bCs w:val="0"/>
                <w:color w:val="000000" w:themeColor="text1"/>
                <w:sz w:val="24"/>
                <w:szCs w:val="24"/>
                <w:highlight w:val="none"/>
                <w:u w:val="none"/>
                <w:lang w:eastAsia="zh-CN"/>
                <w14:textFill>
                  <w14:solidFill>
                    <w14:schemeClr w14:val="tx1"/>
                  </w14:solidFill>
                </w14:textFill>
              </w:rPr>
              <w:t>，</w:t>
            </w:r>
            <w:r>
              <w:rPr>
                <w:rFonts w:hint="default" w:ascii="Times New Roman" w:hAnsi="Times New Roman" w:cs="Times New Roman"/>
                <w:b w:val="0"/>
                <w:bCs w:val="0"/>
                <w:color w:val="000000" w:themeColor="text1"/>
                <w:sz w:val="24"/>
                <w:szCs w:val="24"/>
                <w:highlight w:val="none"/>
                <w:u w:val="none"/>
                <w14:textFill>
                  <w14:solidFill>
                    <w14:schemeClr w14:val="tx1"/>
                  </w14:solidFill>
                </w14:textFill>
              </w:rPr>
              <w:t>让沸点在200℃以上有机物冷凝为液态，从</w:t>
            </w:r>
            <w:r>
              <w:rPr>
                <w:rFonts w:hint="default" w:ascii="Times New Roman" w:hAnsi="Times New Roman" w:cs="Times New Roman"/>
                <w:b w:val="0"/>
                <w:bCs w:val="0"/>
                <w:color w:val="000000" w:themeColor="text1"/>
                <w:sz w:val="24"/>
                <w:szCs w:val="24"/>
                <w:highlight w:val="none"/>
                <w:u w:val="none"/>
                <w:lang w:val="en-US" w:eastAsia="zh-CN"/>
                <w14:textFill>
                  <w14:solidFill>
                    <w14:schemeClr w14:val="tx1"/>
                  </w14:solidFill>
                </w14:textFill>
              </w:rPr>
              <w:t>气流</w:t>
            </w:r>
            <w:r>
              <w:rPr>
                <w:rFonts w:hint="default" w:ascii="Times New Roman" w:hAnsi="Times New Roman" w:cs="Times New Roman"/>
                <w:b w:val="0"/>
                <w:bCs w:val="0"/>
                <w:color w:val="000000" w:themeColor="text1"/>
                <w:sz w:val="24"/>
                <w:szCs w:val="24"/>
                <w:highlight w:val="none"/>
                <w:u w:val="none"/>
                <w14:textFill>
                  <w14:solidFill>
                    <w14:schemeClr w14:val="tx1"/>
                  </w14:solidFill>
                </w14:textFill>
              </w:rPr>
              <w:t>中分离出来，即得到木焦油；然后继续降低温度至100℃</w:t>
            </w:r>
            <w:r>
              <w:rPr>
                <w:rFonts w:hint="default" w:ascii="Times New Roman" w:hAnsi="Times New Roman" w:cs="Times New Roman"/>
                <w:b w:val="0"/>
                <w:bCs w:val="0"/>
                <w:color w:val="000000" w:themeColor="text1"/>
                <w:sz w:val="24"/>
                <w:szCs w:val="24"/>
                <w:highlight w:val="none"/>
                <w:u w:val="none"/>
                <w:lang w:eastAsia="zh-CN"/>
                <w14:textFill>
                  <w14:solidFill>
                    <w14:schemeClr w14:val="tx1"/>
                  </w14:solidFill>
                </w14:textFill>
              </w:rPr>
              <w:t>，</w:t>
            </w:r>
            <w:r>
              <w:rPr>
                <w:rFonts w:hint="default" w:ascii="Times New Roman" w:hAnsi="Times New Roman" w:cs="Times New Roman"/>
                <w:b w:val="0"/>
                <w:bCs w:val="0"/>
                <w:color w:val="000000" w:themeColor="text1"/>
                <w:sz w:val="24"/>
                <w:szCs w:val="24"/>
                <w:highlight w:val="none"/>
                <w:u w:val="none"/>
                <w14:textFill>
                  <w14:solidFill>
                    <w14:schemeClr w14:val="tx1"/>
                  </w14:solidFill>
                </w14:textFill>
              </w:rPr>
              <w:t>让沸点在100℃以上的有机物冷凝为液态，从</w:t>
            </w:r>
            <w:r>
              <w:rPr>
                <w:rFonts w:hint="default" w:ascii="Times New Roman" w:hAnsi="Times New Roman" w:cs="Times New Roman"/>
                <w:b w:val="0"/>
                <w:bCs w:val="0"/>
                <w:color w:val="000000" w:themeColor="text1"/>
                <w:sz w:val="24"/>
                <w:szCs w:val="24"/>
                <w:highlight w:val="none"/>
                <w:u w:val="none"/>
                <w:lang w:val="en-US" w:eastAsia="zh-CN"/>
                <w14:textFill>
                  <w14:solidFill>
                    <w14:schemeClr w14:val="tx1"/>
                  </w14:solidFill>
                </w14:textFill>
              </w:rPr>
              <w:t>气流</w:t>
            </w:r>
            <w:r>
              <w:rPr>
                <w:rFonts w:hint="default" w:ascii="Times New Roman" w:hAnsi="Times New Roman" w:cs="Times New Roman"/>
                <w:b w:val="0"/>
                <w:bCs w:val="0"/>
                <w:color w:val="000000" w:themeColor="text1"/>
                <w:sz w:val="24"/>
                <w:szCs w:val="24"/>
                <w:highlight w:val="none"/>
                <w:u w:val="none"/>
                <w14:textFill>
                  <w14:solidFill>
                    <w14:schemeClr w14:val="tx1"/>
                  </w14:solidFill>
                </w14:textFill>
              </w:rPr>
              <w:t>中分离出来，即得到木醋液。剩余</w:t>
            </w:r>
            <w:r>
              <w:rPr>
                <w:rFonts w:hint="default" w:ascii="Times New Roman" w:hAnsi="Times New Roman" w:cs="Times New Roman"/>
                <w:b w:val="0"/>
                <w:bCs w:val="0"/>
                <w:color w:val="000000" w:themeColor="text1"/>
                <w:sz w:val="24"/>
                <w:szCs w:val="24"/>
                <w:highlight w:val="none"/>
                <w:u w:val="none"/>
                <w:lang w:val="en-US" w:eastAsia="zh-CN"/>
                <w14:textFill>
                  <w14:solidFill>
                    <w14:schemeClr w14:val="tx1"/>
                  </w14:solidFill>
                </w14:textFill>
              </w:rPr>
              <w:t>气体</w:t>
            </w:r>
            <w:r>
              <w:rPr>
                <w:rFonts w:hint="default" w:ascii="Times New Roman" w:hAnsi="Times New Roman" w:cs="Times New Roman"/>
                <w:b w:val="0"/>
                <w:bCs w:val="0"/>
                <w:color w:val="000000" w:themeColor="text1"/>
                <w:sz w:val="24"/>
                <w:szCs w:val="24"/>
                <w:highlight w:val="none"/>
                <w:u w:val="none"/>
                <w14:textFill>
                  <w14:solidFill>
                    <w14:schemeClr w14:val="tx1"/>
                  </w14:solidFill>
                </w14:textFill>
              </w:rPr>
              <w:t>主要是CO、H</w:t>
            </w:r>
            <w:r>
              <w:rPr>
                <w:rFonts w:hint="default" w:ascii="Times New Roman" w:hAnsi="Times New Roman" w:cs="Times New Roman"/>
                <w:b w:val="0"/>
                <w:bCs w:val="0"/>
                <w:color w:val="000000" w:themeColor="text1"/>
                <w:sz w:val="24"/>
                <w:szCs w:val="24"/>
                <w:highlight w:val="none"/>
                <w:u w:val="none"/>
                <w:vertAlign w:val="subscript"/>
                <w14:textFill>
                  <w14:solidFill>
                    <w14:schemeClr w14:val="tx1"/>
                  </w14:solidFill>
                </w14:textFill>
              </w:rPr>
              <w:t>2</w:t>
            </w:r>
            <w:r>
              <w:rPr>
                <w:rFonts w:hint="default" w:ascii="Times New Roman" w:hAnsi="Times New Roman" w:cs="Times New Roman"/>
                <w:b w:val="0"/>
                <w:bCs w:val="0"/>
                <w:color w:val="000000" w:themeColor="text1"/>
                <w:sz w:val="24"/>
                <w:szCs w:val="24"/>
                <w:highlight w:val="none"/>
                <w:u w:val="none"/>
                <w14:textFill>
                  <w14:solidFill>
                    <w14:schemeClr w14:val="tx1"/>
                  </w14:solidFill>
                </w14:textFill>
              </w:rPr>
              <w:t>、CH</w:t>
            </w:r>
            <w:r>
              <w:rPr>
                <w:rFonts w:hint="default" w:ascii="Times New Roman" w:hAnsi="Times New Roman" w:cs="Times New Roman"/>
                <w:b w:val="0"/>
                <w:bCs w:val="0"/>
                <w:color w:val="000000" w:themeColor="text1"/>
                <w:sz w:val="24"/>
                <w:szCs w:val="24"/>
                <w:highlight w:val="none"/>
                <w:u w:val="none"/>
                <w:vertAlign w:val="subscript"/>
                <w14:textFill>
                  <w14:solidFill>
                    <w14:schemeClr w14:val="tx1"/>
                  </w14:solidFill>
                </w14:textFill>
              </w:rPr>
              <w:t>4</w:t>
            </w:r>
            <w:r>
              <w:rPr>
                <w:rFonts w:hint="default" w:ascii="Times New Roman" w:hAnsi="Times New Roman" w:cs="Times New Roman"/>
                <w:b w:val="0"/>
                <w:bCs w:val="0"/>
                <w:color w:val="000000" w:themeColor="text1"/>
                <w:sz w:val="24"/>
                <w:szCs w:val="24"/>
                <w:highlight w:val="none"/>
                <w:u w:val="none"/>
                <w14:textFill>
                  <w14:solidFill>
                    <w14:schemeClr w14:val="tx1"/>
                  </w14:solidFill>
                </w14:textFill>
              </w:rPr>
              <w:t>等不凝气，即为</w:t>
            </w:r>
            <w:r>
              <w:rPr>
                <w:rFonts w:hint="default" w:ascii="Times New Roman" w:hAnsi="Times New Roman" w:cs="Times New Roman"/>
                <w:b w:val="0"/>
                <w:bCs w:val="0"/>
                <w:color w:val="000000" w:themeColor="text1"/>
                <w:sz w:val="24"/>
                <w:szCs w:val="24"/>
                <w:highlight w:val="none"/>
                <w:u w:val="none"/>
                <w:lang w:val="en-US" w:eastAsia="zh-CN"/>
                <w14:textFill>
                  <w14:solidFill>
                    <w14:schemeClr w14:val="tx1"/>
                  </w14:solidFill>
                </w14:textFill>
              </w:rPr>
              <w:t>木煤气</w:t>
            </w:r>
            <w:r>
              <w:rPr>
                <w:rFonts w:hint="default" w:ascii="Times New Roman" w:hAnsi="Times New Roman" w:cs="Times New Roman"/>
                <w:b w:val="0"/>
                <w:bCs w:val="0"/>
                <w:color w:val="000000" w:themeColor="text1"/>
                <w:sz w:val="24"/>
                <w:szCs w:val="24"/>
                <w:highlight w:val="none"/>
                <w:u w:val="none"/>
                <w14:textFill>
                  <w14:solidFill>
                    <w14:schemeClr w14:val="tx1"/>
                  </w14:solidFill>
                </w14:textFill>
              </w:rPr>
              <w:t>。</w:t>
            </w:r>
            <w:r>
              <w:rPr>
                <w:rFonts w:hint="default" w:ascii="Times New Roman" w:hAnsi="Times New Roman" w:cs="Times New Roman"/>
                <w:b w:val="0"/>
                <w:bCs w:val="0"/>
                <w:color w:val="000000" w:themeColor="text1"/>
                <w:kern w:val="0"/>
                <w:sz w:val="24"/>
                <w:szCs w:val="24"/>
                <w:u w:val="none"/>
                <w:lang w:val="en-US" w:eastAsia="zh-CN" w:bidi="ar"/>
                <w14:textFill>
                  <w14:solidFill>
                    <w14:schemeClr w14:val="tx1"/>
                  </w14:solidFill>
                </w14:textFill>
              </w:rPr>
              <w:t>经木煤气储存柜暂存，在烘干时段供给热风炉热源；在炭化炉点火和炭化初始阶段，供给炭化炉热源。多余的木煤气经点火装置点火燃烧。</w:t>
            </w:r>
            <w:r>
              <w:rPr>
                <w:rFonts w:hint="default" w:ascii="Times New Roman" w:hAnsi="Times New Roman" w:cs="Times New Roman"/>
                <w:b w:val="0"/>
                <w:bCs w:val="0"/>
                <w:color w:val="000000" w:themeColor="text1"/>
                <w:sz w:val="24"/>
                <w:szCs w:val="24"/>
                <w:highlight w:val="none"/>
                <w:u w:val="none"/>
                <w14:textFill>
                  <w14:solidFill>
                    <w14:schemeClr w14:val="tx1"/>
                  </w14:solidFill>
                </w14:textFill>
              </w:rPr>
              <w:t>可凝结的液体产物</w:t>
            </w:r>
            <w:r>
              <w:rPr>
                <w:rFonts w:hint="default" w:ascii="Times New Roman" w:hAnsi="Times New Roman" w:cs="Times New Roman"/>
                <w:b w:val="0"/>
                <w:bCs w:val="0"/>
                <w:color w:val="000000" w:themeColor="text1"/>
                <w:sz w:val="24"/>
                <w:szCs w:val="24"/>
                <w:highlight w:val="none"/>
                <w:u w:val="none"/>
                <w:lang w:eastAsia="zh-CN"/>
                <w14:textFill>
                  <w14:solidFill>
                    <w14:schemeClr w14:val="tx1"/>
                  </w14:solidFill>
                </w14:textFill>
              </w:rPr>
              <w:t>（</w:t>
            </w:r>
            <w:r>
              <w:rPr>
                <w:rFonts w:hint="default" w:ascii="Times New Roman" w:hAnsi="Times New Roman" w:cs="Times New Roman"/>
                <w:b w:val="0"/>
                <w:bCs w:val="0"/>
                <w:color w:val="000000" w:themeColor="text1"/>
                <w:sz w:val="24"/>
                <w:szCs w:val="24"/>
                <w:highlight w:val="none"/>
                <w:u w:val="none"/>
                <w:lang w:val="en-US" w:eastAsia="zh-CN"/>
                <w14:textFill>
                  <w14:solidFill>
                    <w14:schemeClr w14:val="tx1"/>
                  </w14:solidFill>
                </w14:textFill>
              </w:rPr>
              <w:t>木焦油和木醋液</w:t>
            </w:r>
            <w:r>
              <w:rPr>
                <w:rFonts w:hint="default" w:ascii="Times New Roman" w:hAnsi="Times New Roman" w:cs="Times New Roman"/>
                <w:b w:val="0"/>
                <w:bCs w:val="0"/>
                <w:color w:val="000000" w:themeColor="text1"/>
                <w:sz w:val="24"/>
                <w:szCs w:val="24"/>
                <w:highlight w:val="none"/>
                <w:u w:val="none"/>
                <w:lang w:eastAsia="zh-CN"/>
                <w14:textFill>
                  <w14:solidFill>
                    <w14:schemeClr w14:val="tx1"/>
                  </w14:solidFill>
                </w14:textFill>
              </w:rPr>
              <w:t>）</w:t>
            </w:r>
            <w:r>
              <w:rPr>
                <w:rFonts w:hint="default" w:ascii="Times New Roman" w:hAnsi="Times New Roman" w:cs="Times New Roman"/>
                <w:b w:val="0"/>
                <w:bCs w:val="0"/>
                <w:color w:val="000000" w:themeColor="text1"/>
                <w:sz w:val="24"/>
                <w:szCs w:val="24"/>
                <w:highlight w:val="none"/>
                <w:u w:val="none"/>
                <w14:textFill>
                  <w14:solidFill>
                    <w14:schemeClr w14:val="tx1"/>
                  </w14:solidFill>
                </w14:textFill>
              </w:rPr>
              <w:t>通过</w:t>
            </w:r>
            <w:r>
              <w:rPr>
                <w:rFonts w:hint="default" w:ascii="Times New Roman" w:hAnsi="Times New Roman" w:cs="Times New Roman"/>
                <w:b w:val="0"/>
                <w:bCs w:val="0"/>
                <w:color w:val="000000" w:themeColor="text1"/>
                <w:sz w:val="24"/>
                <w:szCs w:val="24"/>
                <w:highlight w:val="none"/>
                <w:u w:val="none"/>
                <w:lang w:val="en-US" w:eastAsia="zh-CN"/>
                <w14:textFill>
                  <w14:solidFill>
                    <w14:schemeClr w14:val="tx1"/>
                  </w14:solidFill>
                </w14:textFill>
              </w:rPr>
              <w:t>不同冷凝</w:t>
            </w:r>
            <w:r>
              <w:rPr>
                <w:rFonts w:hint="default" w:ascii="Times New Roman" w:hAnsi="Times New Roman" w:cs="Times New Roman"/>
                <w:b w:val="0"/>
                <w:bCs w:val="0"/>
                <w:color w:val="000000" w:themeColor="text1"/>
                <w:sz w:val="24"/>
                <w:szCs w:val="24"/>
                <w:highlight w:val="none"/>
                <w:u w:val="none"/>
                <w14:textFill>
                  <w14:solidFill>
                    <w14:schemeClr w14:val="tx1"/>
                  </w14:solidFill>
                </w14:textFill>
              </w:rPr>
              <w:t>出口滴落进密闭的不锈钢暂存箱</w:t>
            </w:r>
            <w:r>
              <w:rPr>
                <w:rFonts w:hint="default" w:ascii="Times New Roman" w:hAnsi="Times New Roman" w:cs="Times New Roman"/>
                <w:b w:val="0"/>
                <w:bCs w:val="0"/>
                <w:color w:val="000000" w:themeColor="text1"/>
                <w:sz w:val="24"/>
                <w:szCs w:val="24"/>
                <w:highlight w:val="none"/>
                <w:u w:val="none"/>
                <w:lang w:val="en-US" w:eastAsia="zh-CN"/>
                <w14:textFill>
                  <w14:solidFill>
                    <w14:schemeClr w14:val="tx1"/>
                  </w14:solidFill>
                </w14:textFill>
              </w:rPr>
              <w:t>分别储存收集的木焦油和木醋液。</w:t>
            </w:r>
          </w:p>
          <w:p w14:paraId="3C1CA2AD">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pPr>
            <w:r>
              <w:rPr>
                <w:rFonts w:hint="eastAsia" w:cs="Times New Roman"/>
                <w:color w:val="000000" w:themeColor="text1"/>
                <w:sz w:val="24"/>
                <w:szCs w:val="24"/>
                <w:highlight w:val="none"/>
                <w:u w:val="none" w:color="auto"/>
                <w:lang w:val="en-US" w:eastAsia="zh-CN"/>
                <w14:textFill>
                  <w14:solidFill>
                    <w14:schemeClr w14:val="tx1"/>
                  </w14:solidFill>
                </w14:textFill>
              </w:rPr>
              <w:t>（2）生物质颗粒</w:t>
            </w:r>
            <w:r>
              <w:rPr>
                <w:rFonts w:hint="default" w:ascii="Times New Roman" w:hAnsi="Times New Roman" w:eastAsia="宋体" w:cs="Times New Roman"/>
                <w:color w:val="000000" w:themeColor="text1"/>
                <w:sz w:val="24"/>
                <w:szCs w:val="24"/>
                <w:highlight w:val="none"/>
                <w:u w:val="none" w:color="auto"/>
                <w:lang w:val="en-US" w:eastAsia="zh-CN"/>
                <w14:textFill>
                  <w14:solidFill>
                    <w14:schemeClr w14:val="tx1"/>
                  </w14:solidFill>
                </w14:textFill>
              </w:rPr>
              <w:t>生产工艺及产污环节如下图</w:t>
            </w:r>
          </w:p>
          <w:p w14:paraId="36974862">
            <w:pPr>
              <w:keepNext w:val="0"/>
              <w:keepLines w:val="0"/>
              <w:suppressLineNumbers w:val="0"/>
              <w:spacing w:before="0" w:beforeAutospacing="0" w:after="0" w:afterAutospacing="0"/>
              <w:ind w:left="0" w:right="0"/>
              <w:jc w:val="center"/>
              <w:rPr>
                <w:rFonts w:hint="default" w:ascii="Times New Roman" w:hAnsi="Times New Roman"/>
                <w:color w:val="auto"/>
                <w:lang w:val="zh-CN"/>
              </w:rPr>
            </w:pPr>
            <w:r>
              <w:drawing>
                <wp:inline distT="0" distB="0" distL="114300" distR="114300">
                  <wp:extent cx="3295650" cy="3238500"/>
                  <wp:effectExtent l="0" t="0" r="0" b="0"/>
                  <wp:docPr id="14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6"/>
                          <pic:cNvPicPr>
                            <a:picLocks noChangeAspect="1"/>
                          </pic:cNvPicPr>
                        </pic:nvPicPr>
                        <pic:blipFill>
                          <a:blip r:embed="rId13"/>
                          <a:stretch>
                            <a:fillRect/>
                          </a:stretch>
                        </pic:blipFill>
                        <pic:spPr>
                          <a:xfrm>
                            <a:off x="0" y="0"/>
                            <a:ext cx="3295650" cy="3238500"/>
                          </a:xfrm>
                          <a:prstGeom prst="rect">
                            <a:avLst/>
                          </a:prstGeom>
                          <a:noFill/>
                          <a:ln>
                            <a:noFill/>
                          </a:ln>
                        </pic:spPr>
                      </pic:pic>
                    </a:graphicData>
                  </a:graphic>
                </wp:inline>
              </w:drawing>
            </w:r>
          </w:p>
          <w:p w14:paraId="11A4D8CB">
            <w:pPr>
              <w:pStyle w:val="47"/>
              <w:keepNext w:val="0"/>
              <w:keepLines w:val="0"/>
              <w:suppressLineNumbers w:val="0"/>
              <w:spacing w:before="0" w:beforeAutospacing="0" w:after="0" w:afterAutospacing="0" w:line="360" w:lineRule="auto"/>
              <w:ind w:left="0" w:right="0"/>
              <w:jc w:val="center"/>
              <w:rPr>
                <w:rFonts w:hint="default" w:ascii="Times New Roman" w:hAnsi="Times New Roman"/>
                <w:color w:val="auto"/>
                <w:lang w:val="zh-CN"/>
              </w:rPr>
            </w:pPr>
            <w:r>
              <w:rPr>
                <w:rFonts w:hint="default" w:ascii="Times New Roman" w:hAnsi="Times New Roman" w:eastAsia="宋体" w:cs="Times New Roman"/>
                <w:b/>
                <w:bCs/>
                <w:color w:val="auto"/>
                <w:sz w:val="24"/>
                <w:szCs w:val="24"/>
                <w:highlight w:val="none"/>
                <w:u w:val="none" w:color="auto"/>
                <w:vertAlign w:val="baseline"/>
              </w:rPr>
              <w:t>图2-</w:t>
            </w:r>
            <w:r>
              <w:rPr>
                <w:rFonts w:hint="eastAsia" w:ascii="Times New Roman" w:cs="Times New Roman"/>
                <w:b/>
                <w:bCs/>
                <w:color w:val="auto"/>
                <w:sz w:val="24"/>
                <w:szCs w:val="24"/>
                <w:highlight w:val="none"/>
                <w:u w:val="none" w:color="auto"/>
                <w:vertAlign w:val="baseline"/>
                <w:lang w:val="en-US" w:eastAsia="zh-CN"/>
              </w:rPr>
              <w:t>5</w:t>
            </w:r>
            <w:r>
              <w:rPr>
                <w:rFonts w:hint="eastAsia" w:ascii="Times New Roman" w:hAnsi="Times New Roman" w:eastAsia="宋体" w:cs="Times New Roman"/>
                <w:b/>
                <w:bCs/>
                <w:color w:val="auto"/>
                <w:sz w:val="24"/>
                <w:szCs w:val="24"/>
                <w:highlight w:val="none"/>
                <w:u w:val="none" w:color="auto"/>
                <w:vertAlign w:val="baseline"/>
                <w:lang w:val="en-US" w:eastAsia="zh-CN"/>
              </w:rPr>
              <w:t xml:space="preserve"> </w:t>
            </w:r>
            <w:r>
              <w:rPr>
                <w:rFonts w:hint="default" w:ascii="Times New Roman" w:hAnsi="Times New Roman" w:eastAsia="宋体" w:cs="Times New Roman"/>
                <w:b/>
                <w:bCs/>
                <w:color w:val="auto"/>
                <w:sz w:val="24"/>
                <w:szCs w:val="24"/>
                <w:highlight w:val="none"/>
                <w:u w:val="none" w:color="auto"/>
                <w:vertAlign w:val="baseline"/>
              </w:rPr>
              <w:t xml:space="preserve"> </w:t>
            </w:r>
            <w:r>
              <w:rPr>
                <w:rFonts w:hint="default" w:ascii="Times New Roman" w:hAnsi="Times New Roman" w:eastAsia="宋体" w:cs="Times New Roman"/>
                <w:b/>
                <w:bCs/>
                <w:color w:val="auto"/>
                <w:sz w:val="24"/>
                <w:szCs w:val="24"/>
                <w:highlight w:val="none"/>
                <w:u w:val="none" w:color="auto"/>
                <w:vertAlign w:val="baseline"/>
                <w:lang w:val="en-US" w:eastAsia="zh-CN"/>
              </w:rPr>
              <w:t>本</w:t>
            </w:r>
            <w:r>
              <w:rPr>
                <w:rFonts w:hint="eastAsia" w:ascii="Times New Roman" w:hAnsi="Times New Roman" w:eastAsia="宋体" w:cs="Times New Roman"/>
                <w:b/>
                <w:bCs/>
                <w:color w:val="auto"/>
                <w:sz w:val="24"/>
                <w:szCs w:val="24"/>
                <w:highlight w:val="none"/>
                <w:u w:val="none" w:color="auto"/>
                <w:vertAlign w:val="baseline"/>
                <w:lang w:val="en-US" w:eastAsia="zh-CN"/>
              </w:rPr>
              <w:t>项目生物质颗粒</w:t>
            </w:r>
            <w:r>
              <w:rPr>
                <w:rFonts w:hint="default" w:ascii="Times New Roman" w:hAnsi="Times New Roman" w:eastAsia="宋体" w:cs="Times New Roman"/>
                <w:b/>
                <w:bCs/>
                <w:color w:val="auto"/>
                <w:sz w:val="24"/>
                <w:szCs w:val="24"/>
                <w:highlight w:val="none"/>
                <w:u w:val="none" w:color="auto"/>
                <w:vertAlign w:val="baseline"/>
                <w:lang w:val="en-US" w:eastAsia="zh-CN"/>
              </w:rPr>
              <w:t>生产线</w:t>
            </w:r>
            <w:r>
              <w:rPr>
                <w:rFonts w:hint="default" w:ascii="Times New Roman" w:hAnsi="Times New Roman" w:eastAsia="宋体" w:cs="Times New Roman"/>
                <w:b/>
                <w:bCs/>
                <w:color w:val="auto"/>
                <w:sz w:val="24"/>
                <w:szCs w:val="24"/>
                <w:highlight w:val="none"/>
                <w:u w:val="none" w:color="auto"/>
                <w:vertAlign w:val="baseline"/>
              </w:rPr>
              <w:t>生产工艺流程及排污节点图</w:t>
            </w:r>
          </w:p>
          <w:p w14:paraId="3420AB3F">
            <w:pPr>
              <w:pStyle w:val="47"/>
              <w:keepNext w:val="0"/>
              <w:keepLines w:val="0"/>
              <w:suppressLineNumbers w:val="0"/>
              <w:spacing w:before="0" w:beforeAutospacing="0" w:after="0" w:afterAutospacing="0" w:line="360" w:lineRule="auto"/>
              <w:ind w:left="0" w:right="0" w:firstLine="482" w:firstLineChars="200"/>
              <w:rPr>
                <w:rFonts w:hint="default" w:ascii="Times New Roman" w:hAnsi="Times New Roman"/>
                <w:b/>
                <w:bCs/>
                <w:color w:val="auto"/>
                <w:sz w:val="24"/>
                <w:szCs w:val="24"/>
              </w:rPr>
            </w:pPr>
            <w:r>
              <w:rPr>
                <w:rFonts w:hint="default" w:ascii="Times New Roman" w:hAnsi="Times New Roman"/>
                <w:b/>
                <w:bCs/>
                <w:color w:val="auto"/>
                <w:sz w:val="24"/>
                <w:szCs w:val="24"/>
              </w:rPr>
              <w:t>工艺流程简要说明：</w:t>
            </w:r>
          </w:p>
          <w:p w14:paraId="0B127A25">
            <w:pPr>
              <w:keepNext w:val="0"/>
              <w:keepLines w:val="0"/>
              <w:suppressLineNumbers w:val="0"/>
              <w:snapToGrid w:val="0"/>
              <w:spacing w:before="0" w:beforeAutospacing="0" w:after="0" w:afterAutospacing="0" w:line="360" w:lineRule="auto"/>
              <w:ind w:left="0" w:right="0" w:firstLine="568" w:firstLineChars="237"/>
              <w:jc w:val="left"/>
              <w:rPr>
                <w:rFonts w:hint="eastAsia"/>
                <w:sz w:val="24"/>
                <w:szCs w:val="20"/>
              </w:rPr>
            </w:pPr>
            <w:r>
              <w:rPr>
                <w:rFonts w:hint="eastAsia" w:ascii="Times New Roman" w:hAnsi="Times New Roman"/>
                <w:color w:val="auto"/>
                <w:sz w:val="24"/>
                <w:szCs w:val="24"/>
                <w:lang w:val="en-US" w:eastAsia="zh-CN"/>
              </w:rPr>
              <w:t>①</w:t>
            </w:r>
            <w:r>
              <w:rPr>
                <w:rFonts w:hint="eastAsia" w:ascii="Times New Roman"/>
                <w:color w:val="auto"/>
                <w:sz w:val="24"/>
                <w:szCs w:val="24"/>
                <w:lang w:val="en-US" w:eastAsia="zh-CN"/>
              </w:rPr>
              <w:t>原料</w:t>
            </w:r>
            <w:r>
              <w:rPr>
                <w:rFonts w:hint="default" w:ascii="Times New Roman" w:hAnsi="Times New Roman"/>
                <w:color w:val="auto"/>
                <w:sz w:val="24"/>
                <w:szCs w:val="24"/>
              </w:rPr>
              <w:t>：</w:t>
            </w:r>
            <w:r>
              <w:rPr>
                <w:rFonts w:hint="eastAsia"/>
                <w:sz w:val="24"/>
                <w:szCs w:val="24"/>
              </w:rPr>
              <w:t>本项目</w:t>
            </w:r>
            <w:r>
              <w:rPr>
                <w:rFonts w:hint="eastAsia"/>
                <w:sz w:val="24"/>
                <w:szCs w:val="20"/>
              </w:rPr>
              <w:t>原料来源周边农村的</w:t>
            </w:r>
            <w:r>
              <w:rPr>
                <w:rFonts w:hint="eastAsia" w:hAnsi="宋体"/>
                <w:sz w:val="24"/>
              </w:rPr>
              <w:t>农作物秸秆</w:t>
            </w:r>
            <w:r>
              <w:rPr>
                <w:rFonts w:hint="eastAsia" w:hAnsi="宋体"/>
                <w:sz w:val="24"/>
                <w:lang w:eastAsia="zh-CN"/>
              </w:rPr>
              <w:t>、</w:t>
            </w:r>
            <w:r>
              <w:rPr>
                <w:rFonts w:hint="eastAsia" w:hAnsi="宋体"/>
                <w:sz w:val="24"/>
              </w:rPr>
              <w:t>花生</w:t>
            </w:r>
            <w:r>
              <w:rPr>
                <w:rFonts w:hint="eastAsia" w:hAnsi="宋体"/>
                <w:sz w:val="24"/>
                <w:lang w:val="en-US" w:eastAsia="zh-CN"/>
              </w:rPr>
              <w:t>壳</w:t>
            </w:r>
            <w:r>
              <w:rPr>
                <w:rFonts w:hint="eastAsia"/>
                <w:sz w:val="24"/>
                <w:szCs w:val="20"/>
              </w:rPr>
              <w:t>等，收购的打捆的秸秆运转至厂区，暂存于项目区原料仓库。收购的成捆秸秆通过装载机、叉车等送至原材料仓库，人工装卸到输送机，秸秆输送机采用封闭结构。</w:t>
            </w:r>
            <w:r>
              <w:rPr>
                <w:rFonts w:hint="eastAsia"/>
                <w:sz w:val="24"/>
                <w:szCs w:val="20"/>
                <w:lang w:val="en-US" w:eastAsia="zh-CN"/>
              </w:rPr>
              <w:t>原料均为收购的晾晒后的干料。</w:t>
            </w:r>
          </w:p>
          <w:p w14:paraId="1CCCD1BC">
            <w:pPr>
              <w:pStyle w:val="47"/>
              <w:keepNext w:val="0"/>
              <w:keepLines w:val="0"/>
              <w:suppressLineNumbers w:val="0"/>
              <w:spacing w:before="0" w:beforeAutospacing="0" w:after="0" w:afterAutospacing="0" w:line="360" w:lineRule="auto"/>
              <w:ind w:left="0" w:right="0" w:firstLine="480" w:firstLineChars="200"/>
              <w:rPr>
                <w:rFonts w:hint="default" w:ascii="Times New Roman" w:hAnsi="Times New Roman"/>
                <w:color w:val="auto"/>
                <w:highlight w:val="none"/>
                <w:lang w:val="zh-CN"/>
              </w:rPr>
            </w:pPr>
            <w:r>
              <w:rPr>
                <w:rFonts w:hint="eastAsia" w:ascii="Times New Roman" w:hAnsi="Times New Roman"/>
                <w:color w:val="auto"/>
                <w:lang w:val="en-US" w:eastAsia="zh-CN"/>
              </w:rPr>
              <w:t>②</w:t>
            </w:r>
            <w:r>
              <w:rPr>
                <w:rFonts w:hint="default" w:ascii="Times New Roman" w:hAnsi="Times New Roman"/>
                <w:color w:val="auto"/>
              </w:rPr>
              <w:t>破碎：</w:t>
            </w:r>
            <w:r>
              <w:rPr>
                <w:rFonts w:hint="default" w:ascii="Times New Roman" w:hAnsi="Times New Roman"/>
                <w:color w:val="auto"/>
                <w:lang w:val="zh-CN"/>
              </w:rPr>
              <w:t>本项目原材料大小种类不一，其需要先破碎，</w:t>
            </w:r>
            <w:r>
              <w:rPr>
                <w:rFonts w:hint="eastAsia" w:ascii="Times New Roman"/>
                <w:color w:val="auto"/>
                <w:lang w:val="en-US" w:eastAsia="zh-CN"/>
              </w:rPr>
              <w:t>秸秆经叉车运至破碎机，袋装花生壳经人工上料进入破碎机</w:t>
            </w:r>
            <w:r>
              <w:rPr>
                <w:rFonts w:hint="default" w:ascii="Times New Roman" w:hAnsi="Times New Roman"/>
                <w:color w:val="auto"/>
                <w:lang w:val="zh-CN"/>
              </w:rPr>
              <w:t>进行破碎至合格粒度</w:t>
            </w:r>
            <w:r>
              <w:rPr>
                <w:rFonts w:hint="eastAsia" w:ascii="Times New Roman"/>
                <w:color w:val="auto"/>
                <w:lang w:val="zh-CN"/>
              </w:rPr>
              <w:t>。</w:t>
            </w:r>
            <w:r>
              <w:rPr>
                <w:rFonts w:hint="eastAsia" w:ascii="Times New Roman"/>
                <w:color w:val="auto"/>
                <w:lang w:val="en-US" w:eastAsia="zh-CN"/>
              </w:rPr>
              <w:t>破</w:t>
            </w:r>
            <w:r>
              <w:rPr>
                <w:rFonts w:hint="default" w:ascii="Times New Roman" w:hAnsi="Times New Roman"/>
                <w:color w:val="auto"/>
              </w:rPr>
              <w:t>碎过程会产生粉尘。</w:t>
            </w:r>
            <w:r>
              <w:rPr>
                <w:rFonts w:hint="default" w:ascii="Times New Roman" w:hAnsi="Times New Roman"/>
                <w:color w:val="auto"/>
                <w:highlight w:val="none"/>
                <w:lang w:val="zh-CN"/>
              </w:rPr>
              <w:t>破碎过程产生粉尘和设备噪声。</w:t>
            </w:r>
          </w:p>
          <w:p w14:paraId="110BF209">
            <w:pPr>
              <w:pStyle w:val="47"/>
              <w:keepNext w:val="0"/>
              <w:keepLines w:val="0"/>
              <w:suppressLineNumbers w:val="0"/>
              <w:spacing w:before="0" w:beforeAutospacing="0" w:after="0" w:afterAutospacing="0" w:line="360" w:lineRule="auto"/>
              <w:ind w:left="0" w:right="0" w:firstLine="480" w:firstLineChars="200"/>
              <w:rPr>
                <w:rFonts w:hint="default" w:ascii="Times New Roman" w:hAnsi="Times New Roman"/>
                <w:color w:val="auto"/>
                <w:sz w:val="24"/>
                <w:szCs w:val="24"/>
              </w:rPr>
            </w:pPr>
            <w:r>
              <w:rPr>
                <w:rFonts w:hint="eastAsia" w:ascii="Times New Roman" w:hAnsi="Times New Roman"/>
                <w:color w:val="auto"/>
                <w:sz w:val="24"/>
                <w:szCs w:val="24"/>
                <w:lang w:val="en-US" w:eastAsia="zh-CN"/>
              </w:rPr>
              <w:t>④</w:t>
            </w:r>
            <w:r>
              <w:rPr>
                <w:rFonts w:hint="eastAsia" w:ascii="Times New Roman"/>
                <w:color w:val="auto"/>
                <w:sz w:val="24"/>
                <w:szCs w:val="24"/>
                <w:lang w:val="en-US" w:eastAsia="zh-CN"/>
              </w:rPr>
              <w:t>筛分</w:t>
            </w:r>
            <w:r>
              <w:rPr>
                <w:rFonts w:hint="default" w:ascii="Times New Roman" w:hAnsi="Times New Roman"/>
                <w:color w:val="auto"/>
                <w:sz w:val="24"/>
                <w:szCs w:val="24"/>
              </w:rPr>
              <w:t>：造粒前需要将</w:t>
            </w:r>
            <w:r>
              <w:rPr>
                <w:rFonts w:hint="eastAsia" w:ascii="Times New Roman"/>
                <w:color w:val="auto"/>
                <w:sz w:val="24"/>
                <w:szCs w:val="24"/>
                <w:lang w:val="en-US" w:eastAsia="zh-CN"/>
              </w:rPr>
              <w:t>破碎后</w:t>
            </w:r>
            <w:r>
              <w:rPr>
                <w:rFonts w:hint="default" w:ascii="Times New Roman" w:hAnsi="Times New Roman"/>
                <w:color w:val="auto"/>
                <w:sz w:val="24"/>
                <w:szCs w:val="24"/>
              </w:rPr>
              <w:t>的物料用</w:t>
            </w:r>
            <w:r>
              <w:rPr>
                <w:rFonts w:hint="eastAsia" w:ascii="Times New Roman"/>
                <w:color w:val="auto"/>
                <w:sz w:val="24"/>
                <w:szCs w:val="24"/>
                <w:lang w:val="en-US" w:eastAsia="zh-CN"/>
              </w:rPr>
              <w:t>筛分机</w:t>
            </w:r>
            <w:r>
              <w:rPr>
                <w:rFonts w:hint="default" w:ascii="Times New Roman" w:hAnsi="Times New Roman"/>
                <w:color w:val="auto"/>
                <w:sz w:val="24"/>
                <w:szCs w:val="24"/>
              </w:rPr>
              <w:t>进行</w:t>
            </w:r>
            <w:r>
              <w:rPr>
                <w:rFonts w:hint="eastAsia" w:ascii="Times New Roman"/>
                <w:color w:val="auto"/>
                <w:sz w:val="24"/>
                <w:szCs w:val="24"/>
                <w:lang w:val="en-US" w:eastAsia="zh-CN"/>
              </w:rPr>
              <w:t>筛分</w:t>
            </w:r>
            <w:r>
              <w:rPr>
                <w:rFonts w:hint="default" w:ascii="Times New Roman" w:hAnsi="Times New Roman"/>
                <w:color w:val="auto"/>
                <w:sz w:val="24"/>
                <w:szCs w:val="24"/>
              </w:rPr>
              <w:t>，主要为筛选铁屑、碎石、泥沙等废料。经</w:t>
            </w:r>
            <w:r>
              <w:rPr>
                <w:rFonts w:hint="eastAsia" w:ascii="Times New Roman"/>
                <w:color w:val="auto"/>
                <w:sz w:val="24"/>
                <w:szCs w:val="24"/>
                <w:lang w:val="en-US" w:eastAsia="zh-CN"/>
              </w:rPr>
              <w:t>破</w:t>
            </w:r>
            <w:r>
              <w:rPr>
                <w:rFonts w:hint="default" w:ascii="Times New Roman" w:hAnsi="Times New Roman"/>
                <w:color w:val="auto"/>
                <w:sz w:val="24"/>
                <w:szCs w:val="24"/>
              </w:rPr>
              <w:t>碎后的物料放置下料区，通过翻斗车人工转运至</w:t>
            </w:r>
            <w:r>
              <w:rPr>
                <w:rFonts w:hint="eastAsia" w:ascii="Times New Roman"/>
                <w:color w:val="auto"/>
                <w:sz w:val="24"/>
                <w:szCs w:val="24"/>
                <w:lang w:val="en-US" w:eastAsia="zh-CN"/>
              </w:rPr>
              <w:t>筛分机进料口</w:t>
            </w:r>
            <w:r>
              <w:rPr>
                <w:rFonts w:hint="default" w:ascii="Times New Roman" w:hAnsi="Times New Roman"/>
                <w:color w:val="auto"/>
                <w:sz w:val="24"/>
                <w:szCs w:val="24"/>
                <w:lang w:val="zh-CN"/>
              </w:rPr>
              <w:t>。</w:t>
            </w:r>
            <w:r>
              <w:rPr>
                <w:rFonts w:hint="default" w:ascii="Times New Roman" w:hAnsi="Times New Roman"/>
                <w:color w:val="auto"/>
                <w:sz w:val="24"/>
                <w:szCs w:val="24"/>
              </w:rPr>
              <w:t>该过程产生粉尘</w:t>
            </w:r>
            <w:r>
              <w:rPr>
                <w:rFonts w:hint="eastAsia" w:ascii="Times New Roman"/>
                <w:color w:val="auto"/>
                <w:sz w:val="24"/>
                <w:szCs w:val="24"/>
                <w:lang w:eastAsia="zh-CN"/>
              </w:rPr>
              <w:t>、</w:t>
            </w:r>
            <w:r>
              <w:rPr>
                <w:rFonts w:hint="default" w:ascii="Times New Roman" w:hAnsi="Times New Roman"/>
                <w:color w:val="auto"/>
                <w:sz w:val="24"/>
                <w:szCs w:val="24"/>
              </w:rPr>
              <w:t>噪声。</w:t>
            </w:r>
          </w:p>
          <w:p w14:paraId="66A36074">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sz w:val="24"/>
                <w:szCs w:val="24"/>
              </w:rPr>
            </w:pPr>
            <w:r>
              <w:rPr>
                <w:rFonts w:hint="eastAsia" w:ascii="Times New Roman" w:hAnsi="Times New Roman"/>
                <w:color w:val="auto"/>
                <w:sz w:val="24"/>
                <w:szCs w:val="24"/>
                <w:lang w:val="en-US" w:eastAsia="zh-CN"/>
              </w:rPr>
              <w:t>⑤</w:t>
            </w:r>
            <w:r>
              <w:rPr>
                <w:rFonts w:hint="default" w:ascii="Times New Roman" w:hAnsi="Times New Roman"/>
                <w:color w:val="auto"/>
                <w:sz w:val="24"/>
                <w:szCs w:val="24"/>
              </w:rPr>
              <w:t>造粒：</w:t>
            </w:r>
            <w:r>
              <w:rPr>
                <w:rFonts w:hint="eastAsia" w:ascii="Times New Roman"/>
                <w:color w:val="auto"/>
                <w:sz w:val="24"/>
                <w:szCs w:val="24"/>
                <w:lang w:val="en-US" w:eastAsia="zh-CN"/>
              </w:rPr>
              <w:t>筛分后的物料通过传送装置进入造粒机进料口，</w:t>
            </w:r>
            <w:r>
              <w:rPr>
                <w:rFonts w:hint="default" w:ascii="Times New Roman" w:hAnsi="Times New Roman"/>
                <w:color w:val="auto"/>
                <w:sz w:val="24"/>
                <w:szCs w:val="24"/>
              </w:rPr>
              <w:t>通过造粒机，将原料进行压缩造粒形成生物质颗粒。</w:t>
            </w:r>
            <w:r>
              <w:rPr>
                <w:rFonts w:hint="default" w:ascii="Times New Roman" w:hAnsi="Times New Roman"/>
                <w:color w:val="auto"/>
                <w:sz w:val="24"/>
                <w:szCs w:val="24"/>
                <w:lang w:val="zh-CN"/>
              </w:rPr>
              <w:t>成型过程中无需添加任何添加剂，</w:t>
            </w:r>
            <w:r>
              <w:rPr>
                <w:rFonts w:hint="default" w:ascii="Times New Roman" w:hAnsi="Times New Roman"/>
                <w:color w:val="auto"/>
                <w:sz w:val="24"/>
                <w:szCs w:val="24"/>
              </w:rPr>
              <w:t>造粒机内温度控制在110~120℃，压缩时间1-3S、压缩比为4.2。</w:t>
            </w:r>
            <w:r>
              <w:rPr>
                <w:rFonts w:hint="default" w:ascii="Times New Roman" w:hAnsi="Times New Roman"/>
                <w:color w:val="auto"/>
                <w:sz w:val="24"/>
                <w:szCs w:val="24"/>
                <w:lang w:val="zh-CN"/>
              </w:rPr>
              <w:t>该工序产生不合格产品、粉尘和设备噪声。</w:t>
            </w:r>
          </w:p>
          <w:p w14:paraId="5FB39E99">
            <w:pPr>
              <w:pStyle w:val="47"/>
              <w:keepNext w:val="0"/>
              <w:keepLines w:val="0"/>
              <w:suppressLineNumbers w:val="0"/>
              <w:spacing w:before="0" w:beforeAutospacing="0" w:after="0" w:afterAutospacing="0" w:line="360" w:lineRule="auto"/>
              <w:ind w:left="0" w:right="0" w:firstLine="480" w:firstLineChars="200"/>
              <w:rPr>
                <w:rFonts w:hint="default" w:ascii="Times New Roman" w:hAnsi="Times New Roman"/>
                <w:color w:val="auto"/>
                <w:sz w:val="24"/>
                <w:szCs w:val="24"/>
              </w:rPr>
            </w:pPr>
            <w:r>
              <w:rPr>
                <w:rFonts w:hint="eastAsia" w:ascii="Times New Roman" w:hAnsi="Times New Roman"/>
                <w:color w:val="auto"/>
                <w:sz w:val="24"/>
                <w:szCs w:val="24"/>
                <w:lang w:val="en-US" w:eastAsia="zh-CN"/>
              </w:rPr>
              <w:t>⑦</w:t>
            </w:r>
            <w:r>
              <w:rPr>
                <w:rFonts w:hint="default" w:ascii="Times New Roman" w:hAnsi="Times New Roman"/>
                <w:color w:val="auto"/>
                <w:sz w:val="24"/>
                <w:szCs w:val="24"/>
              </w:rPr>
              <w:t>包装：成型的生物质通过自然冷却后再进行</w:t>
            </w:r>
            <w:r>
              <w:rPr>
                <w:rFonts w:hint="eastAsia" w:ascii="Times New Roman"/>
                <w:color w:val="auto"/>
                <w:sz w:val="24"/>
                <w:szCs w:val="24"/>
                <w:lang w:val="en-US" w:eastAsia="zh-CN"/>
              </w:rPr>
              <w:t>人工</w:t>
            </w:r>
            <w:r>
              <w:rPr>
                <w:rFonts w:hint="default" w:ascii="Times New Roman" w:hAnsi="Times New Roman"/>
                <w:color w:val="auto"/>
                <w:sz w:val="24"/>
                <w:szCs w:val="24"/>
              </w:rPr>
              <w:t>包装</w:t>
            </w:r>
            <w:r>
              <w:rPr>
                <w:rFonts w:hint="eastAsia" w:ascii="Times New Roman"/>
                <w:color w:val="auto"/>
                <w:sz w:val="24"/>
                <w:szCs w:val="24"/>
                <w:lang w:val="en-US" w:eastAsia="zh-CN"/>
              </w:rPr>
              <w:t>后入成品区暂存。</w:t>
            </w:r>
            <w:r>
              <w:rPr>
                <w:rFonts w:hint="default" w:ascii="Times New Roman" w:hAnsi="Times New Roman"/>
                <w:color w:val="auto"/>
                <w:sz w:val="24"/>
                <w:szCs w:val="24"/>
                <w:lang w:val="zh-CN"/>
              </w:rPr>
              <w:t>成型后的生物质颗粒体积小、比重大</w:t>
            </w:r>
            <w:r>
              <w:rPr>
                <w:rFonts w:hint="default" w:ascii="Times New Roman" w:hAnsi="Times New Roman"/>
                <w:color w:val="auto"/>
                <w:sz w:val="24"/>
                <w:szCs w:val="24"/>
              </w:rPr>
              <w:t>，包装过程产生</w:t>
            </w:r>
            <w:r>
              <w:rPr>
                <w:rFonts w:hint="eastAsia" w:ascii="Times New Roman"/>
                <w:color w:val="auto"/>
                <w:sz w:val="24"/>
                <w:szCs w:val="24"/>
                <w:lang w:val="en-US" w:eastAsia="zh-CN"/>
              </w:rPr>
              <w:t>少量</w:t>
            </w:r>
            <w:r>
              <w:rPr>
                <w:rFonts w:hint="default" w:ascii="Times New Roman" w:hAnsi="Times New Roman"/>
                <w:color w:val="auto"/>
                <w:sz w:val="24"/>
                <w:szCs w:val="24"/>
              </w:rPr>
              <w:t>粉尘。</w:t>
            </w:r>
          </w:p>
          <w:p w14:paraId="68C381D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b w:val="0"/>
                <w:bCs/>
                <w:color w:val="000000" w:themeColor="text1"/>
                <w:sz w:val="24"/>
                <w:szCs w:val="24"/>
                <w:highlight w:val="none"/>
                <w:u w:val="none" w:color="auto"/>
                <w:lang w:val="en-US" w:eastAsia="zh-CN"/>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u w:val="none" w:color="auto"/>
                <w:lang w:val="en-US" w:eastAsia="zh-CN"/>
                <w14:textFill>
                  <w14:solidFill>
                    <w14:schemeClr w14:val="tx1"/>
                  </w14:solidFill>
                </w14:textFill>
              </w:rPr>
              <w:t>2、产污情况分析：</w:t>
            </w:r>
          </w:p>
          <w:p w14:paraId="6DB84DE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b/>
                <w:color w:val="000000" w:themeColor="text1"/>
                <w:sz w:val="24"/>
                <w:szCs w:val="24"/>
                <w:highlight w:val="none"/>
                <w:u w:val="none" w:color="auto"/>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u w:val="none" w:color="auto"/>
                <w:lang w:val="en-US" w:eastAsia="zh-CN"/>
                <w14:textFill>
                  <w14:solidFill>
                    <w14:schemeClr w14:val="tx1"/>
                  </w14:solidFill>
                </w14:textFill>
              </w:rPr>
              <w:t>本项目产污情况见下表所示。</w:t>
            </w:r>
          </w:p>
          <w:p w14:paraId="770C6E4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jc w:val="center"/>
              <w:textAlignment w:val="auto"/>
              <w:rPr>
                <w:rFonts w:hint="default" w:ascii="Times New Roman" w:hAnsi="Times New Roman" w:eastAsia="宋体" w:cs="Times New Roman"/>
                <w:b/>
                <w:color w:val="000000" w:themeColor="text1"/>
                <w:kern w:val="2"/>
                <w:sz w:val="24"/>
                <w:szCs w:val="24"/>
                <w:highlight w:val="none"/>
                <w:u w:val="none" w:color="auto"/>
                <w:lang w:val="en-US" w:eastAsia="zh-CN" w:bidi="ar-SA"/>
                <w14:textFill>
                  <w14:solidFill>
                    <w14:schemeClr w14:val="tx1"/>
                  </w14:solidFill>
                </w14:textFill>
              </w:rPr>
            </w:pPr>
            <w:r>
              <w:rPr>
                <w:rFonts w:hint="default" w:ascii="Times New Roman" w:hAnsi="Times New Roman" w:eastAsia="宋体" w:cs="Times New Roman"/>
                <w:b/>
                <w:color w:val="000000" w:themeColor="text1"/>
                <w:kern w:val="2"/>
                <w:sz w:val="24"/>
                <w:szCs w:val="24"/>
                <w:highlight w:val="none"/>
                <w:u w:val="none" w:color="auto"/>
                <w:lang w:val="en-US" w:eastAsia="zh-CN" w:bidi="ar-SA"/>
                <w14:textFill>
                  <w14:solidFill>
                    <w14:schemeClr w14:val="tx1"/>
                  </w14:solidFill>
                </w14:textFill>
              </w:rPr>
              <w:t>表2-</w:t>
            </w:r>
            <w:r>
              <w:rPr>
                <w:rFonts w:hint="eastAsia" w:cs="Times New Roman"/>
                <w:b/>
                <w:color w:val="000000" w:themeColor="text1"/>
                <w:kern w:val="2"/>
                <w:sz w:val="24"/>
                <w:szCs w:val="24"/>
                <w:highlight w:val="none"/>
                <w:u w:val="none" w:color="auto"/>
                <w:lang w:val="en-US" w:eastAsia="zh-CN" w:bidi="ar-SA"/>
                <w14:textFill>
                  <w14:solidFill>
                    <w14:schemeClr w14:val="tx1"/>
                  </w14:solidFill>
                </w14:textFill>
              </w:rPr>
              <w:t>14</w:t>
            </w:r>
            <w:r>
              <w:rPr>
                <w:rFonts w:hint="default" w:ascii="Times New Roman" w:hAnsi="Times New Roman" w:eastAsia="宋体" w:cs="Times New Roman"/>
                <w:b/>
                <w:color w:val="000000" w:themeColor="text1"/>
                <w:kern w:val="2"/>
                <w:sz w:val="24"/>
                <w:szCs w:val="24"/>
                <w:highlight w:val="none"/>
                <w:u w:val="none" w:color="auto"/>
                <w:lang w:val="en-US" w:eastAsia="zh-CN" w:bidi="ar-SA"/>
                <w14:textFill>
                  <w14:solidFill>
                    <w14:schemeClr w14:val="tx1"/>
                  </w14:solidFill>
                </w14:textFill>
              </w:rPr>
              <w:t xml:space="preserve">  项目主要产污环节及污染物对照表</w:t>
            </w:r>
          </w:p>
          <w:tbl>
            <w:tblPr>
              <w:tblStyle w:val="29"/>
              <w:tblW w:w="4996"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1079"/>
              <w:gridCol w:w="4857"/>
              <w:gridCol w:w="3331"/>
            </w:tblGrid>
            <w:tr w14:paraId="1663904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582" w:type="pct"/>
                  <w:tcBorders>
                    <w:right w:val="single" w:color="auto" w:sz="4" w:space="0"/>
                  </w:tcBorders>
                  <w:noWrap w:val="0"/>
                  <w:vAlign w:val="center"/>
                </w:tcPr>
                <w:p w14:paraId="75FCADF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类别</w:t>
                  </w:r>
                </w:p>
              </w:tc>
              <w:tc>
                <w:tcPr>
                  <w:tcW w:w="2620" w:type="pct"/>
                  <w:tcBorders>
                    <w:right w:val="single" w:color="auto" w:sz="4" w:space="0"/>
                  </w:tcBorders>
                  <w:noWrap w:val="0"/>
                  <w:vAlign w:val="center"/>
                </w:tcPr>
                <w:p w14:paraId="66E9F0E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产污环节</w:t>
                  </w:r>
                </w:p>
              </w:tc>
              <w:tc>
                <w:tcPr>
                  <w:tcW w:w="1797" w:type="pct"/>
                  <w:tcBorders>
                    <w:left w:val="single" w:color="auto" w:sz="4" w:space="0"/>
                  </w:tcBorders>
                  <w:noWrap w:val="0"/>
                  <w:vAlign w:val="center"/>
                </w:tcPr>
                <w:p w14:paraId="512BC8C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污染物类型</w:t>
                  </w:r>
                </w:p>
              </w:tc>
            </w:tr>
            <w:tr w14:paraId="6F5C76E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582" w:type="pct"/>
                  <w:tcBorders>
                    <w:right w:val="single" w:color="auto" w:sz="4" w:space="0"/>
                  </w:tcBorders>
                  <w:noWrap w:val="0"/>
                  <w:vAlign w:val="center"/>
                </w:tcPr>
                <w:p w14:paraId="03841B1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废水</w:t>
                  </w:r>
                </w:p>
              </w:tc>
              <w:tc>
                <w:tcPr>
                  <w:tcW w:w="2620" w:type="pct"/>
                  <w:tcBorders>
                    <w:right w:val="single" w:color="auto" w:sz="4" w:space="0"/>
                  </w:tcBorders>
                  <w:shd w:val="clear" w:color="auto" w:fill="auto"/>
                  <w:noWrap w:val="0"/>
                  <w:vAlign w:val="center"/>
                </w:tcPr>
                <w:p w14:paraId="6F6C56D5">
                  <w:pPr>
                    <w:keepNext w:val="0"/>
                    <w:keepLines w:val="0"/>
                    <w:pageBreakBefore w:val="0"/>
                    <w:widowControl w:val="0"/>
                    <w:suppressLineNumbers w:val="0"/>
                    <w:kinsoku/>
                    <w:wordWrap/>
                    <w:overflowPunct/>
                    <w:topLinePunct w:val="0"/>
                    <w:bidi w:val="0"/>
                    <w:spacing w:before="0" w:beforeAutospacing="0" w:after="0" w:afterAutospacing="0" w:line="240" w:lineRule="auto"/>
                    <w:ind w:left="0" w:leftChars="0" w:right="0" w:rightChars="0"/>
                    <w:jc w:val="center"/>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职工生活污水</w:t>
                  </w:r>
                </w:p>
              </w:tc>
              <w:tc>
                <w:tcPr>
                  <w:tcW w:w="1797" w:type="pct"/>
                  <w:tcBorders>
                    <w:left w:val="single" w:color="auto" w:sz="4" w:space="0"/>
                  </w:tcBorders>
                  <w:shd w:val="clear" w:color="auto" w:fill="auto"/>
                  <w:noWrap w:val="0"/>
                  <w:vAlign w:val="center"/>
                </w:tcPr>
                <w:p w14:paraId="271098EA">
                  <w:pPr>
                    <w:keepNext w:val="0"/>
                    <w:keepLines w:val="0"/>
                    <w:pageBreakBefore w:val="0"/>
                    <w:widowControl w:val="0"/>
                    <w:suppressLineNumbers w:val="0"/>
                    <w:kinsoku/>
                    <w:wordWrap/>
                    <w:overflowPunct/>
                    <w:topLinePunct w:val="0"/>
                    <w:bidi w:val="0"/>
                    <w:spacing w:before="0" w:beforeAutospacing="0" w:after="0" w:afterAutospacing="0" w:line="240" w:lineRule="auto"/>
                    <w:ind w:left="0" w:leftChars="0" w:right="0" w:rightChars="0"/>
                    <w:jc w:val="center"/>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COD、BOD</w:t>
                  </w:r>
                  <w:r>
                    <w:rPr>
                      <w:rFonts w:hint="default" w:ascii="Times New Roman" w:hAnsi="Times New Roman" w:eastAsia="宋体" w:cs="Times New Roman"/>
                      <w:color w:val="000000" w:themeColor="text1"/>
                      <w:sz w:val="21"/>
                      <w:szCs w:val="21"/>
                      <w:highlight w:val="none"/>
                      <w:u w:val="none" w:color="auto"/>
                      <w:vertAlign w:val="subscript"/>
                      <w14:textFill>
                        <w14:solidFill>
                          <w14:schemeClr w14:val="tx1"/>
                        </w14:solidFill>
                      </w14:textFill>
                    </w:rPr>
                    <w:t>5</w:t>
                  </w: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、NH</w:t>
                  </w:r>
                  <w:r>
                    <w:rPr>
                      <w:rFonts w:hint="default" w:ascii="Times New Roman" w:hAnsi="Times New Roman" w:eastAsia="宋体" w:cs="Times New Roman"/>
                      <w:color w:val="000000" w:themeColor="text1"/>
                      <w:sz w:val="21"/>
                      <w:szCs w:val="21"/>
                      <w:highlight w:val="none"/>
                      <w:u w:val="none" w:color="auto"/>
                      <w:vertAlign w:val="subscript"/>
                      <w14:textFill>
                        <w14:solidFill>
                          <w14:schemeClr w14:val="tx1"/>
                        </w14:solidFill>
                      </w14:textFill>
                    </w:rPr>
                    <w:t>3</w:t>
                  </w: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-N、SS</w:t>
                  </w:r>
                </w:p>
              </w:tc>
            </w:tr>
            <w:tr w14:paraId="733929F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582" w:type="pct"/>
                  <w:vMerge w:val="restart"/>
                  <w:tcBorders>
                    <w:right w:val="single" w:color="auto" w:sz="4" w:space="0"/>
                  </w:tcBorders>
                  <w:noWrap w:val="0"/>
                  <w:vAlign w:val="center"/>
                </w:tcPr>
                <w:p w14:paraId="28CFF93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废气</w:t>
                  </w:r>
                </w:p>
              </w:tc>
              <w:tc>
                <w:tcPr>
                  <w:tcW w:w="2620" w:type="pct"/>
                  <w:tcBorders>
                    <w:right w:val="single" w:color="auto" w:sz="4" w:space="0"/>
                  </w:tcBorders>
                  <w:shd w:val="clear" w:color="auto" w:fill="auto"/>
                  <w:noWrap w:val="0"/>
                  <w:vAlign w:val="center"/>
                </w:tcPr>
                <w:p w14:paraId="4DFF212C">
                  <w:pPr>
                    <w:pStyle w:val="49"/>
                    <w:keepNext w:val="0"/>
                    <w:keepLines w:val="0"/>
                    <w:suppressLineNumbers w:val="0"/>
                    <w:spacing w:before="0" w:beforeAutospacing="0" w:after="0" w:afterAutospacing="0"/>
                    <w:ind w:left="0" w:right="0" w:firstLine="0" w:firstLineChars="0"/>
                    <w:rPr>
                      <w:rFonts w:hint="eastAsia" w:ascii="Times New Roman" w:hAnsi="Times New Roman" w:eastAsia="宋体" w:cs="Times New Roman"/>
                      <w:b w:val="0"/>
                      <w:bCs w:val="0"/>
                      <w:color w:val="000000" w:themeColor="text1"/>
                      <w:sz w:val="21"/>
                      <w:szCs w:val="21"/>
                      <w:highlight w:val="none"/>
                      <w:u w:val="none" w:color="auto"/>
                      <w:vertAlign w:val="baseli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u w:val="none" w:color="auto"/>
                      <w:vertAlign w:val="baseline"/>
                      <w:lang w:val="en-US" w:eastAsia="zh-CN"/>
                      <w14:textFill>
                        <w14:solidFill>
                          <w14:schemeClr w14:val="tx1"/>
                        </w14:solidFill>
                      </w14:textFill>
                    </w:rPr>
                    <w:t>生物质颗粒</w:t>
                  </w:r>
                  <w:r>
                    <w:rPr>
                      <w:rFonts w:hint="default" w:ascii="Times New Roman" w:hAnsi="Times New Roman" w:eastAsia="宋体" w:cs="Times New Roman"/>
                      <w:b w:val="0"/>
                      <w:bCs w:val="0"/>
                      <w:color w:val="000000" w:themeColor="text1"/>
                      <w:sz w:val="21"/>
                      <w:szCs w:val="21"/>
                      <w:highlight w:val="none"/>
                      <w:u w:val="none" w:color="auto"/>
                      <w:vertAlign w:val="baseline"/>
                      <w:lang w:val="en-US" w:eastAsia="zh-CN"/>
                      <w14:textFill>
                        <w14:solidFill>
                          <w14:schemeClr w14:val="tx1"/>
                        </w14:solidFill>
                      </w14:textFill>
                    </w:rPr>
                    <w:t>生产线</w:t>
                  </w:r>
                  <w:r>
                    <w:rPr>
                      <w:rFonts w:hint="eastAsia" w:ascii="宋体" w:hAnsi="宋体" w:eastAsia="宋体" w:cs="宋体"/>
                      <w:color w:val="000000" w:themeColor="text1"/>
                      <w:kern w:val="0"/>
                      <w:sz w:val="21"/>
                      <w:szCs w:val="21"/>
                      <w:u w:val="none" w:color="auto"/>
                      <w:lang w:val="en-US" w:eastAsia="zh-CN" w:bidi="ar"/>
                      <w14:textFill>
                        <w14:solidFill>
                          <w14:schemeClr w14:val="tx1"/>
                        </w14:solidFill>
                      </w14:textFill>
                    </w:rPr>
                    <w:t>原料装卸</w:t>
                  </w:r>
                  <w:r>
                    <w:rPr>
                      <w:rFonts w:hint="eastAsia" w:ascii="宋体" w:hAnsi="宋体" w:cs="宋体"/>
                      <w:color w:val="000000" w:themeColor="text1"/>
                      <w:kern w:val="0"/>
                      <w:sz w:val="21"/>
                      <w:szCs w:val="21"/>
                      <w:u w:val="none" w:color="auto"/>
                      <w:lang w:val="en-US" w:eastAsia="zh-CN" w:bidi="ar"/>
                      <w14:textFill>
                        <w14:solidFill>
                          <w14:schemeClr w14:val="tx1"/>
                        </w14:solidFill>
                      </w14:textFill>
                    </w:rPr>
                    <w:t>转运</w:t>
                  </w:r>
                </w:p>
              </w:tc>
              <w:tc>
                <w:tcPr>
                  <w:tcW w:w="1797" w:type="pct"/>
                  <w:tcBorders>
                    <w:left w:val="single" w:color="auto" w:sz="4" w:space="0"/>
                  </w:tcBorders>
                  <w:shd w:val="clear" w:color="auto" w:fill="auto"/>
                  <w:noWrap w:val="0"/>
                  <w:vAlign w:val="center"/>
                </w:tcPr>
                <w:p w14:paraId="5189EB82">
                  <w:pPr>
                    <w:pStyle w:val="49"/>
                    <w:keepNext w:val="0"/>
                    <w:keepLines w:val="0"/>
                    <w:suppressLineNumbers w:val="0"/>
                    <w:spacing w:before="0" w:beforeAutospacing="0" w:after="0" w:afterAutospacing="0"/>
                    <w:ind w:left="0" w:right="0" w:firstLine="0" w:firstLineChars="0"/>
                    <w:rPr>
                      <w:rFonts w:cs="Times New Roman"/>
                      <w:color w:val="000000" w:themeColor="text1"/>
                      <w:sz w:val="21"/>
                      <w:szCs w:val="21"/>
                      <w:u w:val="none" w:color="auto"/>
                      <w14:textFill>
                        <w14:solidFill>
                          <w14:schemeClr w14:val="tx1"/>
                        </w14:solidFill>
                      </w14:textFill>
                    </w:rPr>
                  </w:pPr>
                  <w:r>
                    <w:rPr>
                      <w:rFonts w:cs="Times New Roman"/>
                      <w:color w:val="000000" w:themeColor="text1"/>
                      <w:sz w:val="21"/>
                      <w:szCs w:val="21"/>
                      <w:u w:val="none" w:color="auto"/>
                      <w14:textFill>
                        <w14:solidFill>
                          <w14:schemeClr w14:val="tx1"/>
                        </w14:solidFill>
                      </w14:textFill>
                    </w:rPr>
                    <w:t>颗粒物</w:t>
                  </w:r>
                </w:p>
              </w:tc>
            </w:tr>
            <w:tr w14:paraId="61A8D93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582" w:type="pct"/>
                  <w:vMerge w:val="continue"/>
                  <w:tcBorders>
                    <w:right w:val="single" w:color="auto" w:sz="4" w:space="0"/>
                  </w:tcBorders>
                  <w:noWrap w:val="0"/>
                  <w:vAlign w:val="center"/>
                </w:tcPr>
                <w:p w14:paraId="5559CEC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2620" w:type="pct"/>
                  <w:tcBorders>
                    <w:right w:val="single" w:color="auto" w:sz="4" w:space="0"/>
                  </w:tcBorders>
                  <w:shd w:val="clear" w:color="auto" w:fill="auto"/>
                  <w:noWrap w:val="0"/>
                  <w:vAlign w:val="center"/>
                </w:tcPr>
                <w:p w14:paraId="68CEFCBB">
                  <w:pPr>
                    <w:pStyle w:val="49"/>
                    <w:keepNext w:val="0"/>
                    <w:keepLines w:val="0"/>
                    <w:suppressLineNumbers w:val="0"/>
                    <w:spacing w:before="0" w:beforeAutospacing="0" w:after="0" w:afterAutospacing="0"/>
                    <w:ind w:left="0" w:right="0" w:firstLine="0" w:firstLineChars="0"/>
                    <w:rPr>
                      <w:rFonts w:hint="default" w:ascii="Times New Roman" w:hAnsi="Times New Roman" w:eastAsia="宋体" w:cs="Times New Roman"/>
                      <w:b w:val="0"/>
                      <w:bCs w:val="0"/>
                      <w:color w:val="000000" w:themeColor="text1"/>
                      <w:kern w:val="2"/>
                      <w:sz w:val="21"/>
                      <w:szCs w:val="21"/>
                      <w:u w:val="none" w:color="auto"/>
                      <w:lang w:val="en-US" w:eastAsia="zh-CN" w:bidi="ar-SA"/>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u w:val="none" w:color="auto"/>
                      <w:vertAlign w:val="baseline"/>
                      <w:lang w:val="en-US" w:eastAsia="zh-CN"/>
                      <w14:textFill>
                        <w14:solidFill>
                          <w14:schemeClr w14:val="tx1"/>
                        </w14:solidFill>
                      </w14:textFill>
                    </w:rPr>
                    <w:t>生物质颗粒</w:t>
                  </w:r>
                  <w:r>
                    <w:rPr>
                      <w:rFonts w:hint="default" w:ascii="Times New Roman" w:hAnsi="Times New Roman" w:eastAsia="宋体" w:cs="Times New Roman"/>
                      <w:b w:val="0"/>
                      <w:bCs w:val="0"/>
                      <w:color w:val="000000" w:themeColor="text1"/>
                      <w:sz w:val="21"/>
                      <w:szCs w:val="21"/>
                      <w:highlight w:val="none"/>
                      <w:u w:val="none" w:color="auto"/>
                      <w:vertAlign w:val="baseline"/>
                      <w:lang w:val="en-US" w:eastAsia="zh-CN"/>
                      <w14:textFill>
                        <w14:solidFill>
                          <w14:schemeClr w14:val="tx1"/>
                        </w14:solidFill>
                      </w14:textFill>
                    </w:rPr>
                    <w:t>生产线</w:t>
                  </w:r>
                  <w:r>
                    <w:rPr>
                      <w:rFonts w:cs="Times New Roman"/>
                      <w:b w:val="0"/>
                      <w:bCs w:val="0"/>
                      <w:color w:val="000000" w:themeColor="text1"/>
                      <w:sz w:val="21"/>
                      <w:szCs w:val="21"/>
                      <w:u w:val="none" w:color="auto"/>
                      <w14:textFill>
                        <w14:solidFill>
                          <w14:schemeClr w14:val="tx1"/>
                        </w14:solidFill>
                      </w14:textFill>
                    </w:rPr>
                    <w:t>破碎、</w:t>
                  </w:r>
                  <w:r>
                    <w:rPr>
                      <w:rFonts w:hint="eastAsia" w:cs="Times New Roman"/>
                      <w:b w:val="0"/>
                      <w:bCs w:val="0"/>
                      <w:color w:val="000000" w:themeColor="text1"/>
                      <w:sz w:val="21"/>
                      <w:szCs w:val="21"/>
                      <w:u w:val="none" w:color="auto"/>
                      <w:lang w:val="en-US" w:eastAsia="zh-CN"/>
                      <w14:textFill>
                        <w14:solidFill>
                          <w14:schemeClr w14:val="tx1"/>
                        </w14:solidFill>
                      </w14:textFill>
                    </w:rPr>
                    <w:t>筛分、</w:t>
                  </w:r>
                  <w:r>
                    <w:rPr>
                      <w:rFonts w:cs="Times New Roman"/>
                      <w:b w:val="0"/>
                      <w:bCs w:val="0"/>
                      <w:color w:val="000000" w:themeColor="text1"/>
                      <w:sz w:val="21"/>
                      <w:szCs w:val="21"/>
                      <w:u w:val="none" w:color="auto"/>
                      <w14:textFill>
                        <w14:solidFill>
                          <w14:schemeClr w14:val="tx1"/>
                        </w14:solidFill>
                      </w14:textFill>
                    </w:rPr>
                    <w:t>造粒</w:t>
                  </w:r>
                  <w:r>
                    <w:rPr>
                      <w:rFonts w:hint="eastAsia" w:cs="Times New Roman"/>
                      <w:b w:val="0"/>
                      <w:bCs w:val="0"/>
                      <w:color w:val="000000" w:themeColor="text1"/>
                      <w:sz w:val="21"/>
                      <w:szCs w:val="21"/>
                      <w:u w:val="none" w:color="auto"/>
                      <w:lang w:eastAsia="zh-CN"/>
                      <w14:textFill>
                        <w14:solidFill>
                          <w14:schemeClr w14:val="tx1"/>
                        </w14:solidFill>
                      </w14:textFill>
                    </w:rPr>
                    <w:t>、</w:t>
                  </w:r>
                  <w:r>
                    <w:rPr>
                      <w:rFonts w:hint="eastAsia" w:cs="Times New Roman"/>
                      <w:b w:val="0"/>
                      <w:bCs w:val="0"/>
                      <w:color w:val="000000" w:themeColor="text1"/>
                      <w:sz w:val="21"/>
                      <w:szCs w:val="21"/>
                      <w:u w:val="none" w:color="auto"/>
                      <w:lang w:val="en-US" w:eastAsia="zh-CN"/>
                      <w14:textFill>
                        <w14:solidFill>
                          <w14:schemeClr w14:val="tx1"/>
                        </w14:solidFill>
                      </w14:textFill>
                    </w:rPr>
                    <w:t>包装等工序</w:t>
                  </w:r>
                </w:p>
              </w:tc>
              <w:tc>
                <w:tcPr>
                  <w:tcW w:w="1797" w:type="pct"/>
                  <w:tcBorders>
                    <w:left w:val="single" w:color="auto" w:sz="4" w:space="0"/>
                  </w:tcBorders>
                  <w:shd w:val="clear" w:color="auto" w:fill="auto"/>
                  <w:noWrap w:val="0"/>
                  <w:vAlign w:val="center"/>
                </w:tcPr>
                <w:p w14:paraId="71B08E3F">
                  <w:pPr>
                    <w:pStyle w:val="49"/>
                    <w:keepNext w:val="0"/>
                    <w:keepLines w:val="0"/>
                    <w:suppressLineNumbers w:val="0"/>
                    <w:spacing w:before="0" w:beforeAutospacing="0" w:after="0" w:afterAutospacing="0"/>
                    <w:ind w:left="0" w:right="0" w:firstLine="0" w:firstLineChars="0"/>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cs="Times New Roman"/>
                      <w:color w:val="000000" w:themeColor="text1"/>
                      <w:sz w:val="21"/>
                      <w:szCs w:val="21"/>
                      <w:u w:val="none" w:color="auto"/>
                      <w14:textFill>
                        <w14:solidFill>
                          <w14:schemeClr w14:val="tx1"/>
                        </w14:solidFill>
                      </w14:textFill>
                    </w:rPr>
                    <w:t>颗粒物</w:t>
                  </w:r>
                </w:p>
              </w:tc>
            </w:tr>
            <w:tr w14:paraId="3DEA2BE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582" w:type="pct"/>
                  <w:vMerge w:val="continue"/>
                  <w:tcBorders>
                    <w:right w:val="single" w:color="auto" w:sz="4" w:space="0"/>
                  </w:tcBorders>
                  <w:noWrap w:val="0"/>
                  <w:vAlign w:val="center"/>
                </w:tcPr>
                <w:p w14:paraId="6F12B4F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2620" w:type="pct"/>
                  <w:tcBorders>
                    <w:right w:val="single" w:color="auto" w:sz="4" w:space="0"/>
                  </w:tcBorders>
                  <w:shd w:val="clear" w:color="auto" w:fill="auto"/>
                  <w:noWrap w:val="0"/>
                  <w:vAlign w:val="center"/>
                </w:tcPr>
                <w:p w14:paraId="3D15740A">
                  <w:pPr>
                    <w:pStyle w:val="49"/>
                    <w:keepNext w:val="0"/>
                    <w:keepLines w:val="0"/>
                    <w:suppressLineNumbers w:val="0"/>
                    <w:spacing w:before="0" w:beforeAutospacing="0" w:after="0" w:afterAutospacing="0"/>
                    <w:ind w:left="0" w:right="0" w:firstLine="0" w:firstLineChars="0"/>
                    <w:rPr>
                      <w:rFonts w:hint="eastAsia" w:ascii="Times New Roman" w:hAnsi="Times New Roman" w:eastAsia="宋体" w:cs="Times New Roman"/>
                      <w:b w:val="0"/>
                      <w:bCs w:val="0"/>
                      <w:color w:val="000000" w:themeColor="text1"/>
                      <w:sz w:val="21"/>
                      <w:szCs w:val="21"/>
                      <w:highlight w:val="none"/>
                      <w:u w:val="none" w:color="auto"/>
                      <w:vertAlign w:val="baseline"/>
                      <w:lang w:val="en-US" w:eastAsia="zh-CN"/>
                      <w14:textFill>
                        <w14:solidFill>
                          <w14:schemeClr w14:val="tx1"/>
                        </w14:solidFill>
                      </w14:textFill>
                    </w:rPr>
                  </w:pPr>
                  <w:r>
                    <w:rPr>
                      <w:rFonts w:hint="eastAsia" w:cs="Times New Roman"/>
                      <w:b w:val="0"/>
                      <w:bCs w:val="0"/>
                      <w:color w:val="000000" w:themeColor="text1"/>
                      <w:sz w:val="21"/>
                      <w:szCs w:val="21"/>
                      <w:highlight w:val="none"/>
                      <w:u w:val="none" w:color="auto"/>
                      <w:lang w:val="en-US" w:eastAsia="zh-CN"/>
                      <w14:textFill>
                        <w14:solidFill>
                          <w14:schemeClr w14:val="tx1"/>
                        </w14:solidFill>
                      </w14:textFill>
                    </w:rPr>
                    <w:t>机制炭生产线</w:t>
                  </w:r>
                  <w:r>
                    <w:rPr>
                      <w:rFonts w:hint="eastAsia" w:ascii="宋体" w:hAnsi="宋体" w:eastAsia="宋体" w:cs="宋体"/>
                      <w:color w:val="000000" w:themeColor="text1"/>
                      <w:kern w:val="0"/>
                      <w:sz w:val="21"/>
                      <w:szCs w:val="21"/>
                      <w:u w:val="none" w:color="auto"/>
                      <w:lang w:val="en-US" w:eastAsia="zh-CN" w:bidi="ar"/>
                      <w14:textFill>
                        <w14:solidFill>
                          <w14:schemeClr w14:val="tx1"/>
                        </w14:solidFill>
                      </w14:textFill>
                    </w:rPr>
                    <w:t>原料装卸</w:t>
                  </w:r>
                  <w:r>
                    <w:rPr>
                      <w:rFonts w:hint="eastAsia" w:ascii="宋体" w:hAnsi="宋体" w:cs="宋体"/>
                      <w:color w:val="000000" w:themeColor="text1"/>
                      <w:kern w:val="0"/>
                      <w:sz w:val="21"/>
                      <w:szCs w:val="21"/>
                      <w:u w:val="none" w:color="auto"/>
                      <w:lang w:val="en-US" w:eastAsia="zh-CN" w:bidi="ar"/>
                      <w14:textFill>
                        <w14:solidFill>
                          <w14:schemeClr w14:val="tx1"/>
                        </w14:solidFill>
                      </w14:textFill>
                    </w:rPr>
                    <w:t>转运</w:t>
                  </w:r>
                </w:p>
              </w:tc>
              <w:tc>
                <w:tcPr>
                  <w:tcW w:w="1797" w:type="pct"/>
                  <w:tcBorders>
                    <w:left w:val="single" w:color="auto" w:sz="4" w:space="0"/>
                  </w:tcBorders>
                  <w:shd w:val="clear" w:color="auto" w:fill="auto"/>
                  <w:noWrap w:val="0"/>
                  <w:vAlign w:val="center"/>
                </w:tcPr>
                <w:p w14:paraId="24B1E439">
                  <w:pPr>
                    <w:pStyle w:val="49"/>
                    <w:keepNext w:val="0"/>
                    <w:keepLines w:val="0"/>
                    <w:suppressLineNumbers w:val="0"/>
                    <w:spacing w:before="0" w:beforeAutospacing="0" w:after="0" w:afterAutospacing="0"/>
                    <w:ind w:left="0" w:right="0" w:firstLine="0" w:firstLineChars="0"/>
                    <w:rPr>
                      <w:rFonts w:cs="Times New Roman"/>
                      <w:color w:val="000000" w:themeColor="text1"/>
                      <w:sz w:val="21"/>
                      <w:szCs w:val="21"/>
                      <w:u w:val="none" w:color="auto"/>
                      <w14:textFill>
                        <w14:solidFill>
                          <w14:schemeClr w14:val="tx1"/>
                        </w14:solidFill>
                      </w14:textFill>
                    </w:rPr>
                  </w:pPr>
                  <w:r>
                    <w:rPr>
                      <w:rFonts w:cs="Times New Roman"/>
                      <w:color w:val="000000" w:themeColor="text1"/>
                      <w:sz w:val="21"/>
                      <w:szCs w:val="21"/>
                      <w:u w:val="none" w:color="auto"/>
                      <w14:textFill>
                        <w14:solidFill>
                          <w14:schemeClr w14:val="tx1"/>
                        </w14:solidFill>
                      </w14:textFill>
                    </w:rPr>
                    <w:t>颗粒物</w:t>
                  </w:r>
                </w:p>
              </w:tc>
            </w:tr>
            <w:tr w14:paraId="791491A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582" w:type="pct"/>
                  <w:vMerge w:val="continue"/>
                  <w:tcBorders>
                    <w:right w:val="single" w:color="auto" w:sz="4" w:space="0"/>
                  </w:tcBorders>
                  <w:noWrap w:val="0"/>
                  <w:vAlign w:val="center"/>
                </w:tcPr>
                <w:p w14:paraId="110BA26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2620" w:type="pct"/>
                  <w:tcBorders>
                    <w:right w:val="single" w:color="auto" w:sz="4" w:space="0"/>
                  </w:tcBorders>
                  <w:noWrap w:val="0"/>
                  <w:vAlign w:val="center"/>
                </w:tcPr>
                <w:p w14:paraId="052BC38A">
                  <w:pPr>
                    <w:keepNext w:val="0"/>
                    <w:keepLines w:val="0"/>
                    <w:pageBreakBefore w:val="0"/>
                    <w:widowControl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eastAsia="宋体" w:cs="Times New Roman"/>
                      <w:b w:val="0"/>
                      <w:bCs w:val="0"/>
                      <w:color w:val="000000" w:themeColor="text1"/>
                      <w:sz w:val="21"/>
                      <w:szCs w:val="21"/>
                      <w:highlight w:val="none"/>
                      <w:u w:val="none" w:color="auto"/>
                      <w:lang w:val="en-US" w:eastAsia="zh-CN"/>
                      <w14:textFill>
                        <w14:solidFill>
                          <w14:schemeClr w14:val="tx1"/>
                        </w14:solidFill>
                      </w14:textFill>
                    </w:rPr>
                  </w:pPr>
                  <w:r>
                    <w:rPr>
                      <w:rFonts w:hint="eastAsia" w:cs="Times New Roman"/>
                      <w:b w:val="0"/>
                      <w:bCs w:val="0"/>
                      <w:color w:val="000000" w:themeColor="text1"/>
                      <w:sz w:val="21"/>
                      <w:szCs w:val="21"/>
                      <w:highlight w:val="none"/>
                      <w:u w:val="none" w:color="auto"/>
                      <w:lang w:val="en-US" w:eastAsia="zh-CN"/>
                      <w14:textFill>
                        <w14:solidFill>
                          <w14:schemeClr w14:val="tx1"/>
                        </w14:solidFill>
                      </w14:textFill>
                    </w:rPr>
                    <w:t>机制炭生产线破碎、筛分、冷却、锯切及包装工序</w:t>
                  </w:r>
                </w:p>
              </w:tc>
              <w:tc>
                <w:tcPr>
                  <w:tcW w:w="1797" w:type="pct"/>
                  <w:tcBorders>
                    <w:left w:val="single" w:color="auto" w:sz="4" w:space="0"/>
                  </w:tcBorders>
                  <w:shd w:val="clear" w:color="auto" w:fill="auto"/>
                  <w:noWrap w:val="0"/>
                  <w:vAlign w:val="center"/>
                </w:tcPr>
                <w:p w14:paraId="706308B0">
                  <w:pPr>
                    <w:keepNext w:val="0"/>
                    <w:keepLines w:val="0"/>
                    <w:suppressLineNumbers w:val="0"/>
                    <w:spacing w:before="0" w:beforeAutospacing="0" w:after="0" w:afterAutospacing="0" w:line="320" w:lineRule="atLeast"/>
                    <w:ind w:left="0" w:right="0"/>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eastAsia"/>
                      <w:color w:val="000000" w:themeColor="text1"/>
                      <w:sz w:val="21"/>
                      <w:szCs w:val="21"/>
                      <w:u w:val="none" w:color="auto"/>
                      <w14:textFill>
                        <w14:solidFill>
                          <w14:schemeClr w14:val="tx1"/>
                        </w14:solidFill>
                      </w14:textFill>
                    </w:rPr>
                    <w:t>颗粒物</w:t>
                  </w:r>
                </w:p>
              </w:tc>
            </w:tr>
            <w:tr w14:paraId="088A98D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582" w:type="pct"/>
                  <w:vMerge w:val="continue"/>
                  <w:tcBorders>
                    <w:right w:val="single" w:color="auto" w:sz="4" w:space="0"/>
                  </w:tcBorders>
                  <w:noWrap w:val="0"/>
                  <w:vAlign w:val="center"/>
                </w:tcPr>
                <w:p w14:paraId="270DC43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2620" w:type="pct"/>
                  <w:tcBorders>
                    <w:right w:val="single" w:color="auto" w:sz="4" w:space="0"/>
                  </w:tcBorders>
                  <w:noWrap w:val="0"/>
                  <w:vAlign w:val="center"/>
                </w:tcPr>
                <w:p w14:paraId="178F45E0">
                  <w:pPr>
                    <w:keepNext w:val="0"/>
                    <w:keepLines w:val="0"/>
                    <w:pageBreakBefore w:val="0"/>
                    <w:widowControl w:val="0"/>
                    <w:suppressLineNumbers w:val="0"/>
                    <w:kinsoku/>
                    <w:wordWrap/>
                    <w:overflowPunct/>
                    <w:topLinePunct w:val="0"/>
                    <w:bidi w:val="0"/>
                    <w:spacing w:before="0" w:beforeAutospacing="0" w:after="0" w:afterAutospacing="0" w:line="240" w:lineRule="auto"/>
                    <w:ind w:left="0" w:right="0"/>
                    <w:jc w:val="center"/>
                    <w:rPr>
                      <w:rFonts w:hint="default" w:cs="Times New Roman"/>
                      <w:b w:val="0"/>
                      <w:bCs w:val="0"/>
                      <w:color w:val="000000" w:themeColor="text1"/>
                      <w:sz w:val="21"/>
                      <w:szCs w:val="21"/>
                      <w:highlight w:val="none"/>
                      <w:u w:val="none" w:color="auto"/>
                      <w:lang w:val="en-US" w:eastAsia="zh-CN"/>
                      <w14:textFill>
                        <w14:solidFill>
                          <w14:schemeClr w14:val="tx1"/>
                        </w14:solidFill>
                      </w14:textFill>
                    </w:rPr>
                  </w:pPr>
                  <w:r>
                    <w:rPr>
                      <w:rFonts w:hint="eastAsia" w:cs="Times New Roman"/>
                      <w:b w:val="0"/>
                      <w:bCs w:val="0"/>
                      <w:color w:val="000000" w:themeColor="text1"/>
                      <w:sz w:val="21"/>
                      <w:szCs w:val="21"/>
                      <w:highlight w:val="none"/>
                      <w:u w:val="none" w:color="auto"/>
                      <w:lang w:val="en-US" w:eastAsia="zh-CN"/>
                      <w14:textFill>
                        <w14:solidFill>
                          <w14:schemeClr w14:val="tx1"/>
                        </w14:solidFill>
                      </w14:textFill>
                    </w:rPr>
                    <w:t>机制炭生产线烘干工序（含热风炉燃料燃烧）、制棒和炭化工序</w:t>
                  </w:r>
                </w:p>
              </w:tc>
              <w:tc>
                <w:tcPr>
                  <w:tcW w:w="1797" w:type="pct"/>
                  <w:tcBorders>
                    <w:left w:val="single" w:color="auto" w:sz="4" w:space="0"/>
                  </w:tcBorders>
                  <w:shd w:val="clear" w:color="auto" w:fill="auto"/>
                  <w:noWrap w:val="0"/>
                  <w:vAlign w:val="center"/>
                </w:tcPr>
                <w:p w14:paraId="67F703E8">
                  <w:pPr>
                    <w:keepNext w:val="0"/>
                    <w:keepLines w:val="0"/>
                    <w:suppressLineNumbers w:val="0"/>
                    <w:spacing w:before="0" w:beforeAutospacing="0" w:after="0" w:afterAutospacing="0" w:line="320" w:lineRule="atLeast"/>
                    <w:ind w:left="0" w:right="0"/>
                    <w:jc w:val="center"/>
                    <w:rPr>
                      <w:rFonts w:hint="eastAsia" w:ascii="宋体" w:hAnsi="宋体" w:eastAsia="宋体" w:cs="宋体"/>
                      <w:color w:val="000000" w:themeColor="text1"/>
                      <w:sz w:val="21"/>
                      <w:szCs w:val="21"/>
                      <w:u w:val="none" w:color="auto"/>
                      <w:lang w:val="en-US" w:eastAsia="zh-CN"/>
                      <w14:textFill>
                        <w14:solidFill>
                          <w14:schemeClr w14:val="tx1"/>
                        </w14:solidFill>
                      </w14:textFill>
                    </w:rPr>
                  </w:pPr>
                  <w:r>
                    <w:rPr>
                      <w:rFonts w:hint="eastAsia" w:ascii="宋体" w:hAnsi="宋体" w:cs="宋体"/>
                      <w:color w:val="000000" w:themeColor="text1"/>
                      <w:sz w:val="21"/>
                      <w:szCs w:val="21"/>
                      <w:u w:val="none" w:color="auto"/>
                      <w:lang w:val="en-US" w:eastAsia="zh-CN"/>
                      <w14:textFill>
                        <w14:solidFill>
                          <w14:schemeClr w14:val="tx1"/>
                        </w14:solidFill>
                      </w14:textFill>
                    </w:rPr>
                    <w:t>颗粒物</w:t>
                  </w:r>
                  <w:r>
                    <w:rPr>
                      <w:rFonts w:hint="eastAsia" w:ascii="宋体" w:hAnsi="宋体" w:cs="宋体"/>
                      <w:color w:val="000000" w:themeColor="text1"/>
                      <w:sz w:val="21"/>
                      <w:szCs w:val="21"/>
                      <w:u w:val="none" w:color="auto"/>
                      <w14:textFill>
                        <w14:solidFill>
                          <w14:schemeClr w14:val="tx1"/>
                        </w14:solidFill>
                      </w14:textFill>
                    </w:rPr>
                    <w:t>、</w:t>
                  </w:r>
                  <w:r>
                    <w:rPr>
                      <w:rFonts w:hint="default"/>
                      <w:color w:val="000000" w:themeColor="text1"/>
                      <w:sz w:val="21"/>
                      <w:szCs w:val="21"/>
                      <w:u w:val="none" w:color="auto"/>
                      <w14:textFill>
                        <w14:solidFill>
                          <w14:schemeClr w14:val="tx1"/>
                        </w14:solidFill>
                      </w14:textFill>
                    </w:rPr>
                    <w:t>SO</w:t>
                  </w:r>
                  <w:r>
                    <w:rPr>
                      <w:rFonts w:hint="default"/>
                      <w:color w:val="000000" w:themeColor="text1"/>
                      <w:sz w:val="21"/>
                      <w:szCs w:val="21"/>
                      <w:u w:val="none" w:color="auto"/>
                      <w:vertAlign w:val="subscript"/>
                      <w14:textFill>
                        <w14:solidFill>
                          <w14:schemeClr w14:val="tx1"/>
                        </w14:solidFill>
                      </w14:textFill>
                    </w:rPr>
                    <w:t>2</w:t>
                  </w:r>
                  <w:r>
                    <w:rPr>
                      <w:rFonts w:hint="eastAsia" w:ascii="宋体" w:hAnsi="宋体" w:cs="宋体"/>
                      <w:color w:val="000000" w:themeColor="text1"/>
                      <w:sz w:val="21"/>
                      <w:szCs w:val="21"/>
                      <w:u w:val="none" w:color="auto"/>
                      <w14:textFill>
                        <w14:solidFill>
                          <w14:schemeClr w14:val="tx1"/>
                        </w14:solidFill>
                      </w14:textFill>
                    </w:rPr>
                    <w:t>、</w:t>
                  </w:r>
                  <w:r>
                    <w:rPr>
                      <w:rFonts w:hint="default"/>
                      <w:color w:val="000000" w:themeColor="text1"/>
                      <w:sz w:val="21"/>
                      <w:szCs w:val="21"/>
                      <w:u w:val="none" w:color="auto"/>
                      <w14:textFill>
                        <w14:solidFill>
                          <w14:schemeClr w14:val="tx1"/>
                        </w14:solidFill>
                      </w14:textFill>
                    </w:rPr>
                    <w:t>NOx</w:t>
                  </w:r>
                </w:p>
              </w:tc>
            </w:tr>
            <w:tr w14:paraId="37142B9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582" w:type="pct"/>
                  <w:tcBorders>
                    <w:right w:val="single" w:color="auto" w:sz="4" w:space="0"/>
                  </w:tcBorders>
                  <w:noWrap w:val="0"/>
                  <w:vAlign w:val="center"/>
                </w:tcPr>
                <w:p w14:paraId="27A0F4C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噪声</w:t>
                  </w:r>
                </w:p>
              </w:tc>
              <w:tc>
                <w:tcPr>
                  <w:tcW w:w="2620" w:type="pct"/>
                  <w:tcBorders>
                    <w:right w:val="single" w:color="auto" w:sz="4" w:space="0"/>
                  </w:tcBorders>
                  <w:noWrap w:val="0"/>
                  <w:vAlign w:val="center"/>
                </w:tcPr>
                <w:p w14:paraId="15D64E07">
                  <w:pPr>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jc w:val="center"/>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设备运行过程产生的噪声</w:t>
                  </w:r>
                </w:p>
              </w:tc>
              <w:tc>
                <w:tcPr>
                  <w:tcW w:w="1797" w:type="pct"/>
                  <w:tcBorders>
                    <w:left w:val="single" w:color="auto" w:sz="4" w:space="0"/>
                  </w:tcBorders>
                  <w:noWrap w:val="0"/>
                  <w:vAlign w:val="center"/>
                </w:tcPr>
                <w:p w14:paraId="55267644">
                  <w:pPr>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jc w:val="center"/>
                    <w:outlineLvl w:val="9"/>
                    <w:rPr>
                      <w:rFonts w:hint="default" w:ascii="Times New Roman" w:hAnsi="Times New Roman" w:eastAsia="宋体" w:cs="Times New Roman"/>
                      <w:color w:val="000000" w:themeColor="text1"/>
                      <w:sz w:val="21"/>
                      <w:szCs w:val="21"/>
                      <w:highlight w:val="none"/>
                      <w:u w:val="none" w:color="auto"/>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机械噪声</w:t>
                  </w:r>
                </w:p>
              </w:tc>
            </w:tr>
            <w:tr w14:paraId="38D167B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582" w:type="pct"/>
                  <w:vMerge w:val="restart"/>
                  <w:tcBorders>
                    <w:right w:val="single" w:color="auto" w:sz="4" w:space="0"/>
                  </w:tcBorders>
                  <w:noWrap w:val="0"/>
                  <w:vAlign w:val="center"/>
                </w:tcPr>
                <w:p w14:paraId="54328C0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固废</w:t>
                  </w:r>
                </w:p>
              </w:tc>
              <w:tc>
                <w:tcPr>
                  <w:tcW w:w="2620" w:type="pct"/>
                  <w:tcBorders>
                    <w:right w:val="single" w:color="auto" w:sz="4" w:space="0"/>
                  </w:tcBorders>
                  <w:noWrap w:val="0"/>
                  <w:vAlign w:val="center"/>
                </w:tcPr>
                <w:p w14:paraId="603FBB2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000000" w:themeColor="text1"/>
                      <w:sz w:val="21"/>
                      <w:szCs w:val="21"/>
                      <w:highlight w:val="none"/>
                      <w:u w:val="none" w:color="auto"/>
                      <w:lang w:eastAsia="zh-CN"/>
                      <w14:textFill>
                        <w14:solidFill>
                          <w14:schemeClr w14:val="tx1"/>
                        </w14:solidFill>
                      </w14:textFill>
                    </w:rPr>
                  </w:pPr>
                  <w:r>
                    <w:rPr>
                      <w:rFonts w:hint="default" w:ascii="Times New Roman" w:hAnsi="Times New Roman" w:eastAsia="宋体" w:cs="Times New Roman"/>
                      <w:bCs/>
                      <w:color w:val="000000" w:themeColor="text1"/>
                      <w:kern w:val="0"/>
                      <w:sz w:val="21"/>
                      <w:szCs w:val="21"/>
                      <w:highlight w:val="none"/>
                      <w:u w:val="none" w:color="auto"/>
                      <w:lang w:val="en-US" w:eastAsia="zh-CN"/>
                      <w14:textFill>
                        <w14:solidFill>
                          <w14:schemeClr w14:val="tx1"/>
                        </w14:solidFill>
                      </w14:textFill>
                    </w:rPr>
                    <w:t>职工生活</w:t>
                  </w:r>
                </w:p>
              </w:tc>
              <w:tc>
                <w:tcPr>
                  <w:tcW w:w="1797" w:type="pct"/>
                  <w:tcBorders>
                    <w:left w:val="single" w:color="auto" w:sz="4" w:space="0"/>
                  </w:tcBorders>
                  <w:noWrap w:val="0"/>
                  <w:vAlign w:val="center"/>
                </w:tcPr>
                <w:p w14:paraId="1ABBE06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职工生活垃圾</w:t>
                  </w:r>
                </w:p>
              </w:tc>
            </w:tr>
            <w:tr w14:paraId="4F2EE70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582" w:type="pct"/>
                  <w:vMerge w:val="continue"/>
                  <w:tcBorders>
                    <w:right w:val="single" w:color="auto" w:sz="4" w:space="0"/>
                  </w:tcBorders>
                  <w:noWrap w:val="0"/>
                  <w:vAlign w:val="center"/>
                </w:tcPr>
                <w:p w14:paraId="6799644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2620" w:type="pct"/>
                  <w:tcBorders>
                    <w:right w:val="single" w:color="auto" w:sz="4" w:space="0"/>
                  </w:tcBorders>
                  <w:noWrap w:val="0"/>
                  <w:vAlign w:val="center"/>
                </w:tcPr>
                <w:p w14:paraId="42529E9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bCs/>
                      <w:color w:val="000000" w:themeColor="text1"/>
                      <w:kern w:val="0"/>
                      <w:sz w:val="21"/>
                      <w:szCs w:val="21"/>
                      <w:highlight w:val="none"/>
                      <w:u w:val="none" w:color="auto"/>
                      <w:lang w:val="en-US" w:eastAsia="zh-CN"/>
                      <w14:textFill>
                        <w14:solidFill>
                          <w14:schemeClr w14:val="tx1"/>
                        </w14:solidFill>
                      </w14:textFill>
                    </w:rPr>
                    <w:t>化粪池</w:t>
                  </w:r>
                </w:p>
              </w:tc>
              <w:tc>
                <w:tcPr>
                  <w:tcW w:w="1797" w:type="pct"/>
                  <w:tcBorders>
                    <w:left w:val="single" w:color="auto" w:sz="4" w:space="0"/>
                  </w:tcBorders>
                  <w:noWrap w:val="0"/>
                  <w:vAlign w:val="center"/>
                </w:tcPr>
                <w:p w14:paraId="49EB317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bCs/>
                      <w:color w:val="000000" w:themeColor="text1"/>
                      <w:kern w:val="0"/>
                      <w:sz w:val="21"/>
                      <w:szCs w:val="21"/>
                      <w:highlight w:val="none"/>
                      <w:u w:val="none" w:color="auto"/>
                      <w:lang w:val="en-US" w:eastAsia="zh-CN"/>
                      <w14:textFill>
                        <w14:solidFill>
                          <w14:schemeClr w14:val="tx1"/>
                        </w14:solidFill>
                      </w14:textFill>
                    </w:rPr>
                    <w:t>污泥</w:t>
                  </w:r>
                </w:p>
              </w:tc>
            </w:tr>
            <w:tr w14:paraId="6972E63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582" w:type="pct"/>
                  <w:vMerge w:val="continue"/>
                  <w:tcBorders>
                    <w:right w:val="single" w:color="auto" w:sz="4" w:space="0"/>
                  </w:tcBorders>
                  <w:noWrap w:val="0"/>
                  <w:vAlign w:val="center"/>
                </w:tcPr>
                <w:p w14:paraId="690B0BB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2620" w:type="pct"/>
                  <w:tcBorders>
                    <w:right w:val="single" w:color="auto" w:sz="4" w:space="0"/>
                  </w:tcBorders>
                  <w:noWrap w:val="0"/>
                  <w:vAlign w:val="center"/>
                </w:tcPr>
                <w:p w14:paraId="671B292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bCs/>
                      <w:color w:val="000000" w:themeColor="text1"/>
                      <w:kern w:val="0"/>
                      <w:sz w:val="21"/>
                      <w:szCs w:val="21"/>
                      <w:highlight w:val="none"/>
                      <w:u w:val="none" w:color="auto"/>
                      <w:lang w:val="en-US" w:eastAsia="zh-CN"/>
                      <w14:textFill>
                        <w14:solidFill>
                          <w14:schemeClr w14:val="tx1"/>
                        </w14:solidFill>
                      </w14:textFill>
                    </w:rPr>
                    <w:t>袋式除尘器</w:t>
                  </w:r>
                </w:p>
              </w:tc>
              <w:tc>
                <w:tcPr>
                  <w:tcW w:w="1797" w:type="pct"/>
                  <w:tcBorders>
                    <w:left w:val="single" w:color="auto" w:sz="4" w:space="0"/>
                  </w:tcBorders>
                  <w:noWrap w:val="0"/>
                  <w:vAlign w:val="center"/>
                </w:tcPr>
                <w:p w14:paraId="044F670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bCs/>
                      <w:color w:val="000000" w:themeColor="text1"/>
                      <w:kern w:val="0"/>
                      <w:sz w:val="21"/>
                      <w:szCs w:val="21"/>
                      <w:highlight w:val="none"/>
                      <w:u w:val="none" w:color="auto"/>
                      <w:lang w:val="en-US" w:eastAsia="zh-CN"/>
                      <w14:textFill>
                        <w14:solidFill>
                          <w14:schemeClr w14:val="tx1"/>
                        </w14:solidFill>
                      </w14:textFill>
                    </w:rPr>
                    <w:t>颗粒物</w:t>
                  </w:r>
                </w:p>
              </w:tc>
            </w:tr>
            <w:tr w14:paraId="4D67B55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582" w:type="pct"/>
                  <w:vMerge w:val="continue"/>
                  <w:tcBorders>
                    <w:right w:val="single" w:color="auto" w:sz="4" w:space="0"/>
                  </w:tcBorders>
                  <w:noWrap w:val="0"/>
                  <w:vAlign w:val="center"/>
                </w:tcPr>
                <w:p w14:paraId="2B15AB0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2620" w:type="pct"/>
                  <w:tcBorders>
                    <w:right w:val="single" w:color="auto" w:sz="4" w:space="0"/>
                  </w:tcBorders>
                  <w:noWrap w:val="0"/>
                  <w:vAlign w:val="center"/>
                </w:tcPr>
                <w:p w14:paraId="11B4366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kern w:val="0"/>
                      <w:sz w:val="21"/>
                      <w:szCs w:val="21"/>
                      <w:highlight w:val="none"/>
                      <w:u w:val="none" w:color="auto"/>
                      <w:lang w:val="en-US" w:eastAsia="zh-CN"/>
                      <w14:textFill>
                        <w14:solidFill>
                          <w14:schemeClr w14:val="tx1"/>
                        </w14:solidFill>
                      </w14:textFill>
                    </w:rPr>
                  </w:pPr>
                  <w:r>
                    <w:rPr>
                      <w:rFonts w:hint="eastAsia" w:cs="Times New Roman"/>
                      <w:bCs/>
                      <w:color w:val="000000" w:themeColor="text1"/>
                      <w:kern w:val="0"/>
                      <w:sz w:val="21"/>
                      <w:szCs w:val="21"/>
                      <w:highlight w:val="none"/>
                      <w:u w:val="none" w:color="auto"/>
                      <w:lang w:val="en-US" w:eastAsia="zh-CN"/>
                      <w14:textFill>
                        <w14:solidFill>
                          <w14:schemeClr w14:val="tx1"/>
                        </w14:solidFill>
                      </w14:textFill>
                    </w:rPr>
                    <w:t>原辅料</w:t>
                  </w:r>
                </w:p>
              </w:tc>
              <w:tc>
                <w:tcPr>
                  <w:tcW w:w="1797" w:type="pct"/>
                  <w:tcBorders>
                    <w:left w:val="single" w:color="auto" w:sz="4" w:space="0"/>
                  </w:tcBorders>
                  <w:noWrap w:val="0"/>
                  <w:vAlign w:val="center"/>
                </w:tcPr>
                <w:p w14:paraId="6E0FD87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kern w:val="0"/>
                      <w:sz w:val="21"/>
                      <w:szCs w:val="21"/>
                      <w:highlight w:val="none"/>
                      <w:u w:val="none" w:color="auto"/>
                      <w:lang w:val="en-US" w:eastAsia="zh-CN"/>
                      <w14:textFill>
                        <w14:solidFill>
                          <w14:schemeClr w14:val="tx1"/>
                        </w14:solidFill>
                      </w14:textFill>
                    </w:rPr>
                  </w:pPr>
                  <w:r>
                    <w:rPr>
                      <w:rFonts w:hint="eastAsia" w:cs="Times New Roman"/>
                      <w:bCs/>
                      <w:color w:val="000000" w:themeColor="text1"/>
                      <w:kern w:val="0"/>
                      <w:sz w:val="21"/>
                      <w:szCs w:val="21"/>
                      <w:highlight w:val="none"/>
                      <w:u w:val="none" w:color="auto"/>
                      <w:lang w:val="en-US" w:eastAsia="zh-CN"/>
                      <w14:textFill>
                        <w14:solidFill>
                          <w14:schemeClr w14:val="tx1"/>
                        </w14:solidFill>
                      </w14:textFill>
                    </w:rPr>
                    <w:t>废包装材料</w:t>
                  </w:r>
                </w:p>
              </w:tc>
            </w:tr>
            <w:tr w14:paraId="3328D30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582" w:type="pct"/>
                  <w:vMerge w:val="continue"/>
                  <w:tcBorders>
                    <w:right w:val="single" w:color="auto" w:sz="4" w:space="0"/>
                  </w:tcBorders>
                  <w:noWrap w:val="0"/>
                  <w:vAlign w:val="center"/>
                </w:tcPr>
                <w:p w14:paraId="223EEFC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2620" w:type="pct"/>
                  <w:tcBorders>
                    <w:right w:val="single" w:color="auto" w:sz="4" w:space="0"/>
                  </w:tcBorders>
                  <w:noWrap w:val="0"/>
                  <w:vAlign w:val="center"/>
                </w:tcPr>
                <w:p w14:paraId="327E5B7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kern w:val="0"/>
                      <w:sz w:val="21"/>
                      <w:szCs w:val="21"/>
                      <w:highlight w:val="none"/>
                      <w:u w:val="none" w:color="auto"/>
                      <w:lang w:val="en-US" w:eastAsia="zh-CN"/>
                      <w14:textFill>
                        <w14:solidFill>
                          <w14:schemeClr w14:val="tx1"/>
                        </w14:solidFill>
                      </w14:textFill>
                    </w:rPr>
                  </w:pPr>
                  <w:r>
                    <w:rPr>
                      <w:rFonts w:hint="eastAsia" w:cs="Times New Roman"/>
                      <w:bCs/>
                      <w:color w:val="000000" w:themeColor="text1"/>
                      <w:kern w:val="0"/>
                      <w:sz w:val="21"/>
                      <w:szCs w:val="21"/>
                      <w:highlight w:val="none"/>
                      <w:u w:val="none" w:color="auto"/>
                      <w:lang w:val="en-US" w:eastAsia="zh-CN"/>
                      <w14:textFill>
                        <w14:solidFill>
                          <w14:schemeClr w14:val="tx1"/>
                        </w14:solidFill>
                      </w14:textFill>
                    </w:rPr>
                    <w:t>生物质燃料燃烧</w:t>
                  </w:r>
                </w:p>
              </w:tc>
              <w:tc>
                <w:tcPr>
                  <w:tcW w:w="1797" w:type="pct"/>
                  <w:tcBorders>
                    <w:left w:val="single" w:color="auto" w:sz="4" w:space="0"/>
                  </w:tcBorders>
                  <w:noWrap w:val="0"/>
                  <w:vAlign w:val="center"/>
                </w:tcPr>
                <w:p w14:paraId="39D037B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kern w:val="0"/>
                      <w:sz w:val="21"/>
                      <w:szCs w:val="21"/>
                      <w:highlight w:val="none"/>
                      <w:u w:val="none" w:color="auto"/>
                      <w:lang w:val="en-US" w:eastAsia="zh-CN"/>
                      <w14:textFill>
                        <w14:solidFill>
                          <w14:schemeClr w14:val="tx1"/>
                        </w14:solidFill>
                      </w14:textFill>
                    </w:rPr>
                  </w:pPr>
                  <w:r>
                    <w:rPr>
                      <w:rFonts w:hint="eastAsia" w:cs="Times New Roman"/>
                      <w:bCs/>
                      <w:color w:val="000000" w:themeColor="text1"/>
                      <w:kern w:val="0"/>
                      <w:sz w:val="21"/>
                      <w:szCs w:val="21"/>
                      <w:highlight w:val="none"/>
                      <w:u w:val="none" w:color="auto"/>
                      <w:lang w:val="en-US" w:eastAsia="zh-CN"/>
                      <w14:textFill>
                        <w14:solidFill>
                          <w14:schemeClr w14:val="tx1"/>
                        </w14:solidFill>
                      </w14:textFill>
                    </w:rPr>
                    <w:t>灰渣</w:t>
                  </w:r>
                </w:p>
              </w:tc>
            </w:tr>
            <w:tr w14:paraId="372D219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582" w:type="pct"/>
                  <w:vMerge w:val="continue"/>
                  <w:tcBorders>
                    <w:right w:val="single" w:color="auto" w:sz="4" w:space="0"/>
                  </w:tcBorders>
                  <w:noWrap w:val="0"/>
                  <w:vAlign w:val="center"/>
                </w:tcPr>
                <w:p w14:paraId="4AB5F41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2620" w:type="pct"/>
                  <w:tcBorders>
                    <w:right w:val="single" w:color="auto" w:sz="4" w:space="0"/>
                  </w:tcBorders>
                  <w:noWrap w:val="0"/>
                  <w:vAlign w:val="center"/>
                </w:tcPr>
                <w:p w14:paraId="74D6F49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kern w:val="0"/>
                      <w:sz w:val="21"/>
                      <w:szCs w:val="21"/>
                      <w:highlight w:val="none"/>
                      <w:u w:val="none" w:color="auto"/>
                      <w:lang w:val="en-US" w:eastAsia="zh-CN"/>
                      <w14:textFill>
                        <w14:solidFill>
                          <w14:schemeClr w14:val="tx1"/>
                        </w14:solidFill>
                      </w14:textFill>
                    </w:rPr>
                  </w:pPr>
                  <w:r>
                    <w:rPr>
                      <w:rFonts w:hint="eastAsia" w:cs="Times New Roman"/>
                      <w:bCs/>
                      <w:color w:val="000000" w:themeColor="text1"/>
                      <w:kern w:val="0"/>
                      <w:sz w:val="21"/>
                      <w:szCs w:val="21"/>
                      <w:highlight w:val="none"/>
                      <w:u w:val="none" w:color="auto"/>
                      <w:lang w:val="en-US" w:eastAsia="zh-CN"/>
                      <w14:textFill>
                        <w14:solidFill>
                          <w14:schemeClr w14:val="tx1"/>
                        </w14:solidFill>
                      </w14:textFill>
                    </w:rPr>
                    <w:t>机制炭炭化工序</w:t>
                  </w:r>
                </w:p>
              </w:tc>
              <w:tc>
                <w:tcPr>
                  <w:tcW w:w="1797" w:type="pct"/>
                  <w:tcBorders>
                    <w:left w:val="single" w:color="auto" w:sz="4" w:space="0"/>
                  </w:tcBorders>
                  <w:noWrap w:val="0"/>
                  <w:vAlign w:val="center"/>
                </w:tcPr>
                <w:p w14:paraId="588777E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kern w:val="0"/>
                      <w:sz w:val="21"/>
                      <w:szCs w:val="21"/>
                      <w:highlight w:val="none"/>
                      <w:u w:val="none" w:color="auto"/>
                      <w:lang w:val="en-US" w:eastAsia="zh-CN"/>
                      <w14:textFill>
                        <w14:solidFill>
                          <w14:schemeClr w14:val="tx1"/>
                        </w14:solidFill>
                      </w14:textFill>
                    </w:rPr>
                  </w:pPr>
                  <w:r>
                    <w:rPr>
                      <w:rFonts w:hint="eastAsia" w:ascii="Times New Roman"/>
                      <w:snapToGrid w:val="0"/>
                      <w:color w:val="000000" w:themeColor="text1"/>
                      <w:kern w:val="21"/>
                      <w:sz w:val="21"/>
                      <w:szCs w:val="21"/>
                      <w:u w:val="none" w:color="auto"/>
                      <w:lang w:val="en-US" w:eastAsia="zh-CN"/>
                      <w14:textFill>
                        <w14:solidFill>
                          <w14:schemeClr w14:val="tx1"/>
                        </w14:solidFill>
                      </w14:textFill>
                    </w:rPr>
                    <w:t>木焦油、木醋液</w:t>
                  </w:r>
                </w:p>
              </w:tc>
            </w:tr>
            <w:tr w14:paraId="0653F46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582" w:type="pct"/>
                  <w:vMerge w:val="restart"/>
                  <w:tcBorders>
                    <w:right w:val="single" w:color="auto" w:sz="4" w:space="0"/>
                  </w:tcBorders>
                  <w:noWrap w:val="0"/>
                  <w:vAlign w:val="center"/>
                </w:tcPr>
                <w:p w14:paraId="1DF1B9C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危险废物</w:t>
                  </w:r>
                </w:p>
              </w:tc>
              <w:tc>
                <w:tcPr>
                  <w:tcW w:w="2620" w:type="pct"/>
                  <w:vMerge w:val="restart"/>
                  <w:tcBorders>
                    <w:right w:val="single" w:color="auto" w:sz="4" w:space="0"/>
                  </w:tcBorders>
                  <w:noWrap w:val="0"/>
                  <w:vAlign w:val="center"/>
                </w:tcPr>
                <w:p w14:paraId="23CA8A02">
                  <w:pPr>
                    <w:pStyle w:val="51"/>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rPr>
                      <w:rFonts w:hint="default" w:ascii="Times New Roman" w:hAnsi="Times New Roman" w:eastAsia="宋体" w:cs="Times New Roman"/>
                      <w:bCs/>
                      <w:color w:val="000000" w:themeColor="text1"/>
                      <w:kern w:val="0"/>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设备维护</w:t>
                  </w:r>
                </w:p>
              </w:tc>
              <w:tc>
                <w:tcPr>
                  <w:tcW w:w="1797" w:type="pct"/>
                  <w:tcBorders>
                    <w:left w:val="single" w:color="auto" w:sz="4" w:space="0"/>
                  </w:tcBorders>
                  <w:noWrap w:val="0"/>
                  <w:vAlign w:val="center"/>
                </w:tcPr>
                <w:p w14:paraId="759D9B15">
                  <w:pPr>
                    <w:keepNext w:val="0"/>
                    <w:keepLines w:val="0"/>
                    <w:pageBreakBefore w:val="0"/>
                    <w:widowControl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eastAsia="宋体" w:cs="Times New Roman"/>
                      <w:bCs/>
                      <w:color w:val="000000" w:themeColor="text1"/>
                      <w:kern w:val="0"/>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废润滑油</w:t>
                  </w:r>
                </w:p>
              </w:tc>
            </w:tr>
            <w:tr w14:paraId="5E52CE8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582" w:type="pct"/>
                  <w:vMerge w:val="continue"/>
                  <w:tcBorders>
                    <w:right w:val="single" w:color="auto" w:sz="4" w:space="0"/>
                  </w:tcBorders>
                  <w:noWrap w:val="0"/>
                  <w:vAlign w:val="center"/>
                </w:tcPr>
                <w:p w14:paraId="71800AE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2620" w:type="pct"/>
                  <w:vMerge w:val="continue"/>
                  <w:tcBorders>
                    <w:right w:val="single" w:color="auto" w:sz="4" w:space="0"/>
                  </w:tcBorders>
                  <w:noWrap w:val="0"/>
                  <w:vAlign w:val="center"/>
                </w:tcPr>
                <w:p w14:paraId="442E6657">
                  <w:pPr>
                    <w:pStyle w:val="51"/>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rPr>
                      <w:rFonts w:hint="default" w:ascii="Times New Roman" w:hAnsi="Times New Roman" w:eastAsia="宋体" w:cs="Times New Roman"/>
                      <w:bCs/>
                      <w:color w:val="000000" w:themeColor="text1"/>
                      <w:kern w:val="0"/>
                      <w:sz w:val="21"/>
                      <w:szCs w:val="21"/>
                      <w:highlight w:val="none"/>
                      <w:u w:val="none" w:color="auto"/>
                      <w:lang w:val="en-US" w:eastAsia="zh-CN"/>
                      <w14:textFill>
                        <w14:solidFill>
                          <w14:schemeClr w14:val="tx1"/>
                        </w14:solidFill>
                      </w14:textFill>
                    </w:rPr>
                  </w:pPr>
                </w:p>
              </w:tc>
              <w:tc>
                <w:tcPr>
                  <w:tcW w:w="1797" w:type="pct"/>
                  <w:tcBorders>
                    <w:left w:val="single" w:color="auto" w:sz="4" w:space="0"/>
                  </w:tcBorders>
                  <w:noWrap w:val="0"/>
                  <w:vAlign w:val="center"/>
                </w:tcPr>
                <w:p w14:paraId="186BA022">
                  <w:pPr>
                    <w:keepNext w:val="0"/>
                    <w:keepLines w:val="0"/>
                    <w:pageBreakBefore w:val="0"/>
                    <w:widowControl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eastAsia="宋体" w:cs="Times New Roman"/>
                      <w:bCs/>
                      <w:color w:val="000000" w:themeColor="text1"/>
                      <w:kern w:val="0"/>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废润滑油桶</w:t>
                  </w:r>
                </w:p>
              </w:tc>
            </w:tr>
          </w:tbl>
          <w:p w14:paraId="6EA63333">
            <w:pPr>
              <w:tabs>
                <w:tab w:val="left" w:pos="1081"/>
              </w:tabs>
              <w:adjustRightInd w:val="0"/>
              <w:snapToGrid w:val="0"/>
              <w:spacing w:line="360" w:lineRule="auto"/>
              <w:rPr>
                <w:sz w:val="24"/>
              </w:rPr>
            </w:pPr>
          </w:p>
        </w:tc>
      </w:tr>
      <w:tr w14:paraId="1A04FC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55" w:type="dxa"/>
            <w:noWrap w:val="0"/>
            <w:vAlign w:val="center"/>
          </w:tcPr>
          <w:p w14:paraId="76CC1F97">
            <w:pPr>
              <w:pStyle w:val="27"/>
              <w:adjustRightInd w:val="0"/>
              <w:snapToGrid w:val="0"/>
              <w:spacing w:before="0" w:beforeAutospacing="0" w:after="0" w:afterAutospacing="0"/>
              <w:jc w:val="center"/>
              <w:rPr>
                <w:rFonts w:ascii="Times New Roman" w:hAnsi="Times New Roman"/>
                <w:szCs w:val="24"/>
              </w:rPr>
            </w:pPr>
            <w:r>
              <w:rPr>
                <w:rFonts w:hint="eastAsia" w:cs="宋体"/>
                <w:bCs/>
                <w:kern w:val="2"/>
                <w:sz w:val="21"/>
                <w:szCs w:val="21"/>
                <w:highlight w:val="none"/>
              </w:rPr>
              <w:t>与项目有关的原有环境污染问题</w:t>
            </w:r>
          </w:p>
        </w:tc>
        <w:tc>
          <w:tcPr>
            <w:tcW w:w="9500" w:type="dxa"/>
            <w:noWrap w:val="0"/>
            <w:vAlign w:val="center"/>
          </w:tcPr>
          <w:p w14:paraId="37421354">
            <w:pPr>
              <w:pStyle w:val="58"/>
              <w:keepNext w:val="0"/>
              <w:keepLines w:val="0"/>
              <w:pageBreakBefore w:val="0"/>
              <w:widowControl w:val="0"/>
              <w:kinsoku/>
              <w:wordWrap/>
              <w:overflowPunct/>
              <w:topLinePunct w:val="0"/>
              <w:autoSpaceDE w:val="0"/>
              <w:autoSpaceDN w:val="0"/>
              <w:bidi w:val="0"/>
              <w:adjustRightInd w:val="0"/>
              <w:snapToGrid w:val="0"/>
              <w:spacing w:before="95" w:beforeLines="30" w:after="95" w:afterLines="30"/>
              <w:jc w:val="left"/>
              <w:textAlignment w:val="auto"/>
              <w:rPr>
                <w:sz w:val="24"/>
              </w:rPr>
            </w:pPr>
            <w:r>
              <w:rPr>
                <w:rFonts w:hint="eastAsia" w:cs="Times New Roman"/>
                <w:bCs/>
                <w:color w:val="000000"/>
                <w:sz w:val="24"/>
                <w:szCs w:val="24"/>
                <w:highlight w:val="none"/>
                <w:lang w:val="en-US" w:eastAsia="zh-CN"/>
              </w:rPr>
              <w:t>本项目为新建项目，项目为租赁归南阳金再生再生资源有限公司的闲置厂房。南阳金再生再生资源有限公司自建成至今，一直没有生产，现场不存在相关环保问题。</w:t>
            </w:r>
          </w:p>
        </w:tc>
      </w:tr>
    </w:tbl>
    <w:p w14:paraId="09DEB336">
      <w:pPr>
        <w:sectPr>
          <w:pgSz w:w="11905" w:h="16838"/>
          <w:pgMar w:top="1440" w:right="1083" w:bottom="1440" w:left="1083" w:header="851" w:footer="992" w:gutter="0"/>
          <w:pgNumType w:fmt="decimal"/>
          <w:cols w:space="720" w:num="1"/>
          <w:docGrid w:type="lines" w:linePitch="312" w:charSpace="0"/>
        </w:sectPr>
      </w:pPr>
    </w:p>
    <w:p w14:paraId="45C6D674">
      <w:pPr>
        <w:pStyle w:val="2"/>
        <w:jc w:val="center"/>
        <w:rPr>
          <w:sz w:val="30"/>
          <w:szCs w:val="30"/>
        </w:rPr>
      </w:pPr>
      <w:bookmarkStart w:id="10" w:name="_Toc11095"/>
      <w:bookmarkStart w:id="11" w:name="_Toc11375"/>
      <w:r>
        <w:rPr>
          <w:sz w:val="30"/>
          <w:szCs w:val="30"/>
        </w:rPr>
        <w:t>三、区域环境质量现状、环境保护目标及评价标准</w:t>
      </w:r>
      <w:bookmarkEnd w:id="10"/>
      <w:bookmarkEnd w:id="11"/>
    </w:p>
    <w:tbl>
      <w:tblPr>
        <w:tblStyle w:val="29"/>
        <w:tblW w:w="4999"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76"/>
        <w:gridCol w:w="9477"/>
      </w:tblGrid>
      <w:tr w14:paraId="4A89FDC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239" w:type="pct"/>
            <w:noWrap w:val="0"/>
            <w:vAlign w:val="center"/>
          </w:tcPr>
          <w:p w14:paraId="3797F707">
            <w:pPr>
              <w:adjustRightInd w:val="0"/>
              <w:snapToGrid w:val="0"/>
              <w:jc w:val="center"/>
              <w:rPr>
                <w:kern w:val="0"/>
                <w:sz w:val="24"/>
              </w:rPr>
            </w:pPr>
            <w:bookmarkStart w:id="12" w:name="OLE_LINK4" w:colFirst="0" w:colLast="65"/>
            <w:bookmarkStart w:id="13" w:name="_Hlk200302665"/>
            <w:bookmarkStart w:id="14" w:name="OLE_LINK5" w:colFirst="0" w:colLast="65"/>
            <w:r>
              <w:rPr>
                <w:kern w:val="0"/>
                <w:sz w:val="24"/>
              </w:rPr>
              <w:t>区域</w:t>
            </w:r>
          </w:p>
          <w:p w14:paraId="1A30F217">
            <w:pPr>
              <w:adjustRightInd w:val="0"/>
              <w:snapToGrid w:val="0"/>
              <w:jc w:val="center"/>
              <w:rPr>
                <w:kern w:val="0"/>
                <w:sz w:val="24"/>
              </w:rPr>
            </w:pPr>
            <w:r>
              <w:rPr>
                <w:kern w:val="0"/>
                <w:sz w:val="24"/>
              </w:rPr>
              <w:t>环境</w:t>
            </w:r>
          </w:p>
          <w:p w14:paraId="4EB60748">
            <w:pPr>
              <w:adjustRightInd w:val="0"/>
              <w:snapToGrid w:val="0"/>
              <w:jc w:val="center"/>
              <w:rPr>
                <w:kern w:val="0"/>
                <w:sz w:val="24"/>
              </w:rPr>
            </w:pPr>
            <w:r>
              <w:rPr>
                <w:kern w:val="0"/>
                <w:sz w:val="24"/>
              </w:rPr>
              <w:t>质量</w:t>
            </w:r>
          </w:p>
          <w:p w14:paraId="74BEF13A">
            <w:pPr>
              <w:adjustRightInd w:val="0"/>
              <w:snapToGrid w:val="0"/>
              <w:jc w:val="center"/>
              <w:rPr>
                <w:kern w:val="0"/>
                <w:sz w:val="24"/>
              </w:rPr>
            </w:pPr>
            <w:r>
              <w:rPr>
                <w:kern w:val="0"/>
                <w:sz w:val="24"/>
              </w:rPr>
              <w:t>现状</w:t>
            </w:r>
          </w:p>
        </w:tc>
        <w:tc>
          <w:tcPr>
            <w:tcW w:w="4760" w:type="pct"/>
            <w:noWrap w:val="0"/>
            <w:vAlign w:val="center"/>
          </w:tcPr>
          <w:p w14:paraId="662E9599">
            <w:pPr>
              <w:tabs>
                <w:tab w:val="left" w:pos="1081"/>
              </w:tabs>
              <w:adjustRightInd w:val="0"/>
              <w:snapToGrid w:val="0"/>
              <w:spacing w:line="360" w:lineRule="auto"/>
              <w:ind w:firstLine="482" w:firstLineChars="200"/>
              <w:rPr>
                <w:b/>
                <w:sz w:val="24"/>
              </w:rPr>
            </w:pPr>
            <w:r>
              <w:rPr>
                <w:b/>
                <w:sz w:val="24"/>
              </w:rPr>
              <w:t>1、</w:t>
            </w:r>
            <w:r>
              <w:rPr>
                <w:rFonts w:hint="eastAsia"/>
                <w:b/>
                <w:sz w:val="24"/>
              </w:rPr>
              <w:t>环境空气质量现状</w:t>
            </w:r>
          </w:p>
          <w:p w14:paraId="5DCEC42B">
            <w:pPr>
              <w:tabs>
                <w:tab w:val="left" w:pos="1081"/>
              </w:tabs>
              <w:adjustRightInd w:val="0"/>
              <w:snapToGrid w:val="0"/>
              <w:spacing w:line="360" w:lineRule="auto"/>
              <w:ind w:firstLine="480" w:firstLineChars="200"/>
              <w:rPr>
                <w:bCs/>
                <w:sz w:val="24"/>
              </w:rPr>
            </w:pPr>
            <w:r>
              <w:rPr>
                <w:bCs/>
                <w:sz w:val="24"/>
              </w:rPr>
              <w:t>本项目位于</w:t>
            </w:r>
            <w:r>
              <w:rPr>
                <w:rFonts w:hint="default"/>
                <w:lang w:eastAsia="zh-CN"/>
              </w:rPr>
              <w:t>南阳市方城县四里店镇小店村何家庄</w:t>
            </w:r>
            <w:r>
              <w:rPr>
                <w:bCs/>
                <w:sz w:val="24"/>
              </w:rPr>
              <w:t>，</w:t>
            </w:r>
            <w:r>
              <w:rPr>
                <w:sz w:val="24"/>
              </w:rPr>
              <w:t>根据环境空气质量功能区划分原则，项目所在区域为二类功能区，环境空气质量应执行《环境空气质量标准》（GB3095-2012）中的二级标准。</w:t>
            </w:r>
            <w:r>
              <w:rPr>
                <w:bCs/>
                <w:sz w:val="24"/>
              </w:rPr>
              <w:t>本次评价采用《2023年河南省南阳市生态环境质量报告》中</w:t>
            </w:r>
            <w:r>
              <w:rPr>
                <w:rFonts w:hint="eastAsia"/>
                <w:bCs/>
                <w:sz w:val="24"/>
                <w:lang w:eastAsia="zh-CN"/>
              </w:rPr>
              <w:t>“</w:t>
            </w:r>
            <w:r>
              <w:rPr>
                <w:bCs/>
                <w:sz w:val="24"/>
              </w:rPr>
              <w:t>2023年南阳市各县（市、区）环境空气主要项目监测结果统计</w:t>
            </w:r>
            <w:r>
              <w:rPr>
                <w:rFonts w:hint="eastAsia"/>
                <w:bCs/>
                <w:sz w:val="24"/>
                <w:lang w:eastAsia="zh-CN"/>
              </w:rPr>
              <w:t>”</w:t>
            </w:r>
            <w:r>
              <w:rPr>
                <w:bCs/>
                <w:sz w:val="24"/>
              </w:rPr>
              <w:t>中</w:t>
            </w:r>
            <w:r>
              <w:rPr>
                <w:rFonts w:hint="default"/>
                <w:lang w:eastAsia="zh-CN"/>
              </w:rPr>
              <w:t>方城</w:t>
            </w:r>
            <w:r>
              <w:rPr>
                <w:bCs/>
                <w:sz w:val="24"/>
              </w:rPr>
              <w:t>县的数据，详见下表。</w:t>
            </w:r>
          </w:p>
          <w:p w14:paraId="47358C5A">
            <w:pPr>
              <w:spacing w:line="360" w:lineRule="auto"/>
              <w:jc w:val="center"/>
              <w:rPr>
                <w:b/>
                <w:bCs/>
                <w:sz w:val="24"/>
              </w:rPr>
            </w:pPr>
            <w:r>
              <w:rPr>
                <w:b/>
                <w:bCs/>
                <w:sz w:val="24"/>
                <w:lang w:val="en-GB"/>
              </w:rPr>
              <w:t>表3-1</w:t>
            </w:r>
            <w:r>
              <w:rPr>
                <w:rFonts w:hint="eastAsia"/>
                <w:b/>
                <w:bCs/>
                <w:sz w:val="24"/>
              </w:rPr>
              <w:t xml:space="preserve">  </w:t>
            </w:r>
            <w:r>
              <w:rPr>
                <w:rFonts w:hint="eastAsia"/>
                <w:b/>
                <w:bCs/>
                <w:sz w:val="24"/>
                <w:lang w:eastAsia="zh-CN"/>
              </w:rPr>
              <w:t>方城</w:t>
            </w:r>
            <w:r>
              <w:rPr>
                <w:rFonts w:hint="eastAsia"/>
                <w:b/>
                <w:bCs/>
                <w:sz w:val="24"/>
              </w:rPr>
              <w:t>县</w:t>
            </w:r>
            <w:r>
              <w:rPr>
                <w:b/>
                <w:bCs/>
                <w:sz w:val="24"/>
                <w:lang w:val="en-GB"/>
              </w:rPr>
              <w:t>202</w:t>
            </w:r>
            <w:r>
              <w:rPr>
                <w:b/>
                <w:bCs/>
                <w:sz w:val="24"/>
              </w:rPr>
              <w:t>3</w:t>
            </w:r>
            <w:r>
              <w:rPr>
                <w:b/>
                <w:bCs/>
                <w:sz w:val="24"/>
                <w:lang w:val="en-GB"/>
              </w:rPr>
              <w:t>年环境空气监测及评价结果</w:t>
            </w:r>
          </w:p>
          <w:tbl>
            <w:tblPr>
              <w:tblStyle w:val="29"/>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874"/>
              <w:gridCol w:w="3557"/>
              <w:gridCol w:w="1292"/>
              <w:gridCol w:w="1312"/>
              <w:gridCol w:w="1181"/>
              <w:gridCol w:w="1031"/>
            </w:tblGrid>
            <w:tr w14:paraId="64D694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473" w:type="pct"/>
                  <w:tcBorders>
                    <w:top w:val="single" w:color="auto" w:sz="4" w:space="0"/>
                    <w:left w:val="single" w:color="auto" w:sz="4" w:space="0"/>
                    <w:bottom w:val="single" w:color="auto" w:sz="4" w:space="0"/>
                    <w:right w:val="single" w:color="auto" w:sz="4" w:space="0"/>
                  </w:tcBorders>
                  <w:noWrap w:val="0"/>
                  <w:vAlign w:val="center"/>
                </w:tcPr>
                <w:p w14:paraId="39D8C61F">
                  <w:pPr>
                    <w:tabs>
                      <w:tab w:val="left" w:pos="1081"/>
                    </w:tabs>
                    <w:adjustRightInd w:val="0"/>
                    <w:snapToGrid w:val="0"/>
                    <w:jc w:val="center"/>
                    <w:rPr>
                      <w:bCs/>
                      <w:sz w:val="21"/>
                      <w:szCs w:val="21"/>
                    </w:rPr>
                  </w:pPr>
                  <w:r>
                    <w:rPr>
                      <w:bCs/>
                      <w:sz w:val="21"/>
                      <w:szCs w:val="21"/>
                    </w:rPr>
                    <w:t>污染物</w:t>
                  </w:r>
                </w:p>
              </w:tc>
              <w:tc>
                <w:tcPr>
                  <w:tcW w:w="1922" w:type="pct"/>
                  <w:tcBorders>
                    <w:top w:val="single" w:color="auto" w:sz="4" w:space="0"/>
                    <w:left w:val="nil"/>
                    <w:bottom w:val="single" w:color="auto" w:sz="4" w:space="0"/>
                    <w:right w:val="single" w:color="auto" w:sz="4" w:space="0"/>
                  </w:tcBorders>
                  <w:noWrap w:val="0"/>
                  <w:vAlign w:val="center"/>
                </w:tcPr>
                <w:p w14:paraId="7B9287EA">
                  <w:pPr>
                    <w:tabs>
                      <w:tab w:val="left" w:pos="1081"/>
                    </w:tabs>
                    <w:adjustRightInd w:val="0"/>
                    <w:snapToGrid w:val="0"/>
                    <w:jc w:val="center"/>
                    <w:rPr>
                      <w:bCs/>
                      <w:sz w:val="21"/>
                      <w:szCs w:val="21"/>
                    </w:rPr>
                  </w:pPr>
                  <w:r>
                    <w:rPr>
                      <w:bCs/>
                      <w:sz w:val="21"/>
                      <w:szCs w:val="21"/>
                    </w:rPr>
                    <w:t>年评价指标</w:t>
                  </w:r>
                </w:p>
              </w:tc>
              <w:tc>
                <w:tcPr>
                  <w:tcW w:w="698" w:type="pct"/>
                  <w:tcBorders>
                    <w:top w:val="single" w:color="auto" w:sz="4" w:space="0"/>
                    <w:left w:val="nil"/>
                    <w:bottom w:val="single" w:color="auto" w:sz="4" w:space="0"/>
                    <w:right w:val="single" w:color="auto" w:sz="4" w:space="0"/>
                  </w:tcBorders>
                  <w:noWrap w:val="0"/>
                  <w:vAlign w:val="center"/>
                </w:tcPr>
                <w:p w14:paraId="7165DC41">
                  <w:pPr>
                    <w:tabs>
                      <w:tab w:val="left" w:pos="1081"/>
                    </w:tabs>
                    <w:adjustRightInd w:val="0"/>
                    <w:snapToGrid w:val="0"/>
                    <w:jc w:val="center"/>
                    <w:rPr>
                      <w:bCs/>
                      <w:sz w:val="21"/>
                      <w:szCs w:val="21"/>
                    </w:rPr>
                  </w:pPr>
                  <w:r>
                    <w:rPr>
                      <w:bCs/>
                      <w:sz w:val="21"/>
                      <w:szCs w:val="21"/>
                    </w:rPr>
                    <w:t>现状浓度</w:t>
                  </w:r>
                </w:p>
                <w:p w14:paraId="2352FA35">
                  <w:pPr>
                    <w:tabs>
                      <w:tab w:val="left" w:pos="1081"/>
                    </w:tabs>
                    <w:adjustRightInd w:val="0"/>
                    <w:snapToGrid w:val="0"/>
                    <w:jc w:val="center"/>
                    <w:rPr>
                      <w:bCs/>
                      <w:sz w:val="21"/>
                      <w:szCs w:val="21"/>
                    </w:rPr>
                  </w:pPr>
                  <w:r>
                    <w:rPr>
                      <w:bCs/>
                      <w:sz w:val="21"/>
                      <w:szCs w:val="21"/>
                    </w:rPr>
                    <w:t>（μg/m</w:t>
                  </w:r>
                  <w:r>
                    <w:rPr>
                      <w:bCs/>
                      <w:sz w:val="21"/>
                      <w:szCs w:val="21"/>
                      <w:vertAlign w:val="superscript"/>
                    </w:rPr>
                    <w:t>3</w:t>
                  </w:r>
                  <w:r>
                    <w:rPr>
                      <w:bCs/>
                      <w:sz w:val="21"/>
                      <w:szCs w:val="21"/>
                    </w:rPr>
                    <w:t>）</w:t>
                  </w:r>
                </w:p>
              </w:tc>
              <w:tc>
                <w:tcPr>
                  <w:tcW w:w="709" w:type="pct"/>
                  <w:tcBorders>
                    <w:top w:val="single" w:color="auto" w:sz="4" w:space="0"/>
                    <w:left w:val="nil"/>
                    <w:bottom w:val="single" w:color="auto" w:sz="4" w:space="0"/>
                    <w:right w:val="single" w:color="auto" w:sz="4" w:space="0"/>
                  </w:tcBorders>
                  <w:noWrap w:val="0"/>
                  <w:vAlign w:val="center"/>
                </w:tcPr>
                <w:p w14:paraId="52351E89">
                  <w:pPr>
                    <w:tabs>
                      <w:tab w:val="left" w:pos="1081"/>
                    </w:tabs>
                    <w:adjustRightInd w:val="0"/>
                    <w:snapToGrid w:val="0"/>
                    <w:jc w:val="center"/>
                    <w:rPr>
                      <w:bCs/>
                      <w:sz w:val="21"/>
                      <w:szCs w:val="21"/>
                    </w:rPr>
                  </w:pPr>
                  <w:r>
                    <w:rPr>
                      <w:bCs/>
                      <w:sz w:val="21"/>
                      <w:szCs w:val="21"/>
                    </w:rPr>
                    <w:t>标准值</w:t>
                  </w:r>
                </w:p>
                <w:p w14:paraId="295037C3">
                  <w:pPr>
                    <w:tabs>
                      <w:tab w:val="left" w:pos="1081"/>
                    </w:tabs>
                    <w:adjustRightInd w:val="0"/>
                    <w:snapToGrid w:val="0"/>
                    <w:jc w:val="center"/>
                    <w:rPr>
                      <w:bCs/>
                      <w:sz w:val="21"/>
                      <w:szCs w:val="21"/>
                    </w:rPr>
                  </w:pPr>
                  <w:r>
                    <w:rPr>
                      <w:bCs/>
                      <w:sz w:val="21"/>
                      <w:szCs w:val="21"/>
                    </w:rPr>
                    <w:t>（μg/m</w:t>
                  </w:r>
                  <w:r>
                    <w:rPr>
                      <w:bCs/>
                      <w:sz w:val="21"/>
                      <w:szCs w:val="21"/>
                      <w:vertAlign w:val="superscript"/>
                    </w:rPr>
                    <w:t>3</w:t>
                  </w:r>
                  <w:r>
                    <w:rPr>
                      <w:bCs/>
                      <w:sz w:val="21"/>
                      <w:szCs w:val="21"/>
                    </w:rPr>
                    <w:t>）</w:t>
                  </w:r>
                </w:p>
              </w:tc>
              <w:tc>
                <w:tcPr>
                  <w:tcW w:w="638" w:type="pct"/>
                  <w:tcBorders>
                    <w:top w:val="single" w:color="auto" w:sz="4" w:space="0"/>
                    <w:left w:val="nil"/>
                    <w:bottom w:val="single" w:color="auto" w:sz="4" w:space="0"/>
                    <w:right w:val="single" w:color="auto" w:sz="4" w:space="0"/>
                  </w:tcBorders>
                  <w:noWrap w:val="0"/>
                  <w:vAlign w:val="center"/>
                </w:tcPr>
                <w:p w14:paraId="033CAED7">
                  <w:pPr>
                    <w:tabs>
                      <w:tab w:val="left" w:pos="1081"/>
                    </w:tabs>
                    <w:adjustRightInd w:val="0"/>
                    <w:snapToGrid w:val="0"/>
                    <w:jc w:val="center"/>
                    <w:rPr>
                      <w:bCs/>
                      <w:sz w:val="21"/>
                      <w:szCs w:val="21"/>
                    </w:rPr>
                  </w:pPr>
                  <w:r>
                    <w:rPr>
                      <w:bCs/>
                      <w:sz w:val="21"/>
                      <w:szCs w:val="21"/>
                    </w:rPr>
                    <w:t>占标率%</w:t>
                  </w:r>
                </w:p>
              </w:tc>
              <w:tc>
                <w:tcPr>
                  <w:tcW w:w="557" w:type="pct"/>
                  <w:tcBorders>
                    <w:top w:val="single" w:color="auto" w:sz="4" w:space="0"/>
                    <w:left w:val="nil"/>
                    <w:bottom w:val="single" w:color="auto" w:sz="4" w:space="0"/>
                    <w:right w:val="single" w:color="auto" w:sz="4" w:space="0"/>
                  </w:tcBorders>
                  <w:noWrap w:val="0"/>
                  <w:vAlign w:val="center"/>
                </w:tcPr>
                <w:p w14:paraId="05D97B01">
                  <w:pPr>
                    <w:tabs>
                      <w:tab w:val="left" w:pos="1081"/>
                    </w:tabs>
                    <w:adjustRightInd w:val="0"/>
                    <w:snapToGrid w:val="0"/>
                    <w:jc w:val="center"/>
                    <w:rPr>
                      <w:bCs/>
                      <w:sz w:val="21"/>
                      <w:szCs w:val="21"/>
                    </w:rPr>
                  </w:pPr>
                </w:p>
                <w:p w14:paraId="501BCFE0">
                  <w:pPr>
                    <w:tabs>
                      <w:tab w:val="left" w:pos="1081"/>
                    </w:tabs>
                    <w:adjustRightInd w:val="0"/>
                    <w:snapToGrid w:val="0"/>
                    <w:jc w:val="center"/>
                    <w:rPr>
                      <w:bCs/>
                      <w:sz w:val="21"/>
                      <w:szCs w:val="21"/>
                    </w:rPr>
                  </w:pPr>
                  <w:r>
                    <w:rPr>
                      <w:bCs/>
                      <w:sz w:val="21"/>
                      <w:szCs w:val="21"/>
                    </w:rPr>
                    <w:t>达标情况</w:t>
                  </w:r>
                </w:p>
              </w:tc>
            </w:tr>
            <w:tr w14:paraId="3448F1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473" w:type="pct"/>
                  <w:tcBorders>
                    <w:top w:val="nil"/>
                    <w:left w:val="single" w:color="auto" w:sz="4" w:space="0"/>
                    <w:bottom w:val="single" w:color="auto" w:sz="4" w:space="0"/>
                    <w:right w:val="single" w:color="auto" w:sz="4" w:space="0"/>
                  </w:tcBorders>
                  <w:noWrap w:val="0"/>
                  <w:vAlign w:val="center"/>
                </w:tcPr>
                <w:p w14:paraId="533BE68D">
                  <w:pPr>
                    <w:tabs>
                      <w:tab w:val="left" w:pos="1081"/>
                    </w:tabs>
                    <w:adjustRightInd w:val="0"/>
                    <w:snapToGrid w:val="0"/>
                    <w:jc w:val="center"/>
                    <w:rPr>
                      <w:bCs/>
                      <w:sz w:val="21"/>
                      <w:szCs w:val="21"/>
                    </w:rPr>
                  </w:pPr>
                  <w:r>
                    <w:rPr>
                      <w:bCs/>
                      <w:sz w:val="21"/>
                      <w:szCs w:val="21"/>
                    </w:rPr>
                    <w:t>SO</w:t>
                  </w:r>
                  <w:r>
                    <w:rPr>
                      <w:bCs/>
                      <w:sz w:val="21"/>
                      <w:szCs w:val="21"/>
                      <w:vertAlign w:val="subscript"/>
                    </w:rPr>
                    <w:t>2</w:t>
                  </w:r>
                </w:p>
              </w:tc>
              <w:tc>
                <w:tcPr>
                  <w:tcW w:w="1922" w:type="pct"/>
                  <w:tcBorders>
                    <w:top w:val="single" w:color="auto" w:sz="4" w:space="0"/>
                    <w:left w:val="nil"/>
                    <w:bottom w:val="single" w:color="auto" w:sz="4" w:space="0"/>
                    <w:right w:val="single" w:color="auto" w:sz="4" w:space="0"/>
                  </w:tcBorders>
                  <w:noWrap w:val="0"/>
                  <w:vAlign w:val="center"/>
                </w:tcPr>
                <w:p w14:paraId="307BC0DC">
                  <w:pPr>
                    <w:tabs>
                      <w:tab w:val="left" w:pos="1081"/>
                    </w:tabs>
                    <w:adjustRightInd w:val="0"/>
                    <w:snapToGrid w:val="0"/>
                    <w:jc w:val="center"/>
                    <w:rPr>
                      <w:bCs/>
                      <w:sz w:val="21"/>
                      <w:szCs w:val="21"/>
                    </w:rPr>
                  </w:pPr>
                  <w:r>
                    <w:rPr>
                      <w:bCs/>
                      <w:sz w:val="21"/>
                      <w:szCs w:val="21"/>
                    </w:rPr>
                    <w:t>年平均质量</w:t>
                  </w:r>
                  <w:r>
                    <w:rPr>
                      <w:bCs/>
                      <w:sz w:val="21"/>
                      <w:szCs w:val="21"/>
                    </w:rPr>
                    <w:cr/>
                  </w:r>
                  <w:r>
                    <w:rPr>
                      <w:bCs/>
                      <w:sz w:val="21"/>
                      <w:szCs w:val="21"/>
                    </w:rPr>
                    <w:t>度</w:t>
                  </w:r>
                </w:p>
              </w:tc>
              <w:tc>
                <w:tcPr>
                  <w:tcW w:w="698" w:type="pct"/>
                  <w:tcBorders>
                    <w:top w:val="single" w:color="auto" w:sz="4" w:space="0"/>
                    <w:left w:val="nil"/>
                    <w:bottom w:val="single" w:color="auto" w:sz="4" w:space="0"/>
                    <w:right w:val="single" w:color="auto" w:sz="4" w:space="0"/>
                  </w:tcBorders>
                  <w:noWrap w:val="0"/>
                  <w:vAlign w:val="center"/>
                </w:tcPr>
                <w:p w14:paraId="1914A5B1">
                  <w:pPr>
                    <w:tabs>
                      <w:tab w:val="left" w:pos="1081"/>
                    </w:tabs>
                    <w:adjustRightInd w:val="0"/>
                    <w:snapToGrid w:val="0"/>
                    <w:jc w:val="center"/>
                    <w:rPr>
                      <w:rFonts w:hint="eastAsia" w:eastAsia="宋体"/>
                      <w:bCs/>
                      <w:sz w:val="21"/>
                      <w:szCs w:val="21"/>
                      <w:lang w:eastAsia="zh-CN"/>
                    </w:rPr>
                  </w:pPr>
                  <w:r>
                    <w:rPr>
                      <w:rFonts w:hint="eastAsia"/>
                      <w:bCs/>
                      <w:sz w:val="21"/>
                      <w:szCs w:val="21"/>
                      <w:lang w:val="en-US" w:eastAsia="zh-CN"/>
                    </w:rPr>
                    <w:t>6</w:t>
                  </w:r>
                </w:p>
              </w:tc>
              <w:tc>
                <w:tcPr>
                  <w:tcW w:w="709" w:type="pct"/>
                  <w:tcBorders>
                    <w:top w:val="single" w:color="auto" w:sz="4" w:space="0"/>
                    <w:left w:val="nil"/>
                    <w:bottom w:val="single" w:color="auto" w:sz="4" w:space="0"/>
                    <w:right w:val="single" w:color="auto" w:sz="4" w:space="0"/>
                  </w:tcBorders>
                  <w:noWrap w:val="0"/>
                  <w:vAlign w:val="center"/>
                </w:tcPr>
                <w:p w14:paraId="6B20033B">
                  <w:pPr>
                    <w:tabs>
                      <w:tab w:val="left" w:pos="1081"/>
                    </w:tabs>
                    <w:adjustRightInd w:val="0"/>
                    <w:snapToGrid w:val="0"/>
                    <w:jc w:val="center"/>
                    <w:rPr>
                      <w:bCs/>
                      <w:sz w:val="21"/>
                      <w:szCs w:val="21"/>
                    </w:rPr>
                  </w:pPr>
                  <w:r>
                    <w:rPr>
                      <w:bCs/>
                      <w:sz w:val="21"/>
                      <w:szCs w:val="21"/>
                    </w:rPr>
                    <w:t>60</w:t>
                  </w:r>
                </w:p>
              </w:tc>
              <w:tc>
                <w:tcPr>
                  <w:tcW w:w="638" w:type="pct"/>
                  <w:tcBorders>
                    <w:top w:val="single" w:color="auto" w:sz="4" w:space="0"/>
                    <w:left w:val="nil"/>
                    <w:bottom w:val="single" w:color="auto" w:sz="4" w:space="0"/>
                    <w:right w:val="single" w:color="auto" w:sz="4" w:space="0"/>
                  </w:tcBorders>
                  <w:noWrap w:val="0"/>
                  <w:vAlign w:val="center"/>
                </w:tcPr>
                <w:p w14:paraId="515A53A7">
                  <w:pPr>
                    <w:tabs>
                      <w:tab w:val="left" w:pos="1081"/>
                    </w:tabs>
                    <w:adjustRightInd w:val="0"/>
                    <w:snapToGrid w:val="0"/>
                    <w:jc w:val="center"/>
                    <w:rPr>
                      <w:rFonts w:hint="default" w:eastAsia="宋体"/>
                      <w:bCs/>
                      <w:sz w:val="21"/>
                      <w:szCs w:val="21"/>
                      <w:lang w:val="en-US" w:eastAsia="zh-CN"/>
                    </w:rPr>
                  </w:pPr>
                  <w:r>
                    <w:rPr>
                      <w:rFonts w:hint="eastAsia"/>
                      <w:bCs/>
                      <w:sz w:val="21"/>
                      <w:szCs w:val="21"/>
                      <w:lang w:val="en-US" w:eastAsia="zh-CN"/>
                    </w:rPr>
                    <w:t>10</w:t>
                  </w:r>
                </w:p>
              </w:tc>
              <w:tc>
                <w:tcPr>
                  <w:tcW w:w="557" w:type="pct"/>
                  <w:tcBorders>
                    <w:top w:val="single" w:color="auto" w:sz="4" w:space="0"/>
                    <w:left w:val="nil"/>
                    <w:bottom w:val="single" w:color="auto" w:sz="4" w:space="0"/>
                    <w:right w:val="single" w:color="auto" w:sz="4" w:space="0"/>
                  </w:tcBorders>
                  <w:noWrap w:val="0"/>
                  <w:vAlign w:val="center"/>
                </w:tcPr>
                <w:p w14:paraId="1BF2BA63">
                  <w:pPr>
                    <w:tabs>
                      <w:tab w:val="left" w:pos="1081"/>
                    </w:tabs>
                    <w:adjustRightInd w:val="0"/>
                    <w:snapToGrid w:val="0"/>
                    <w:jc w:val="center"/>
                    <w:rPr>
                      <w:bCs/>
                      <w:sz w:val="21"/>
                      <w:szCs w:val="21"/>
                    </w:rPr>
                  </w:pPr>
                  <w:r>
                    <w:rPr>
                      <w:bCs/>
                      <w:sz w:val="21"/>
                      <w:szCs w:val="21"/>
                    </w:rPr>
                    <w:t>达标</w:t>
                  </w:r>
                </w:p>
              </w:tc>
            </w:tr>
            <w:tr w14:paraId="48670F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473" w:type="pct"/>
                  <w:tcBorders>
                    <w:top w:val="nil"/>
                    <w:left w:val="single" w:color="auto" w:sz="4" w:space="0"/>
                    <w:bottom w:val="single" w:color="auto" w:sz="4" w:space="0"/>
                    <w:right w:val="single" w:color="auto" w:sz="4" w:space="0"/>
                  </w:tcBorders>
                  <w:noWrap w:val="0"/>
                  <w:vAlign w:val="center"/>
                </w:tcPr>
                <w:p w14:paraId="1CF6A45A">
                  <w:pPr>
                    <w:tabs>
                      <w:tab w:val="left" w:pos="1081"/>
                    </w:tabs>
                    <w:adjustRightInd w:val="0"/>
                    <w:snapToGrid w:val="0"/>
                    <w:jc w:val="center"/>
                    <w:rPr>
                      <w:bCs/>
                      <w:sz w:val="21"/>
                      <w:szCs w:val="21"/>
                    </w:rPr>
                  </w:pPr>
                  <w:r>
                    <w:rPr>
                      <w:bCs/>
                      <w:sz w:val="21"/>
                      <w:szCs w:val="21"/>
                    </w:rPr>
                    <w:t>NO</w:t>
                  </w:r>
                  <w:r>
                    <w:rPr>
                      <w:bCs/>
                      <w:sz w:val="21"/>
                      <w:szCs w:val="21"/>
                      <w:vertAlign w:val="subscript"/>
                    </w:rPr>
                    <w:t>2</w:t>
                  </w:r>
                </w:p>
              </w:tc>
              <w:tc>
                <w:tcPr>
                  <w:tcW w:w="1922" w:type="pct"/>
                  <w:tcBorders>
                    <w:top w:val="single" w:color="auto" w:sz="4" w:space="0"/>
                    <w:left w:val="nil"/>
                    <w:bottom w:val="single" w:color="auto" w:sz="4" w:space="0"/>
                    <w:right w:val="single" w:color="auto" w:sz="4" w:space="0"/>
                  </w:tcBorders>
                  <w:noWrap w:val="0"/>
                  <w:vAlign w:val="center"/>
                </w:tcPr>
                <w:p w14:paraId="272332B3">
                  <w:pPr>
                    <w:tabs>
                      <w:tab w:val="left" w:pos="1081"/>
                    </w:tabs>
                    <w:adjustRightInd w:val="0"/>
                    <w:snapToGrid w:val="0"/>
                    <w:jc w:val="center"/>
                    <w:rPr>
                      <w:bCs/>
                      <w:sz w:val="21"/>
                      <w:szCs w:val="21"/>
                    </w:rPr>
                  </w:pPr>
                  <w:r>
                    <w:rPr>
                      <w:bCs/>
                      <w:sz w:val="21"/>
                      <w:szCs w:val="21"/>
                    </w:rPr>
                    <w:t>年平均质量浓度</w:t>
                  </w:r>
                </w:p>
              </w:tc>
              <w:tc>
                <w:tcPr>
                  <w:tcW w:w="698" w:type="pct"/>
                  <w:tcBorders>
                    <w:top w:val="single" w:color="auto" w:sz="4" w:space="0"/>
                    <w:left w:val="nil"/>
                    <w:bottom w:val="single" w:color="auto" w:sz="4" w:space="0"/>
                    <w:right w:val="single" w:color="auto" w:sz="4" w:space="0"/>
                  </w:tcBorders>
                  <w:noWrap w:val="0"/>
                  <w:vAlign w:val="center"/>
                </w:tcPr>
                <w:p w14:paraId="69D2AA6B">
                  <w:pPr>
                    <w:tabs>
                      <w:tab w:val="left" w:pos="1081"/>
                    </w:tabs>
                    <w:adjustRightInd w:val="0"/>
                    <w:snapToGrid w:val="0"/>
                    <w:jc w:val="center"/>
                    <w:rPr>
                      <w:rFonts w:hint="default" w:eastAsia="宋体"/>
                      <w:bCs/>
                      <w:sz w:val="21"/>
                      <w:szCs w:val="21"/>
                      <w:lang w:val="en-US" w:eastAsia="zh-CN"/>
                    </w:rPr>
                  </w:pPr>
                  <w:r>
                    <w:rPr>
                      <w:rFonts w:hint="eastAsia"/>
                      <w:bCs/>
                      <w:sz w:val="21"/>
                      <w:szCs w:val="21"/>
                      <w:lang w:val="en-US" w:eastAsia="zh-CN"/>
                    </w:rPr>
                    <w:t>23</w:t>
                  </w:r>
                </w:p>
              </w:tc>
              <w:tc>
                <w:tcPr>
                  <w:tcW w:w="709" w:type="pct"/>
                  <w:tcBorders>
                    <w:top w:val="single" w:color="auto" w:sz="4" w:space="0"/>
                    <w:left w:val="nil"/>
                    <w:bottom w:val="single" w:color="auto" w:sz="4" w:space="0"/>
                    <w:right w:val="single" w:color="auto" w:sz="4" w:space="0"/>
                  </w:tcBorders>
                  <w:noWrap w:val="0"/>
                  <w:vAlign w:val="center"/>
                </w:tcPr>
                <w:p w14:paraId="2C734051">
                  <w:pPr>
                    <w:tabs>
                      <w:tab w:val="left" w:pos="1081"/>
                    </w:tabs>
                    <w:adjustRightInd w:val="0"/>
                    <w:snapToGrid w:val="0"/>
                    <w:jc w:val="center"/>
                    <w:rPr>
                      <w:bCs/>
                      <w:sz w:val="21"/>
                      <w:szCs w:val="21"/>
                    </w:rPr>
                  </w:pPr>
                  <w:r>
                    <w:rPr>
                      <w:bCs/>
                      <w:sz w:val="21"/>
                      <w:szCs w:val="21"/>
                    </w:rPr>
                    <w:t>40</w:t>
                  </w:r>
                </w:p>
              </w:tc>
              <w:tc>
                <w:tcPr>
                  <w:tcW w:w="638" w:type="pct"/>
                  <w:tcBorders>
                    <w:top w:val="single" w:color="auto" w:sz="4" w:space="0"/>
                    <w:left w:val="nil"/>
                    <w:bottom w:val="single" w:color="auto" w:sz="4" w:space="0"/>
                    <w:right w:val="single" w:color="auto" w:sz="4" w:space="0"/>
                  </w:tcBorders>
                  <w:noWrap w:val="0"/>
                  <w:vAlign w:val="center"/>
                </w:tcPr>
                <w:p w14:paraId="04E86B2C">
                  <w:pPr>
                    <w:tabs>
                      <w:tab w:val="left" w:pos="1081"/>
                    </w:tabs>
                    <w:adjustRightInd w:val="0"/>
                    <w:snapToGrid w:val="0"/>
                    <w:jc w:val="center"/>
                    <w:rPr>
                      <w:rFonts w:hint="default" w:eastAsia="宋体"/>
                      <w:bCs/>
                      <w:sz w:val="21"/>
                      <w:szCs w:val="21"/>
                      <w:lang w:val="en-US" w:eastAsia="zh-CN"/>
                    </w:rPr>
                  </w:pPr>
                  <w:r>
                    <w:rPr>
                      <w:rFonts w:hint="eastAsia"/>
                      <w:bCs/>
                      <w:sz w:val="21"/>
                      <w:szCs w:val="21"/>
                      <w:lang w:val="en-US" w:eastAsia="zh-CN"/>
                    </w:rPr>
                    <w:t>57.5</w:t>
                  </w:r>
                </w:p>
              </w:tc>
              <w:tc>
                <w:tcPr>
                  <w:tcW w:w="557" w:type="pct"/>
                  <w:tcBorders>
                    <w:top w:val="single" w:color="auto" w:sz="4" w:space="0"/>
                    <w:left w:val="nil"/>
                    <w:bottom w:val="single" w:color="auto" w:sz="4" w:space="0"/>
                    <w:right w:val="single" w:color="auto" w:sz="4" w:space="0"/>
                  </w:tcBorders>
                  <w:noWrap w:val="0"/>
                  <w:vAlign w:val="center"/>
                </w:tcPr>
                <w:p w14:paraId="17A692FA">
                  <w:pPr>
                    <w:tabs>
                      <w:tab w:val="left" w:pos="1081"/>
                    </w:tabs>
                    <w:adjustRightInd w:val="0"/>
                    <w:snapToGrid w:val="0"/>
                    <w:jc w:val="center"/>
                    <w:rPr>
                      <w:bCs/>
                      <w:sz w:val="21"/>
                      <w:szCs w:val="21"/>
                    </w:rPr>
                  </w:pPr>
                  <w:r>
                    <w:rPr>
                      <w:bCs/>
                      <w:sz w:val="21"/>
                      <w:szCs w:val="21"/>
                    </w:rPr>
                    <w:t>达标</w:t>
                  </w:r>
                </w:p>
              </w:tc>
            </w:tr>
            <w:tr w14:paraId="6A06C2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473" w:type="pct"/>
                  <w:tcBorders>
                    <w:top w:val="nil"/>
                    <w:left w:val="single" w:color="auto" w:sz="4" w:space="0"/>
                    <w:bottom w:val="single" w:color="auto" w:sz="4" w:space="0"/>
                    <w:right w:val="single" w:color="auto" w:sz="4" w:space="0"/>
                  </w:tcBorders>
                  <w:noWrap w:val="0"/>
                  <w:vAlign w:val="center"/>
                </w:tcPr>
                <w:p w14:paraId="6338E3FA">
                  <w:pPr>
                    <w:tabs>
                      <w:tab w:val="left" w:pos="1081"/>
                    </w:tabs>
                    <w:adjustRightInd w:val="0"/>
                    <w:snapToGrid w:val="0"/>
                    <w:jc w:val="center"/>
                    <w:rPr>
                      <w:bCs/>
                      <w:sz w:val="21"/>
                      <w:szCs w:val="21"/>
                    </w:rPr>
                  </w:pPr>
                  <w:r>
                    <w:rPr>
                      <w:bCs/>
                      <w:sz w:val="21"/>
                      <w:szCs w:val="21"/>
                    </w:rPr>
                    <w:t>PM</w:t>
                  </w:r>
                  <w:r>
                    <w:rPr>
                      <w:bCs/>
                      <w:sz w:val="21"/>
                      <w:szCs w:val="21"/>
                      <w:vertAlign w:val="subscript"/>
                    </w:rPr>
                    <w:t>10</w:t>
                  </w:r>
                </w:p>
              </w:tc>
              <w:tc>
                <w:tcPr>
                  <w:tcW w:w="1922" w:type="pct"/>
                  <w:tcBorders>
                    <w:top w:val="single" w:color="auto" w:sz="4" w:space="0"/>
                    <w:left w:val="nil"/>
                    <w:bottom w:val="single" w:color="auto" w:sz="4" w:space="0"/>
                    <w:right w:val="single" w:color="auto" w:sz="4" w:space="0"/>
                  </w:tcBorders>
                  <w:noWrap w:val="0"/>
                  <w:vAlign w:val="center"/>
                </w:tcPr>
                <w:p w14:paraId="72CCC8A5">
                  <w:pPr>
                    <w:tabs>
                      <w:tab w:val="left" w:pos="1081"/>
                    </w:tabs>
                    <w:adjustRightInd w:val="0"/>
                    <w:snapToGrid w:val="0"/>
                    <w:jc w:val="center"/>
                    <w:rPr>
                      <w:bCs/>
                      <w:sz w:val="21"/>
                      <w:szCs w:val="21"/>
                    </w:rPr>
                  </w:pPr>
                  <w:r>
                    <w:rPr>
                      <w:bCs/>
                      <w:sz w:val="21"/>
                      <w:szCs w:val="21"/>
                    </w:rPr>
                    <w:t>年平均质量浓度</w:t>
                  </w:r>
                </w:p>
              </w:tc>
              <w:tc>
                <w:tcPr>
                  <w:tcW w:w="698" w:type="pct"/>
                  <w:tcBorders>
                    <w:top w:val="single" w:color="auto" w:sz="4" w:space="0"/>
                    <w:left w:val="nil"/>
                    <w:bottom w:val="single" w:color="auto" w:sz="4" w:space="0"/>
                    <w:right w:val="single" w:color="auto" w:sz="4" w:space="0"/>
                  </w:tcBorders>
                  <w:noWrap w:val="0"/>
                  <w:vAlign w:val="center"/>
                </w:tcPr>
                <w:p w14:paraId="63E7845A">
                  <w:pPr>
                    <w:tabs>
                      <w:tab w:val="left" w:pos="1081"/>
                    </w:tabs>
                    <w:adjustRightInd w:val="0"/>
                    <w:snapToGrid w:val="0"/>
                    <w:jc w:val="center"/>
                    <w:rPr>
                      <w:rFonts w:hint="eastAsia" w:eastAsia="宋体"/>
                      <w:bCs/>
                      <w:sz w:val="21"/>
                      <w:szCs w:val="21"/>
                      <w:lang w:eastAsia="zh-CN"/>
                    </w:rPr>
                  </w:pPr>
                  <w:r>
                    <w:rPr>
                      <w:bCs/>
                      <w:sz w:val="21"/>
                      <w:szCs w:val="21"/>
                    </w:rPr>
                    <w:t>8</w:t>
                  </w:r>
                  <w:r>
                    <w:rPr>
                      <w:rFonts w:hint="eastAsia"/>
                      <w:bCs/>
                      <w:sz w:val="21"/>
                      <w:szCs w:val="21"/>
                      <w:lang w:val="en-US" w:eastAsia="zh-CN"/>
                    </w:rPr>
                    <w:t>6</w:t>
                  </w:r>
                </w:p>
              </w:tc>
              <w:tc>
                <w:tcPr>
                  <w:tcW w:w="709" w:type="pct"/>
                  <w:tcBorders>
                    <w:top w:val="single" w:color="auto" w:sz="4" w:space="0"/>
                    <w:left w:val="nil"/>
                    <w:bottom w:val="single" w:color="auto" w:sz="4" w:space="0"/>
                    <w:right w:val="single" w:color="auto" w:sz="4" w:space="0"/>
                  </w:tcBorders>
                  <w:noWrap w:val="0"/>
                  <w:vAlign w:val="center"/>
                </w:tcPr>
                <w:p w14:paraId="560F0B12">
                  <w:pPr>
                    <w:tabs>
                      <w:tab w:val="left" w:pos="1081"/>
                    </w:tabs>
                    <w:adjustRightInd w:val="0"/>
                    <w:snapToGrid w:val="0"/>
                    <w:jc w:val="center"/>
                    <w:rPr>
                      <w:bCs/>
                      <w:sz w:val="21"/>
                      <w:szCs w:val="21"/>
                    </w:rPr>
                  </w:pPr>
                  <w:r>
                    <w:rPr>
                      <w:bCs/>
                      <w:sz w:val="21"/>
                      <w:szCs w:val="21"/>
                    </w:rPr>
                    <w:t>70</w:t>
                  </w:r>
                </w:p>
              </w:tc>
              <w:tc>
                <w:tcPr>
                  <w:tcW w:w="638" w:type="pct"/>
                  <w:tcBorders>
                    <w:top w:val="single" w:color="auto" w:sz="4" w:space="0"/>
                    <w:left w:val="nil"/>
                    <w:bottom w:val="single" w:color="auto" w:sz="4" w:space="0"/>
                    <w:right w:val="single" w:color="auto" w:sz="4" w:space="0"/>
                  </w:tcBorders>
                  <w:noWrap w:val="0"/>
                  <w:vAlign w:val="center"/>
                </w:tcPr>
                <w:p w14:paraId="494C8407">
                  <w:pPr>
                    <w:tabs>
                      <w:tab w:val="left" w:pos="1081"/>
                    </w:tabs>
                    <w:adjustRightInd w:val="0"/>
                    <w:snapToGrid w:val="0"/>
                    <w:jc w:val="center"/>
                    <w:rPr>
                      <w:rFonts w:hint="default" w:eastAsia="宋体"/>
                      <w:bCs/>
                      <w:sz w:val="21"/>
                      <w:szCs w:val="21"/>
                      <w:lang w:val="en-US" w:eastAsia="zh-CN"/>
                    </w:rPr>
                  </w:pPr>
                  <w:r>
                    <w:rPr>
                      <w:rFonts w:hint="eastAsia"/>
                      <w:bCs/>
                      <w:sz w:val="21"/>
                      <w:szCs w:val="21"/>
                      <w:lang w:val="en-US" w:eastAsia="zh-CN"/>
                    </w:rPr>
                    <w:t>122.9</w:t>
                  </w:r>
                </w:p>
              </w:tc>
              <w:tc>
                <w:tcPr>
                  <w:tcW w:w="557" w:type="pct"/>
                  <w:tcBorders>
                    <w:top w:val="single" w:color="auto" w:sz="4" w:space="0"/>
                    <w:left w:val="nil"/>
                    <w:bottom w:val="single" w:color="auto" w:sz="4" w:space="0"/>
                    <w:right w:val="single" w:color="auto" w:sz="4" w:space="0"/>
                  </w:tcBorders>
                  <w:noWrap w:val="0"/>
                  <w:vAlign w:val="center"/>
                </w:tcPr>
                <w:p w14:paraId="23AAED88">
                  <w:pPr>
                    <w:tabs>
                      <w:tab w:val="left" w:pos="1081"/>
                    </w:tabs>
                    <w:adjustRightInd w:val="0"/>
                    <w:snapToGrid w:val="0"/>
                    <w:jc w:val="center"/>
                    <w:rPr>
                      <w:bCs/>
                      <w:sz w:val="21"/>
                      <w:szCs w:val="21"/>
                    </w:rPr>
                  </w:pPr>
                  <w:r>
                    <w:rPr>
                      <w:bCs/>
                      <w:sz w:val="21"/>
                      <w:szCs w:val="21"/>
                    </w:rPr>
                    <w:t>超标</w:t>
                  </w:r>
                </w:p>
              </w:tc>
            </w:tr>
            <w:tr w14:paraId="5C62D2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473" w:type="pct"/>
                  <w:tcBorders>
                    <w:top w:val="nil"/>
                    <w:left w:val="single" w:color="auto" w:sz="4" w:space="0"/>
                    <w:bottom w:val="single" w:color="auto" w:sz="4" w:space="0"/>
                    <w:right w:val="single" w:color="auto" w:sz="4" w:space="0"/>
                  </w:tcBorders>
                  <w:noWrap w:val="0"/>
                  <w:vAlign w:val="center"/>
                </w:tcPr>
                <w:p w14:paraId="510191A8">
                  <w:pPr>
                    <w:tabs>
                      <w:tab w:val="left" w:pos="1081"/>
                    </w:tabs>
                    <w:adjustRightInd w:val="0"/>
                    <w:snapToGrid w:val="0"/>
                    <w:jc w:val="center"/>
                    <w:rPr>
                      <w:bCs/>
                      <w:sz w:val="21"/>
                      <w:szCs w:val="21"/>
                    </w:rPr>
                  </w:pPr>
                  <w:r>
                    <w:rPr>
                      <w:bCs/>
                      <w:sz w:val="21"/>
                      <w:szCs w:val="21"/>
                    </w:rPr>
                    <w:t>PM</w:t>
                  </w:r>
                  <w:r>
                    <w:rPr>
                      <w:bCs/>
                      <w:sz w:val="21"/>
                      <w:szCs w:val="21"/>
                      <w:vertAlign w:val="subscript"/>
                    </w:rPr>
                    <w:t>2.5</w:t>
                  </w:r>
                </w:p>
              </w:tc>
              <w:tc>
                <w:tcPr>
                  <w:tcW w:w="1922" w:type="pct"/>
                  <w:tcBorders>
                    <w:top w:val="single" w:color="auto" w:sz="4" w:space="0"/>
                    <w:left w:val="nil"/>
                    <w:bottom w:val="single" w:color="auto" w:sz="4" w:space="0"/>
                    <w:right w:val="single" w:color="auto" w:sz="4" w:space="0"/>
                  </w:tcBorders>
                  <w:noWrap w:val="0"/>
                  <w:vAlign w:val="center"/>
                </w:tcPr>
                <w:p w14:paraId="2AD865CF">
                  <w:pPr>
                    <w:tabs>
                      <w:tab w:val="left" w:pos="1081"/>
                    </w:tabs>
                    <w:adjustRightInd w:val="0"/>
                    <w:snapToGrid w:val="0"/>
                    <w:jc w:val="center"/>
                    <w:rPr>
                      <w:bCs/>
                      <w:sz w:val="21"/>
                      <w:szCs w:val="21"/>
                    </w:rPr>
                  </w:pPr>
                  <w:r>
                    <w:rPr>
                      <w:bCs/>
                      <w:sz w:val="21"/>
                      <w:szCs w:val="21"/>
                    </w:rPr>
                    <w:t>年平均质量浓度</w:t>
                  </w:r>
                </w:p>
              </w:tc>
              <w:tc>
                <w:tcPr>
                  <w:tcW w:w="698" w:type="pct"/>
                  <w:tcBorders>
                    <w:top w:val="single" w:color="auto" w:sz="4" w:space="0"/>
                    <w:left w:val="nil"/>
                    <w:bottom w:val="single" w:color="auto" w:sz="4" w:space="0"/>
                    <w:right w:val="single" w:color="auto" w:sz="4" w:space="0"/>
                  </w:tcBorders>
                  <w:noWrap w:val="0"/>
                  <w:vAlign w:val="center"/>
                </w:tcPr>
                <w:p w14:paraId="2C54CE22">
                  <w:pPr>
                    <w:tabs>
                      <w:tab w:val="left" w:pos="1081"/>
                    </w:tabs>
                    <w:adjustRightInd w:val="0"/>
                    <w:snapToGrid w:val="0"/>
                    <w:jc w:val="center"/>
                    <w:rPr>
                      <w:rFonts w:hint="default" w:eastAsia="宋体"/>
                      <w:bCs/>
                      <w:sz w:val="21"/>
                      <w:szCs w:val="21"/>
                      <w:lang w:val="en-US" w:eastAsia="zh-CN"/>
                    </w:rPr>
                  </w:pPr>
                  <w:r>
                    <w:rPr>
                      <w:rFonts w:hint="eastAsia"/>
                      <w:bCs/>
                      <w:sz w:val="21"/>
                      <w:szCs w:val="21"/>
                      <w:lang w:val="en-US" w:eastAsia="zh-CN"/>
                    </w:rPr>
                    <w:t>39</w:t>
                  </w:r>
                </w:p>
              </w:tc>
              <w:tc>
                <w:tcPr>
                  <w:tcW w:w="709" w:type="pct"/>
                  <w:tcBorders>
                    <w:top w:val="single" w:color="auto" w:sz="4" w:space="0"/>
                    <w:left w:val="nil"/>
                    <w:bottom w:val="single" w:color="auto" w:sz="4" w:space="0"/>
                    <w:right w:val="single" w:color="auto" w:sz="4" w:space="0"/>
                  </w:tcBorders>
                  <w:noWrap w:val="0"/>
                  <w:vAlign w:val="center"/>
                </w:tcPr>
                <w:p w14:paraId="06978EAF">
                  <w:pPr>
                    <w:tabs>
                      <w:tab w:val="left" w:pos="1081"/>
                    </w:tabs>
                    <w:adjustRightInd w:val="0"/>
                    <w:snapToGrid w:val="0"/>
                    <w:jc w:val="center"/>
                    <w:rPr>
                      <w:bCs/>
                      <w:sz w:val="21"/>
                      <w:szCs w:val="21"/>
                    </w:rPr>
                  </w:pPr>
                  <w:r>
                    <w:rPr>
                      <w:bCs/>
                      <w:sz w:val="21"/>
                      <w:szCs w:val="21"/>
                    </w:rPr>
                    <w:t>35</w:t>
                  </w:r>
                </w:p>
              </w:tc>
              <w:tc>
                <w:tcPr>
                  <w:tcW w:w="638" w:type="pct"/>
                  <w:tcBorders>
                    <w:top w:val="single" w:color="auto" w:sz="4" w:space="0"/>
                    <w:left w:val="nil"/>
                    <w:bottom w:val="single" w:color="auto" w:sz="4" w:space="0"/>
                    <w:right w:val="single" w:color="auto" w:sz="4" w:space="0"/>
                  </w:tcBorders>
                  <w:noWrap w:val="0"/>
                  <w:vAlign w:val="center"/>
                </w:tcPr>
                <w:p w14:paraId="0CCBCC8F">
                  <w:pPr>
                    <w:tabs>
                      <w:tab w:val="left" w:pos="1081"/>
                    </w:tabs>
                    <w:adjustRightInd w:val="0"/>
                    <w:snapToGrid w:val="0"/>
                    <w:jc w:val="center"/>
                    <w:rPr>
                      <w:rFonts w:hint="default" w:eastAsia="宋体"/>
                      <w:bCs/>
                      <w:sz w:val="21"/>
                      <w:szCs w:val="21"/>
                      <w:lang w:val="en-US" w:eastAsia="zh-CN"/>
                    </w:rPr>
                  </w:pPr>
                  <w:r>
                    <w:rPr>
                      <w:bCs/>
                      <w:sz w:val="21"/>
                      <w:szCs w:val="21"/>
                    </w:rPr>
                    <w:t>12</w:t>
                  </w:r>
                  <w:r>
                    <w:rPr>
                      <w:rFonts w:hint="eastAsia"/>
                      <w:bCs/>
                      <w:sz w:val="21"/>
                      <w:szCs w:val="21"/>
                      <w:lang w:val="en-US" w:eastAsia="zh-CN"/>
                    </w:rPr>
                    <w:t>8.6</w:t>
                  </w:r>
                </w:p>
              </w:tc>
              <w:tc>
                <w:tcPr>
                  <w:tcW w:w="557" w:type="pct"/>
                  <w:tcBorders>
                    <w:top w:val="single" w:color="auto" w:sz="4" w:space="0"/>
                    <w:left w:val="nil"/>
                    <w:bottom w:val="single" w:color="auto" w:sz="4" w:space="0"/>
                    <w:right w:val="single" w:color="auto" w:sz="4" w:space="0"/>
                  </w:tcBorders>
                  <w:noWrap w:val="0"/>
                  <w:vAlign w:val="center"/>
                </w:tcPr>
                <w:p w14:paraId="2D7DDA00">
                  <w:pPr>
                    <w:tabs>
                      <w:tab w:val="left" w:pos="1081"/>
                    </w:tabs>
                    <w:adjustRightInd w:val="0"/>
                    <w:snapToGrid w:val="0"/>
                    <w:jc w:val="center"/>
                    <w:rPr>
                      <w:bCs/>
                      <w:sz w:val="21"/>
                      <w:szCs w:val="21"/>
                    </w:rPr>
                  </w:pPr>
                  <w:r>
                    <w:rPr>
                      <w:bCs/>
                      <w:sz w:val="21"/>
                      <w:szCs w:val="21"/>
                    </w:rPr>
                    <w:t>超标</w:t>
                  </w:r>
                </w:p>
              </w:tc>
            </w:tr>
            <w:tr w14:paraId="48156D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473" w:type="pct"/>
                  <w:tcBorders>
                    <w:top w:val="single" w:color="auto" w:sz="4" w:space="0"/>
                    <w:left w:val="single" w:color="auto" w:sz="4" w:space="0"/>
                    <w:bottom w:val="single" w:color="auto" w:sz="4" w:space="0"/>
                    <w:right w:val="single" w:color="auto" w:sz="4" w:space="0"/>
                  </w:tcBorders>
                  <w:noWrap w:val="0"/>
                  <w:vAlign w:val="center"/>
                </w:tcPr>
                <w:p w14:paraId="4F78E215">
                  <w:pPr>
                    <w:tabs>
                      <w:tab w:val="left" w:pos="1081"/>
                    </w:tabs>
                    <w:adjustRightInd w:val="0"/>
                    <w:snapToGrid w:val="0"/>
                    <w:jc w:val="center"/>
                    <w:rPr>
                      <w:bCs/>
                      <w:sz w:val="21"/>
                      <w:szCs w:val="21"/>
                    </w:rPr>
                  </w:pPr>
                  <w:r>
                    <w:rPr>
                      <w:bCs/>
                      <w:sz w:val="21"/>
                      <w:szCs w:val="21"/>
                    </w:rPr>
                    <w:t>CO</w:t>
                  </w:r>
                </w:p>
              </w:tc>
              <w:tc>
                <w:tcPr>
                  <w:tcW w:w="1922" w:type="pct"/>
                  <w:tcBorders>
                    <w:top w:val="single" w:color="auto" w:sz="4" w:space="0"/>
                    <w:left w:val="nil"/>
                    <w:bottom w:val="single" w:color="auto" w:sz="4" w:space="0"/>
                    <w:right w:val="single" w:color="auto" w:sz="4" w:space="0"/>
                  </w:tcBorders>
                  <w:noWrap w:val="0"/>
                  <w:vAlign w:val="center"/>
                </w:tcPr>
                <w:p w14:paraId="52AE2A70">
                  <w:pPr>
                    <w:tabs>
                      <w:tab w:val="left" w:pos="1081"/>
                    </w:tabs>
                    <w:adjustRightInd w:val="0"/>
                    <w:snapToGrid w:val="0"/>
                    <w:jc w:val="center"/>
                    <w:rPr>
                      <w:bCs/>
                      <w:sz w:val="21"/>
                      <w:szCs w:val="21"/>
                    </w:rPr>
                  </w:pPr>
                  <w:r>
                    <w:rPr>
                      <w:bCs/>
                      <w:sz w:val="21"/>
                      <w:szCs w:val="21"/>
                    </w:rPr>
                    <w:t>24h平均第95百分位数</w:t>
                  </w:r>
                </w:p>
              </w:tc>
              <w:tc>
                <w:tcPr>
                  <w:tcW w:w="698" w:type="pct"/>
                  <w:tcBorders>
                    <w:top w:val="single" w:color="auto" w:sz="4" w:space="0"/>
                    <w:left w:val="nil"/>
                    <w:bottom w:val="single" w:color="auto" w:sz="4" w:space="0"/>
                    <w:right w:val="single" w:color="auto" w:sz="4" w:space="0"/>
                  </w:tcBorders>
                  <w:noWrap w:val="0"/>
                  <w:vAlign w:val="center"/>
                </w:tcPr>
                <w:p w14:paraId="3FEF3BC6">
                  <w:pPr>
                    <w:tabs>
                      <w:tab w:val="left" w:pos="1081"/>
                    </w:tabs>
                    <w:adjustRightInd w:val="0"/>
                    <w:snapToGrid w:val="0"/>
                    <w:jc w:val="center"/>
                    <w:rPr>
                      <w:bCs/>
                      <w:sz w:val="21"/>
                      <w:szCs w:val="21"/>
                    </w:rPr>
                  </w:pPr>
                  <w:r>
                    <w:rPr>
                      <w:bCs/>
                      <w:sz w:val="21"/>
                      <w:szCs w:val="21"/>
                    </w:rPr>
                    <w:t>1</w:t>
                  </w:r>
                  <w:r>
                    <w:rPr>
                      <w:rFonts w:hint="eastAsia"/>
                      <w:bCs/>
                      <w:sz w:val="21"/>
                      <w:szCs w:val="21"/>
                      <w:lang w:val="en-US" w:eastAsia="zh-CN"/>
                    </w:rPr>
                    <w:t>0</w:t>
                  </w:r>
                  <w:r>
                    <w:rPr>
                      <w:bCs/>
                      <w:sz w:val="21"/>
                      <w:szCs w:val="21"/>
                    </w:rPr>
                    <w:t>00</w:t>
                  </w:r>
                </w:p>
              </w:tc>
              <w:tc>
                <w:tcPr>
                  <w:tcW w:w="709" w:type="pct"/>
                  <w:tcBorders>
                    <w:top w:val="single" w:color="auto" w:sz="4" w:space="0"/>
                    <w:left w:val="nil"/>
                    <w:bottom w:val="single" w:color="auto" w:sz="4" w:space="0"/>
                    <w:right w:val="single" w:color="auto" w:sz="4" w:space="0"/>
                  </w:tcBorders>
                  <w:noWrap w:val="0"/>
                  <w:vAlign w:val="center"/>
                </w:tcPr>
                <w:p w14:paraId="12E73D52">
                  <w:pPr>
                    <w:tabs>
                      <w:tab w:val="left" w:pos="1081"/>
                    </w:tabs>
                    <w:adjustRightInd w:val="0"/>
                    <w:snapToGrid w:val="0"/>
                    <w:jc w:val="center"/>
                    <w:rPr>
                      <w:bCs/>
                      <w:sz w:val="21"/>
                      <w:szCs w:val="21"/>
                    </w:rPr>
                  </w:pPr>
                  <w:r>
                    <w:rPr>
                      <w:bCs/>
                      <w:sz w:val="21"/>
                      <w:szCs w:val="21"/>
                    </w:rPr>
                    <w:t>4000</w:t>
                  </w:r>
                </w:p>
              </w:tc>
              <w:tc>
                <w:tcPr>
                  <w:tcW w:w="638" w:type="pct"/>
                  <w:tcBorders>
                    <w:top w:val="single" w:color="auto" w:sz="4" w:space="0"/>
                    <w:left w:val="nil"/>
                    <w:bottom w:val="single" w:color="auto" w:sz="4" w:space="0"/>
                    <w:right w:val="single" w:color="auto" w:sz="4" w:space="0"/>
                  </w:tcBorders>
                  <w:noWrap w:val="0"/>
                  <w:vAlign w:val="center"/>
                </w:tcPr>
                <w:p w14:paraId="47E4675D">
                  <w:pPr>
                    <w:tabs>
                      <w:tab w:val="left" w:pos="1081"/>
                    </w:tabs>
                    <w:adjustRightInd w:val="0"/>
                    <w:snapToGrid w:val="0"/>
                    <w:jc w:val="center"/>
                    <w:rPr>
                      <w:rFonts w:hint="default" w:eastAsia="宋体"/>
                      <w:bCs/>
                      <w:sz w:val="21"/>
                      <w:szCs w:val="21"/>
                      <w:lang w:val="en-US" w:eastAsia="zh-CN"/>
                    </w:rPr>
                  </w:pPr>
                  <w:r>
                    <w:rPr>
                      <w:rFonts w:hint="eastAsia"/>
                      <w:bCs/>
                      <w:sz w:val="21"/>
                      <w:szCs w:val="21"/>
                      <w:lang w:val="en-US" w:eastAsia="zh-CN"/>
                    </w:rPr>
                    <w:t>25</w:t>
                  </w:r>
                </w:p>
              </w:tc>
              <w:tc>
                <w:tcPr>
                  <w:tcW w:w="557" w:type="pct"/>
                  <w:tcBorders>
                    <w:top w:val="single" w:color="auto" w:sz="4" w:space="0"/>
                    <w:left w:val="nil"/>
                    <w:bottom w:val="single" w:color="auto" w:sz="4" w:space="0"/>
                    <w:right w:val="single" w:color="auto" w:sz="4" w:space="0"/>
                  </w:tcBorders>
                  <w:noWrap w:val="0"/>
                  <w:vAlign w:val="center"/>
                </w:tcPr>
                <w:p w14:paraId="5229BD8F">
                  <w:pPr>
                    <w:tabs>
                      <w:tab w:val="left" w:pos="1081"/>
                    </w:tabs>
                    <w:adjustRightInd w:val="0"/>
                    <w:snapToGrid w:val="0"/>
                    <w:jc w:val="center"/>
                    <w:rPr>
                      <w:bCs/>
                      <w:sz w:val="21"/>
                      <w:szCs w:val="21"/>
                    </w:rPr>
                  </w:pPr>
                  <w:r>
                    <w:rPr>
                      <w:bCs/>
                      <w:sz w:val="21"/>
                      <w:szCs w:val="21"/>
                    </w:rPr>
                    <w:t>达标</w:t>
                  </w:r>
                </w:p>
              </w:tc>
            </w:tr>
            <w:tr w14:paraId="4890C9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473" w:type="pct"/>
                  <w:tcBorders>
                    <w:top w:val="single" w:color="auto" w:sz="4" w:space="0"/>
                    <w:left w:val="single" w:color="auto" w:sz="4" w:space="0"/>
                    <w:bottom w:val="single" w:color="auto" w:sz="4" w:space="0"/>
                    <w:right w:val="single" w:color="auto" w:sz="4" w:space="0"/>
                  </w:tcBorders>
                  <w:noWrap w:val="0"/>
                  <w:vAlign w:val="center"/>
                </w:tcPr>
                <w:p w14:paraId="7B4F4A33">
                  <w:pPr>
                    <w:tabs>
                      <w:tab w:val="left" w:pos="1081"/>
                    </w:tabs>
                    <w:adjustRightInd w:val="0"/>
                    <w:snapToGrid w:val="0"/>
                    <w:jc w:val="center"/>
                    <w:rPr>
                      <w:bCs/>
                      <w:sz w:val="21"/>
                      <w:szCs w:val="21"/>
                    </w:rPr>
                  </w:pPr>
                  <w:r>
                    <w:rPr>
                      <w:bCs/>
                      <w:sz w:val="21"/>
                      <w:szCs w:val="21"/>
                    </w:rPr>
                    <w:t>O</w:t>
                  </w:r>
                  <w:r>
                    <w:rPr>
                      <w:bCs/>
                      <w:sz w:val="21"/>
                      <w:szCs w:val="21"/>
                      <w:vertAlign w:val="subscript"/>
                    </w:rPr>
                    <w:t>3</w:t>
                  </w:r>
                </w:p>
              </w:tc>
              <w:tc>
                <w:tcPr>
                  <w:tcW w:w="1922" w:type="pct"/>
                  <w:tcBorders>
                    <w:top w:val="single" w:color="auto" w:sz="4" w:space="0"/>
                    <w:left w:val="nil"/>
                    <w:bottom w:val="single" w:color="auto" w:sz="4" w:space="0"/>
                    <w:right w:val="single" w:color="auto" w:sz="4" w:space="0"/>
                  </w:tcBorders>
                  <w:noWrap w:val="0"/>
                  <w:vAlign w:val="center"/>
                </w:tcPr>
                <w:p w14:paraId="26A69BE5">
                  <w:pPr>
                    <w:tabs>
                      <w:tab w:val="left" w:pos="1081"/>
                    </w:tabs>
                    <w:adjustRightInd w:val="0"/>
                    <w:snapToGrid w:val="0"/>
                    <w:jc w:val="center"/>
                    <w:rPr>
                      <w:bCs/>
                      <w:sz w:val="21"/>
                      <w:szCs w:val="21"/>
                    </w:rPr>
                  </w:pPr>
                  <w:r>
                    <w:rPr>
                      <w:bCs/>
                      <w:sz w:val="21"/>
                      <w:szCs w:val="21"/>
                    </w:rPr>
                    <w:t>日最大8h平均第90百分位数</w:t>
                  </w:r>
                </w:p>
              </w:tc>
              <w:tc>
                <w:tcPr>
                  <w:tcW w:w="698" w:type="pct"/>
                  <w:tcBorders>
                    <w:top w:val="single" w:color="auto" w:sz="4" w:space="0"/>
                    <w:left w:val="nil"/>
                    <w:bottom w:val="single" w:color="auto" w:sz="4" w:space="0"/>
                    <w:right w:val="single" w:color="auto" w:sz="4" w:space="0"/>
                  </w:tcBorders>
                  <w:noWrap w:val="0"/>
                  <w:vAlign w:val="center"/>
                </w:tcPr>
                <w:p w14:paraId="2E0A05C8">
                  <w:pPr>
                    <w:tabs>
                      <w:tab w:val="left" w:pos="1081"/>
                    </w:tabs>
                    <w:adjustRightInd w:val="0"/>
                    <w:snapToGrid w:val="0"/>
                    <w:jc w:val="center"/>
                    <w:rPr>
                      <w:rFonts w:hint="default" w:eastAsia="宋体"/>
                      <w:bCs/>
                      <w:sz w:val="21"/>
                      <w:szCs w:val="21"/>
                      <w:lang w:val="en-US" w:eastAsia="zh-CN"/>
                    </w:rPr>
                  </w:pPr>
                  <w:r>
                    <w:rPr>
                      <w:bCs/>
                      <w:sz w:val="21"/>
                      <w:szCs w:val="21"/>
                    </w:rPr>
                    <w:t>1</w:t>
                  </w:r>
                  <w:r>
                    <w:rPr>
                      <w:rFonts w:hint="eastAsia"/>
                      <w:bCs/>
                      <w:sz w:val="21"/>
                      <w:szCs w:val="21"/>
                      <w:lang w:val="en-US" w:eastAsia="zh-CN"/>
                    </w:rPr>
                    <w:t>47</w:t>
                  </w:r>
                </w:p>
              </w:tc>
              <w:tc>
                <w:tcPr>
                  <w:tcW w:w="709" w:type="pct"/>
                  <w:tcBorders>
                    <w:top w:val="single" w:color="auto" w:sz="4" w:space="0"/>
                    <w:left w:val="nil"/>
                    <w:bottom w:val="single" w:color="auto" w:sz="4" w:space="0"/>
                    <w:right w:val="single" w:color="auto" w:sz="4" w:space="0"/>
                  </w:tcBorders>
                  <w:noWrap w:val="0"/>
                  <w:vAlign w:val="center"/>
                </w:tcPr>
                <w:p w14:paraId="019B915D">
                  <w:pPr>
                    <w:tabs>
                      <w:tab w:val="left" w:pos="1081"/>
                    </w:tabs>
                    <w:adjustRightInd w:val="0"/>
                    <w:snapToGrid w:val="0"/>
                    <w:jc w:val="center"/>
                    <w:rPr>
                      <w:bCs/>
                      <w:sz w:val="21"/>
                      <w:szCs w:val="21"/>
                    </w:rPr>
                  </w:pPr>
                  <w:r>
                    <w:rPr>
                      <w:bCs/>
                      <w:sz w:val="21"/>
                      <w:szCs w:val="21"/>
                    </w:rPr>
                    <w:t>160</w:t>
                  </w:r>
                </w:p>
              </w:tc>
              <w:tc>
                <w:tcPr>
                  <w:tcW w:w="638" w:type="pct"/>
                  <w:tcBorders>
                    <w:top w:val="single" w:color="auto" w:sz="4" w:space="0"/>
                    <w:left w:val="nil"/>
                    <w:bottom w:val="single" w:color="auto" w:sz="4" w:space="0"/>
                    <w:right w:val="single" w:color="auto" w:sz="4" w:space="0"/>
                  </w:tcBorders>
                  <w:noWrap w:val="0"/>
                  <w:vAlign w:val="center"/>
                </w:tcPr>
                <w:p w14:paraId="49F50EB0">
                  <w:pPr>
                    <w:tabs>
                      <w:tab w:val="left" w:pos="1081"/>
                    </w:tabs>
                    <w:adjustRightInd w:val="0"/>
                    <w:snapToGrid w:val="0"/>
                    <w:jc w:val="center"/>
                    <w:rPr>
                      <w:rFonts w:hint="default" w:eastAsia="宋体"/>
                      <w:bCs/>
                      <w:sz w:val="21"/>
                      <w:szCs w:val="21"/>
                      <w:lang w:val="en-US" w:eastAsia="zh-CN"/>
                    </w:rPr>
                  </w:pPr>
                  <w:r>
                    <w:rPr>
                      <w:rFonts w:hint="eastAsia"/>
                      <w:bCs/>
                      <w:sz w:val="21"/>
                      <w:szCs w:val="21"/>
                      <w:lang w:val="en-US" w:eastAsia="zh-CN"/>
                    </w:rPr>
                    <w:t>91.9</w:t>
                  </w:r>
                </w:p>
              </w:tc>
              <w:tc>
                <w:tcPr>
                  <w:tcW w:w="557" w:type="pct"/>
                  <w:tcBorders>
                    <w:top w:val="single" w:color="auto" w:sz="4" w:space="0"/>
                    <w:left w:val="nil"/>
                    <w:bottom w:val="single" w:color="auto" w:sz="4" w:space="0"/>
                    <w:right w:val="single" w:color="auto" w:sz="4" w:space="0"/>
                  </w:tcBorders>
                  <w:noWrap w:val="0"/>
                  <w:vAlign w:val="center"/>
                </w:tcPr>
                <w:p w14:paraId="314739C6">
                  <w:pPr>
                    <w:tabs>
                      <w:tab w:val="left" w:pos="1081"/>
                    </w:tabs>
                    <w:adjustRightInd w:val="0"/>
                    <w:snapToGrid w:val="0"/>
                    <w:jc w:val="center"/>
                    <w:rPr>
                      <w:bCs/>
                      <w:sz w:val="21"/>
                      <w:szCs w:val="21"/>
                    </w:rPr>
                  </w:pPr>
                  <w:r>
                    <w:rPr>
                      <w:bCs/>
                      <w:sz w:val="21"/>
                      <w:szCs w:val="21"/>
                    </w:rPr>
                    <w:t>达标</w:t>
                  </w:r>
                </w:p>
              </w:tc>
            </w:tr>
          </w:tbl>
          <w:p w14:paraId="349D68C4">
            <w:pPr>
              <w:spacing w:line="360" w:lineRule="auto"/>
              <w:ind w:firstLine="480" w:firstLineChars="200"/>
              <w:rPr>
                <w:bCs/>
                <w:sz w:val="24"/>
              </w:rPr>
            </w:pPr>
            <w:r>
              <w:rPr>
                <w:bCs/>
                <w:sz w:val="24"/>
              </w:rPr>
              <w:t>由上表可知，</w:t>
            </w:r>
            <w:r>
              <w:rPr>
                <w:rFonts w:hint="eastAsia"/>
                <w:bCs/>
                <w:sz w:val="24"/>
                <w:lang w:val="en-US" w:eastAsia="zh-CN"/>
              </w:rPr>
              <w:t>方城县</w:t>
            </w:r>
            <w:r>
              <w:rPr>
                <w:rFonts w:hint="default"/>
                <w:bCs/>
                <w:sz w:val="24"/>
                <w:lang w:val="en-US" w:eastAsia="zh-CN"/>
              </w:rPr>
              <w:t>2023</w:t>
            </w:r>
            <w:r>
              <w:rPr>
                <w:rFonts w:hint="eastAsia"/>
                <w:bCs/>
                <w:sz w:val="24"/>
                <w:lang w:val="en-US" w:eastAsia="zh-CN"/>
              </w:rPr>
              <w:t>年环境空气中</w:t>
            </w:r>
            <w:r>
              <w:rPr>
                <w:rFonts w:hint="default"/>
                <w:bCs/>
                <w:sz w:val="24"/>
                <w:lang w:val="en-US" w:eastAsia="zh-CN"/>
              </w:rPr>
              <w:t>SO</w:t>
            </w:r>
            <w:r>
              <w:rPr>
                <w:rFonts w:hint="default"/>
                <w:bCs/>
                <w:sz w:val="24"/>
                <w:vertAlign w:val="subscript"/>
                <w:lang w:val="en-US" w:eastAsia="zh-CN"/>
              </w:rPr>
              <w:t>2</w:t>
            </w:r>
            <w:r>
              <w:rPr>
                <w:rFonts w:hint="eastAsia"/>
                <w:bCs/>
                <w:sz w:val="24"/>
                <w:lang w:val="en-US" w:eastAsia="zh-CN"/>
              </w:rPr>
              <w:t>、</w:t>
            </w:r>
            <w:r>
              <w:rPr>
                <w:rFonts w:hint="default"/>
                <w:bCs/>
                <w:sz w:val="24"/>
                <w:lang w:val="en-US" w:eastAsia="zh-CN"/>
              </w:rPr>
              <w:t>NO</w:t>
            </w:r>
            <w:r>
              <w:rPr>
                <w:rFonts w:hint="default"/>
                <w:bCs/>
                <w:sz w:val="24"/>
                <w:vertAlign w:val="subscript"/>
                <w:lang w:val="en-US" w:eastAsia="zh-CN"/>
              </w:rPr>
              <w:t>2</w:t>
            </w:r>
            <w:r>
              <w:rPr>
                <w:rFonts w:hint="eastAsia"/>
                <w:bCs/>
                <w:sz w:val="24"/>
                <w:lang w:val="en-US" w:eastAsia="zh-CN"/>
              </w:rPr>
              <w:t>年均浓度和</w:t>
            </w:r>
            <w:r>
              <w:rPr>
                <w:rFonts w:hint="default"/>
                <w:bCs/>
                <w:sz w:val="24"/>
                <w:lang w:val="en-US" w:eastAsia="zh-CN"/>
              </w:rPr>
              <w:t>CO</w:t>
            </w:r>
            <w:r>
              <w:rPr>
                <w:rFonts w:hint="eastAsia"/>
                <w:bCs/>
                <w:sz w:val="24"/>
                <w:lang w:val="en-US" w:eastAsia="zh-CN"/>
              </w:rPr>
              <w:t>、</w:t>
            </w:r>
            <w:r>
              <w:rPr>
                <w:rFonts w:hint="default"/>
                <w:bCs/>
                <w:sz w:val="24"/>
                <w:lang w:val="en-US" w:eastAsia="zh-CN"/>
              </w:rPr>
              <w:t>O</w:t>
            </w:r>
            <w:r>
              <w:rPr>
                <w:rFonts w:hint="default"/>
                <w:bCs/>
                <w:sz w:val="24"/>
                <w:vertAlign w:val="subscript"/>
                <w:lang w:val="en-US" w:eastAsia="zh-CN"/>
              </w:rPr>
              <w:t>3</w:t>
            </w:r>
            <w:r>
              <w:rPr>
                <w:rFonts w:hint="eastAsia"/>
                <w:bCs/>
                <w:sz w:val="24"/>
                <w:lang w:val="en-US" w:eastAsia="zh-CN"/>
              </w:rPr>
              <w:t>日均 浓度均能够满足《环境空气质量标准》（</w:t>
            </w:r>
            <w:r>
              <w:rPr>
                <w:rFonts w:hint="default"/>
                <w:bCs/>
                <w:sz w:val="24"/>
                <w:lang w:val="en-US" w:eastAsia="zh-CN"/>
              </w:rPr>
              <w:t>GB3095-2012</w:t>
            </w:r>
            <w:r>
              <w:rPr>
                <w:rFonts w:hint="eastAsia"/>
                <w:bCs/>
                <w:sz w:val="24"/>
                <w:lang w:val="en-US" w:eastAsia="zh-CN"/>
              </w:rPr>
              <w:t>）二级标准要求；</w:t>
            </w:r>
            <w:r>
              <w:rPr>
                <w:bCs/>
                <w:sz w:val="24"/>
              </w:rPr>
              <w:t>PM</w:t>
            </w:r>
            <w:r>
              <w:rPr>
                <w:bCs/>
                <w:sz w:val="24"/>
                <w:vertAlign w:val="subscript"/>
              </w:rPr>
              <w:t>10</w:t>
            </w:r>
            <w:r>
              <w:rPr>
                <w:bCs/>
                <w:sz w:val="24"/>
              </w:rPr>
              <w:t>、PM</w:t>
            </w:r>
            <w:r>
              <w:rPr>
                <w:bCs/>
                <w:sz w:val="24"/>
                <w:vertAlign w:val="subscript"/>
              </w:rPr>
              <w:t>2.</w:t>
            </w:r>
            <w:r>
              <w:rPr>
                <w:rFonts w:hint="eastAsia"/>
                <w:bCs/>
                <w:sz w:val="24"/>
                <w:vertAlign w:val="subscript"/>
                <w:lang w:val="en-US" w:eastAsia="zh-CN"/>
              </w:rPr>
              <w:t>5</w:t>
            </w:r>
            <w:r>
              <w:rPr>
                <w:rFonts w:hint="eastAsia"/>
                <w:bCs/>
                <w:sz w:val="24"/>
                <w:lang w:val="en-US" w:eastAsia="zh-CN"/>
              </w:rPr>
              <w:t>年均浓度不能满足《环境空气质量标准》（</w:t>
            </w:r>
            <w:r>
              <w:rPr>
                <w:rFonts w:hint="default"/>
                <w:bCs/>
                <w:sz w:val="24"/>
                <w:lang w:val="en-US" w:eastAsia="zh-CN"/>
              </w:rPr>
              <w:t>GB3095-2012</w:t>
            </w:r>
            <w:r>
              <w:rPr>
                <w:rFonts w:hint="eastAsia"/>
                <w:bCs/>
                <w:sz w:val="24"/>
                <w:lang w:val="en-US" w:eastAsia="zh-CN"/>
              </w:rPr>
              <w:t>）二级标准要求，因此，项目所在区域环境空气质量现状判定为不达标区。</w:t>
            </w:r>
          </w:p>
          <w:p w14:paraId="5A37E7B4">
            <w:pPr>
              <w:spacing w:line="360" w:lineRule="auto"/>
              <w:ind w:firstLine="480" w:firstLineChars="200"/>
              <w:rPr>
                <w:sz w:val="24"/>
                <w:lang w:eastAsia="zh-TW" w:bidi="ar"/>
              </w:rPr>
            </w:pPr>
            <w:r>
              <w:rPr>
                <w:sz w:val="24"/>
                <w:lang w:eastAsia="zh-TW" w:bidi="ar"/>
              </w:rPr>
              <w:t>为此，南阳市生态环境保护委员会已经制定了《南阳市2025年蓝天保卫战实施方案》（宛环委办〔2025〕5号），南阳市深入贯彻习近平生态文明思想，认真落实全国生态环境保护大会精神和省委省政府、市委市政府部署要求，以改善环境空气质量为核心，以降低细颗粒物（PM</w:t>
            </w:r>
            <w:r>
              <w:rPr>
                <w:sz w:val="24"/>
                <w:vertAlign w:val="subscript"/>
                <w:lang w:eastAsia="zh-TW" w:bidi="ar"/>
              </w:rPr>
              <w:t>2.5</w:t>
            </w:r>
            <w:r>
              <w:rPr>
                <w:sz w:val="24"/>
                <w:lang w:eastAsia="zh-TW" w:bidi="ar"/>
              </w:rPr>
              <w:t>）浓度为主线，深入开展结构优化升级、工业企业提标治理、移动源污染排放控制、面源污染防控、重污染天气应对、监管能力提升六个专项攻坚行动，加快推动发展方式绿色低碳转型，为推进美丽南阳建设贡献力量</w:t>
            </w:r>
            <w:r>
              <w:rPr>
                <w:rFonts w:hint="eastAsia"/>
                <w:sz w:val="24"/>
                <w:lang w:bidi="ar"/>
              </w:rPr>
              <w:t>，</w:t>
            </w:r>
            <w:r>
              <w:rPr>
                <w:sz w:val="24"/>
                <w:lang w:eastAsia="zh-TW" w:bidi="ar"/>
              </w:rPr>
              <w:t>为高水平建强省域副中心城市提供生态保障。</w:t>
            </w:r>
          </w:p>
          <w:p w14:paraId="2D9A6FA0">
            <w:pPr>
              <w:tabs>
                <w:tab w:val="left" w:pos="1081"/>
              </w:tabs>
              <w:spacing w:line="360" w:lineRule="auto"/>
              <w:ind w:firstLine="482" w:firstLineChars="200"/>
              <w:rPr>
                <w:b/>
                <w:sz w:val="24"/>
              </w:rPr>
            </w:pPr>
            <w:r>
              <w:rPr>
                <w:b/>
                <w:sz w:val="24"/>
              </w:rPr>
              <w:t>2、地表水环境质量现状</w:t>
            </w:r>
          </w:p>
          <w:p w14:paraId="58F73C98">
            <w:pPr>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rPr>
              <w:t>项目区附近地表水体主要为</w:t>
            </w:r>
            <w:r>
              <w:rPr>
                <w:rFonts w:hint="default" w:ascii="Times New Roman" w:hAnsi="Times New Roman" w:cs="Times New Roman"/>
                <w:sz w:val="24"/>
                <w:lang w:val="en-US" w:eastAsia="zh-CN"/>
              </w:rPr>
              <w:t>北</w:t>
            </w:r>
            <w:r>
              <w:rPr>
                <w:rFonts w:hint="default" w:ascii="Times New Roman" w:hAnsi="Times New Roman" w:cs="Times New Roman"/>
                <w:sz w:val="24"/>
              </w:rPr>
              <w:t>侧</w:t>
            </w:r>
            <w:r>
              <w:rPr>
                <w:rFonts w:hint="default" w:ascii="Times New Roman" w:hAnsi="Times New Roman" w:cs="Times New Roman"/>
                <w:sz w:val="24"/>
                <w:lang w:val="en-US" w:eastAsia="zh-CN"/>
              </w:rPr>
              <w:t>39</w:t>
            </w:r>
            <w:r>
              <w:rPr>
                <w:rFonts w:hint="default" w:ascii="Times New Roman" w:hAnsi="Times New Roman" w:cs="Times New Roman"/>
                <w:sz w:val="24"/>
              </w:rPr>
              <w:t>m的</w:t>
            </w:r>
            <w:r>
              <w:rPr>
                <w:rFonts w:hint="default" w:ascii="Times New Roman" w:hAnsi="Times New Roman" w:cs="Times New Roman"/>
                <w:sz w:val="24"/>
                <w:lang w:val="en-US" w:eastAsia="zh-CN"/>
              </w:rPr>
              <w:t>澧</w:t>
            </w:r>
            <w:r>
              <w:rPr>
                <w:rFonts w:hint="default" w:ascii="Times New Roman" w:hAnsi="Times New Roman" w:cs="Times New Roman"/>
                <w:sz w:val="24"/>
              </w:rPr>
              <w:t>河。</w:t>
            </w:r>
            <w:r>
              <w:rPr>
                <w:rFonts w:hint="default" w:ascii="Times New Roman" w:hAnsi="Times New Roman" w:cs="Times New Roman"/>
                <w:sz w:val="24"/>
                <w:highlight w:val="none"/>
              </w:rPr>
              <w:t>项目区雨水经厂区雨水排放口依地势排入项目西侧的</w:t>
            </w:r>
            <w:r>
              <w:rPr>
                <w:rFonts w:hint="default" w:ascii="Times New Roman" w:hAnsi="Times New Roman" w:cs="Times New Roman"/>
                <w:sz w:val="24"/>
                <w:highlight w:val="none"/>
                <w:lang w:val="en-US" w:eastAsia="zh-CN"/>
              </w:rPr>
              <w:t>自然沟，再向北流入</w:t>
            </w:r>
            <w:r>
              <w:rPr>
                <w:rFonts w:hint="default" w:ascii="Times New Roman" w:hAnsi="Times New Roman" w:cs="Times New Roman"/>
                <w:sz w:val="24"/>
                <w:lang w:val="en-US" w:eastAsia="zh-CN"/>
              </w:rPr>
              <w:t>澧</w:t>
            </w:r>
            <w:r>
              <w:rPr>
                <w:rFonts w:hint="default" w:ascii="Times New Roman" w:hAnsi="Times New Roman" w:cs="Times New Roman"/>
                <w:sz w:val="24"/>
              </w:rPr>
              <w:t>河</w:t>
            </w:r>
            <w:r>
              <w:rPr>
                <w:rFonts w:hint="default" w:ascii="Times New Roman" w:hAnsi="Times New Roman" w:cs="Times New Roman"/>
                <w:sz w:val="24"/>
                <w:highlight w:val="none"/>
              </w:rPr>
              <w:t>，</w:t>
            </w:r>
            <w:r>
              <w:rPr>
                <w:rFonts w:hint="default" w:ascii="Times New Roman" w:hAnsi="Times New Roman" w:cs="Times New Roman"/>
                <w:sz w:val="24"/>
                <w:highlight w:val="none"/>
                <w:lang w:val="en-US" w:eastAsia="zh-CN"/>
              </w:rPr>
              <w:t>最终</w:t>
            </w:r>
            <w:r>
              <w:rPr>
                <w:rFonts w:hint="default" w:ascii="Times New Roman" w:hAnsi="Times New Roman" w:cs="Times New Roman"/>
                <w:sz w:val="24"/>
                <w:highlight w:val="none"/>
              </w:rPr>
              <w:t>汇入</w:t>
            </w:r>
            <w:r>
              <w:rPr>
                <w:rFonts w:hint="default" w:ascii="Times New Roman" w:hAnsi="Times New Roman" w:cs="Times New Roman"/>
                <w:sz w:val="24"/>
                <w:highlight w:val="none"/>
                <w:lang w:val="en-US" w:eastAsia="zh-CN"/>
              </w:rPr>
              <w:t>沙</w:t>
            </w:r>
            <w:r>
              <w:rPr>
                <w:rFonts w:hint="default" w:ascii="Times New Roman" w:hAnsi="Times New Roman" w:cs="Times New Roman"/>
                <w:sz w:val="24"/>
                <w:highlight w:val="none"/>
              </w:rPr>
              <w:t>河</w:t>
            </w:r>
            <w:r>
              <w:rPr>
                <w:rFonts w:hint="default" w:ascii="Times New Roman" w:hAnsi="Times New Roman" w:cs="Times New Roman"/>
                <w:sz w:val="24"/>
              </w:rPr>
              <w:t>；</w:t>
            </w:r>
            <w:r>
              <w:rPr>
                <w:rFonts w:hint="default" w:ascii="Times New Roman" w:hAnsi="Times New Roman" w:cs="Times New Roman"/>
                <w:sz w:val="24"/>
                <w:szCs w:val="24"/>
                <w:highlight w:val="none"/>
              </w:rPr>
              <w:t>且</w:t>
            </w:r>
            <w:r>
              <w:rPr>
                <w:rFonts w:hint="default" w:ascii="Times New Roman" w:hAnsi="Times New Roman" w:cs="Times New Roman"/>
                <w:sz w:val="24"/>
                <w:szCs w:val="24"/>
                <w:highlight w:val="none"/>
                <w:lang w:val="en-US" w:eastAsia="zh-CN"/>
              </w:rPr>
              <w:t>本项目</w:t>
            </w:r>
            <w:r>
              <w:rPr>
                <w:rFonts w:hint="default" w:ascii="Times New Roman" w:hAnsi="Times New Roman" w:eastAsia="宋体" w:cs="Times New Roman"/>
                <w:color w:val="auto"/>
                <w:sz w:val="24"/>
                <w:szCs w:val="24"/>
                <w:highlight w:val="none"/>
                <w:u w:val="none" w:color="auto"/>
              </w:rPr>
              <w:t>生活污水经经化粪池（容积</w:t>
            </w:r>
            <w:r>
              <w:rPr>
                <w:rFonts w:hint="eastAsia" w:cs="Times New Roman"/>
                <w:color w:val="auto"/>
                <w:sz w:val="24"/>
                <w:szCs w:val="24"/>
                <w:highlight w:val="none"/>
                <w:u w:val="none" w:color="auto"/>
                <w:lang w:val="en-US" w:eastAsia="zh-CN"/>
              </w:rPr>
              <w:t>10</w:t>
            </w:r>
            <w:r>
              <w:rPr>
                <w:rFonts w:hint="default" w:ascii="Times New Roman" w:hAnsi="Times New Roman" w:eastAsia="宋体" w:cs="Times New Roman"/>
                <w:color w:val="auto"/>
                <w:sz w:val="24"/>
                <w:szCs w:val="24"/>
                <w:highlight w:val="none"/>
                <w:u w:val="none" w:color="auto"/>
              </w:rPr>
              <w:t>m</w:t>
            </w:r>
            <w:r>
              <w:rPr>
                <w:rFonts w:hint="default" w:ascii="Times New Roman" w:hAnsi="Times New Roman" w:eastAsia="宋体" w:cs="Times New Roman"/>
                <w:color w:val="auto"/>
                <w:sz w:val="24"/>
                <w:szCs w:val="24"/>
                <w:highlight w:val="none"/>
                <w:u w:val="none" w:color="auto"/>
                <w:vertAlign w:val="superscript"/>
              </w:rPr>
              <w:t>3</w:t>
            </w:r>
            <w:r>
              <w:rPr>
                <w:rFonts w:hint="default" w:ascii="Times New Roman" w:hAnsi="Times New Roman" w:eastAsia="宋体" w:cs="Times New Roman"/>
                <w:color w:val="auto"/>
                <w:sz w:val="24"/>
                <w:szCs w:val="24"/>
                <w:highlight w:val="none"/>
                <w:u w:val="none" w:color="auto"/>
              </w:rPr>
              <w:t>，三防措施）处理后用于周边农田的施肥</w:t>
            </w:r>
            <w:r>
              <w:rPr>
                <w:rFonts w:hint="default" w:ascii="Times New Roman" w:hAnsi="Times New Roman" w:cs="Times New Roman"/>
                <w:sz w:val="24"/>
                <w:highlight w:val="none"/>
              </w:rPr>
              <w:t>；</w:t>
            </w:r>
            <w:r>
              <w:rPr>
                <w:rFonts w:hint="default" w:ascii="Times New Roman" w:hAnsi="Times New Roman" w:cs="Times New Roman"/>
                <w:sz w:val="24"/>
                <w:lang w:val="en-US" w:eastAsia="zh-CN"/>
              </w:rPr>
              <w:t>2023年南阳市33个监测断面全部优于或符合Ⅲ类标准。因此，澧河能够满足《地表水环境质量标准》（GB3838-2002）中Ⅲ类标准要求，项目区域为地表水环境达标区。</w:t>
            </w:r>
          </w:p>
          <w:p w14:paraId="1CDA9212">
            <w:pPr>
              <w:tabs>
                <w:tab w:val="left" w:pos="1081"/>
              </w:tabs>
              <w:spacing w:line="360" w:lineRule="auto"/>
              <w:ind w:firstLine="482" w:firstLineChars="200"/>
              <w:rPr>
                <w:b/>
                <w:sz w:val="24"/>
              </w:rPr>
            </w:pPr>
            <w:r>
              <w:rPr>
                <w:b/>
                <w:sz w:val="24"/>
              </w:rPr>
              <w:t>3、声环境质量现状</w:t>
            </w:r>
          </w:p>
          <w:p w14:paraId="3E388247">
            <w:pPr>
              <w:spacing w:line="360" w:lineRule="auto"/>
              <w:ind w:firstLine="480" w:firstLineChars="200"/>
              <w:rPr>
                <w:sz w:val="24"/>
              </w:rPr>
            </w:pPr>
            <w:r>
              <w:rPr>
                <w:sz w:val="24"/>
              </w:rPr>
              <w:t>项目选址位于</w:t>
            </w:r>
            <w:r>
              <w:rPr>
                <w:rFonts w:hint="default"/>
                <w:sz w:val="24"/>
                <w:lang w:eastAsia="zh-CN"/>
              </w:rPr>
              <w:t>南阳市方城县四里店镇小店村何家庄</w:t>
            </w:r>
            <w:r>
              <w:rPr>
                <w:sz w:val="24"/>
              </w:rPr>
              <w:t>，项目区50米范围内无声环境保护目标，根据《建设项目环境影响报告表编制技术指南（污染影响类）（试行）》相关内容，本项目不需进行声环境质量现状监测，项目区周围无明显的噪声污染源，项目区域声环境质量现状执行《声环境质量标准》（GB3096-2008）2类标准要求。</w:t>
            </w:r>
          </w:p>
          <w:p w14:paraId="6ADA5F57">
            <w:pPr>
              <w:tabs>
                <w:tab w:val="left" w:pos="1081"/>
              </w:tabs>
              <w:spacing w:line="360" w:lineRule="auto"/>
              <w:ind w:firstLine="482" w:firstLineChars="200"/>
              <w:rPr>
                <w:b/>
                <w:sz w:val="24"/>
              </w:rPr>
            </w:pPr>
            <w:r>
              <w:rPr>
                <w:b/>
                <w:sz w:val="24"/>
              </w:rPr>
              <w:t>4、地下水、土壤环境质量现状</w:t>
            </w:r>
          </w:p>
          <w:p w14:paraId="3BCA54E5">
            <w:pPr>
              <w:spacing w:line="360" w:lineRule="auto"/>
              <w:ind w:firstLine="480" w:firstLineChars="200"/>
              <w:rPr>
                <w:color w:val="000000"/>
                <w:sz w:val="24"/>
              </w:rPr>
            </w:pPr>
            <w:r>
              <w:rPr>
                <w:rFonts w:hint="default"/>
                <w:color w:val="000000"/>
                <w:sz w:val="24"/>
              </w:rPr>
              <w:t>本项目</w:t>
            </w:r>
            <w:r>
              <w:rPr>
                <w:rFonts w:hint="eastAsia"/>
                <w:color w:val="000000"/>
                <w:sz w:val="24"/>
                <w:lang w:val="en-US" w:eastAsia="zh-CN"/>
              </w:rPr>
              <w:t>生产车间</w:t>
            </w:r>
            <w:r>
              <w:rPr>
                <w:rFonts w:hint="default"/>
                <w:color w:val="000000"/>
                <w:sz w:val="24"/>
              </w:rPr>
              <w:t>等地采取一般防渗，危废暂存间采取重点防渗，营运期做好防渗措施后不存在地下水、土壤污染途径，因此项目可不开展地下水、土壤环境质量现状调查。</w:t>
            </w:r>
          </w:p>
          <w:p w14:paraId="5ABD97F5">
            <w:pPr>
              <w:tabs>
                <w:tab w:val="left" w:pos="1081"/>
              </w:tabs>
              <w:spacing w:line="360" w:lineRule="auto"/>
              <w:ind w:firstLine="482" w:firstLineChars="200"/>
              <w:rPr>
                <w:b/>
                <w:sz w:val="24"/>
              </w:rPr>
            </w:pPr>
            <w:r>
              <w:rPr>
                <w:b/>
                <w:sz w:val="24"/>
              </w:rPr>
              <w:t>5、生态环境质量现状</w:t>
            </w:r>
          </w:p>
          <w:p w14:paraId="79810580">
            <w:pPr>
              <w:tabs>
                <w:tab w:val="left" w:pos="1081"/>
              </w:tabs>
              <w:adjustRightInd w:val="0"/>
              <w:snapToGrid w:val="0"/>
              <w:spacing w:line="360" w:lineRule="auto"/>
              <w:ind w:firstLine="480" w:firstLineChars="200"/>
              <w:rPr>
                <w:kern w:val="0"/>
                <w:sz w:val="24"/>
              </w:rPr>
            </w:pPr>
            <w:r>
              <w:rPr>
                <w:sz w:val="24"/>
              </w:rPr>
              <w:t>项目所在地区以人工生态系统为主的生态系统，生态系统结构和功能比较单一。天然植被已经被人工植被取代，生物资源均为常见种，生态敏感性低。项目所在地区及周边无珍稀动植物存在，无规划的自然生态保护区，无重点保护的野生动植物。</w:t>
            </w:r>
          </w:p>
        </w:tc>
      </w:tr>
      <w:bookmarkEnd w:id="12"/>
      <w:bookmarkEnd w:id="13"/>
      <w:bookmarkEnd w:id="14"/>
      <w:tr w14:paraId="65A71E9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239" w:type="pct"/>
            <w:noWrap w:val="0"/>
            <w:vAlign w:val="center"/>
          </w:tcPr>
          <w:p w14:paraId="20757434">
            <w:pPr>
              <w:adjustRightInd w:val="0"/>
              <w:snapToGrid w:val="0"/>
              <w:jc w:val="center"/>
              <w:rPr>
                <w:kern w:val="0"/>
                <w:sz w:val="24"/>
              </w:rPr>
            </w:pPr>
            <w:r>
              <w:rPr>
                <w:kern w:val="0"/>
                <w:sz w:val="24"/>
              </w:rPr>
              <w:t>环境保护目标</w:t>
            </w:r>
          </w:p>
        </w:tc>
        <w:tc>
          <w:tcPr>
            <w:tcW w:w="4760" w:type="pct"/>
            <w:noWrap w:val="0"/>
            <w:vAlign w:val="center"/>
          </w:tcPr>
          <w:p w14:paraId="076C51CD">
            <w:pPr>
              <w:spacing w:line="360" w:lineRule="auto"/>
              <w:ind w:firstLine="480" w:firstLineChars="200"/>
              <w:rPr>
                <w:kern w:val="0"/>
                <w:sz w:val="24"/>
              </w:rPr>
            </w:pPr>
            <w:r>
              <w:rPr>
                <w:kern w:val="0"/>
                <w:sz w:val="24"/>
              </w:rPr>
              <w:t>经现场调查，项目厂界外500m范围内无自然保护区、无风景名胜区，无地下水集中式饮用水水源和热水、矿泉水、温泉等特殊地下水资源；项目用地范围内无生态环境保护目标。</w:t>
            </w:r>
          </w:p>
          <w:p w14:paraId="1C33B218">
            <w:pPr>
              <w:keepNext w:val="0"/>
              <w:keepLines w:val="0"/>
              <w:pageBreakBefore w:val="0"/>
              <w:widowControl w:val="0"/>
              <w:suppressLineNumbers w:val="0"/>
              <w:tabs>
                <w:tab w:val="left" w:pos="1081"/>
              </w:tabs>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7030A0"/>
                <w:sz w:val="24"/>
                <w:szCs w:val="24"/>
                <w:highlight w:val="none"/>
                <w:u w:val="none" w:color="auto"/>
                <w:lang w:val="en-GB"/>
              </w:rPr>
            </w:pPr>
            <w:r>
              <w:rPr>
                <w:rFonts w:hint="default" w:ascii="Times New Roman" w:hAnsi="Times New Roman" w:eastAsia="宋体" w:cs="Times New Roman"/>
                <w:color w:val="000000" w:themeColor="text1"/>
                <w:sz w:val="24"/>
                <w:szCs w:val="24"/>
                <w:highlight w:val="none"/>
                <w:u w:val="none" w:color="auto"/>
                <w:lang w:val="en-GB"/>
                <w14:textFill>
                  <w14:solidFill>
                    <w14:schemeClr w14:val="tx1"/>
                  </w14:solidFill>
                </w14:textFill>
              </w:rPr>
              <w:t>本项目位于</w:t>
            </w:r>
            <w:r>
              <w:rPr>
                <w:rFonts w:hint="default"/>
                <w:sz w:val="24"/>
                <w:lang w:eastAsia="zh-CN"/>
              </w:rPr>
              <w:t>南阳市方城县四里店镇小店村何家庄</w:t>
            </w:r>
            <w:r>
              <w:rPr>
                <w:rFonts w:hint="default" w:ascii="Times New Roman" w:hAnsi="Times New Roman" w:eastAsia="宋体" w:cs="Times New Roman"/>
                <w:color w:val="000000" w:themeColor="text1"/>
                <w:sz w:val="24"/>
                <w:szCs w:val="24"/>
                <w:highlight w:val="none"/>
                <w:u w:val="none" w:color="auto"/>
                <w:lang w:val="en-GB"/>
                <w14:textFill>
                  <w14:solidFill>
                    <w14:schemeClr w14:val="tx1"/>
                  </w14:solidFill>
                </w14:textFill>
              </w:rPr>
              <w:t>，经现场调查，</w:t>
            </w:r>
            <w:r>
              <w:rPr>
                <w:rFonts w:hint="eastAsia" w:cs="Times New Roman"/>
                <w:color w:val="000000" w:themeColor="text1"/>
                <w:sz w:val="24"/>
                <w:szCs w:val="24"/>
                <w:highlight w:val="none"/>
                <w:u w:val="none" w:color="auto"/>
                <w:lang w:val="en-US" w:eastAsia="zh-CN"/>
                <w14:textFill>
                  <w14:solidFill>
                    <w14:schemeClr w14:val="tx1"/>
                  </w14:solidFill>
                </w14:textFill>
              </w:rPr>
              <w:t>项目东南西北均紧邻荒地，西北侧209m处为小店村，南侧230m处为何家庄。北</w:t>
            </w:r>
            <w:r>
              <w:rPr>
                <w:rFonts w:hint="default" w:ascii="Times New Roman" w:hAnsi="Times New Roman" w:eastAsia="宋体" w:cs="Times New Roman"/>
                <w:b w:val="0"/>
                <w:bCs w:val="0"/>
                <w:color w:val="000000" w:themeColor="text1"/>
                <w:sz w:val="24"/>
                <w:szCs w:val="24"/>
                <w:highlight w:val="none"/>
                <w:u w:val="none" w:color="auto"/>
                <w:lang w:val="en-US" w:eastAsia="zh-CN"/>
                <w14:textFill>
                  <w14:solidFill>
                    <w14:schemeClr w14:val="tx1"/>
                  </w14:solidFill>
                </w14:textFill>
              </w:rPr>
              <w:t>距</w:t>
            </w:r>
            <w:r>
              <w:rPr>
                <w:rFonts w:hint="default" w:ascii="Times New Roman" w:hAnsi="Times New Roman" w:cs="Times New Roman"/>
                <w:sz w:val="24"/>
                <w:lang w:val="en-US" w:eastAsia="zh-CN"/>
              </w:rPr>
              <w:t>澧</w:t>
            </w:r>
            <w:r>
              <w:rPr>
                <w:rFonts w:hint="default" w:ascii="Times New Roman" w:hAnsi="Times New Roman" w:cs="Times New Roman"/>
                <w:sz w:val="24"/>
              </w:rPr>
              <w:t>河</w:t>
            </w:r>
            <w:r>
              <w:rPr>
                <w:rFonts w:hint="eastAsia" w:cs="Times New Roman"/>
                <w:b w:val="0"/>
                <w:bCs w:val="0"/>
                <w:color w:val="000000" w:themeColor="text1"/>
                <w:sz w:val="24"/>
                <w:szCs w:val="24"/>
                <w:highlight w:val="none"/>
                <w:u w:val="none" w:color="auto"/>
                <w:lang w:val="en-US" w:eastAsia="zh-CN"/>
                <w14:textFill>
                  <w14:solidFill>
                    <w14:schemeClr w14:val="tx1"/>
                  </w14:solidFill>
                </w14:textFill>
              </w:rPr>
              <w:t>39</w:t>
            </w:r>
            <w:r>
              <w:rPr>
                <w:rFonts w:hint="default" w:ascii="Times New Roman" w:hAnsi="Times New Roman" w:eastAsia="宋体" w:cs="Times New Roman"/>
                <w:b w:val="0"/>
                <w:bCs w:val="0"/>
                <w:color w:val="000000" w:themeColor="text1"/>
                <w:sz w:val="24"/>
                <w:szCs w:val="24"/>
                <w:highlight w:val="none"/>
                <w:u w:val="none" w:color="auto"/>
                <w:lang w:val="en-US" w:eastAsia="zh-CN"/>
                <w14:textFill>
                  <w14:solidFill>
                    <w14:schemeClr w14:val="tx1"/>
                  </w14:solidFill>
                </w14:textFill>
              </w:rPr>
              <w:t>m</w:t>
            </w: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w:t>
            </w:r>
            <w:r>
              <w:rPr>
                <w:rFonts w:hint="default" w:ascii="Times New Roman" w:hAnsi="Times New Roman" w:eastAsia="宋体" w:cs="Times New Roman"/>
                <w:color w:val="000000" w:themeColor="text1"/>
                <w:sz w:val="24"/>
                <w:szCs w:val="24"/>
                <w:highlight w:val="none"/>
                <w:u w:val="none" w:color="auto"/>
                <w:lang w:val="en-GB"/>
                <w14:textFill>
                  <w14:solidFill>
                    <w14:schemeClr w14:val="tx1"/>
                  </w14:solidFill>
                </w14:textFill>
              </w:rPr>
              <w:t>项目周边主要环境保护目标见表</w:t>
            </w: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下表</w:t>
            </w:r>
            <w:r>
              <w:rPr>
                <w:rFonts w:hint="default" w:ascii="Times New Roman" w:hAnsi="Times New Roman" w:eastAsia="宋体" w:cs="Times New Roman"/>
                <w:color w:val="000000" w:themeColor="text1"/>
                <w:sz w:val="24"/>
                <w:szCs w:val="24"/>
                <w:highlight w:val="none"/>
                <w:u w:val="none" w:color="auto"/>
                <w:lang w:val="en-GB"/>
                <w14:textFill>
                  <w14:solidFill>
                    <w14:schemeClr w14:val="tx1"/>
                  </w14:solidFill>
                </w14:textFill>
              </w:rPr>
              <w:t>。</w:t>
            </w:r>
          </w:p>
          <w:p w14:paraId="574546C9">
            <w:pPr>
              <w:spacing w:line="360" w:lineRule="auto"/>
              <w:jc w:val="center"/>
              <w:rPr>
                <w:b/>
                <w:bCs/>
                <w:sz w:val="24"/>
              </w:rPr>
            </w:pPr>
            <w:bookmarkStart w:id="15" w:name="_Ref385408842"/>
            <w:r>
              <w:rPr>
                <w:b/>
                <w:bCs/>
                <w:sz w:val="24"/>
              </w:rPr>
              <w:t>表3-</w:t>
            </w:r>
            <w:r>
              <w:rPr>
                <w:rFonts w:hint="eastAsia"/>
                <w:b/>
                <w:bCs/>
                <w:sz w:val="24"/>
                <w:lang w:val="en-US" w:eastAsia="zh-CN"/>
              </w:rPr>
              <w:t>2</w:t>
            </w:r>
            <w:r>
              <w:rPr>
                <w:rFonts w:hint="eastAsia"/>
                <w:b/>
                <w:bCs/>
                <w:sz w:val="24"/>
              </w:rPr>
              <w:t xml:space="preserve">  </w:t>
            </w:r>
            <w:r>
              <w:rPr>
                <w:b/>
                <w:bCs/>
                <w:sz w:val="24"/>
              </w:rPr>
              <w:t>项目周边环境保护目标一览表</w:t>
            </w:r>
            <w:bookmarkEnd w:id="15"/>
          </w:p>
          <w:tbl>
            <w:tblPr>
              <w:tblStyle w:val="29"/>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97"/>
              <w:gridCol w:w="1755"/>
              <w:gridCol w:w="999"/>
              <w:gridCol w:w="1208"/>
              <w:gridCol w:w="3785"/>
            </w:tblGrid>
            <w:tr w14:paraId="35AC15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10" w:type="pct"/>
                  <w:noWrap w:val="0"/>
                  <w:vAlign w:val="center"/>
                </w:tcPr>
                <w:p w14:paraId="6CD76A20">
                  <w:pPr>
                    <w:jc w:val="center"/>
                    <w:rPr>
                      <w:sz w:val="21"/>
                      <w:szCs w:val="21"/>
                    </w:rPr>
                  </w:pPr>
                  <w:r>
                    <w:rPr>
                      <w:sz w:val="21"/>
                      <w:szCs w:val="21"/>
                    </w:rPr>
                    <w:t>环境要素</w:t>
                  </w:r>
                </w:p>
              </w:tc>
              <w:tc>
                <w:tcPr>
                  <w:tcW w:w="949" w:type="pct"/>
                  <w:noWrap w:val="0"/>
                  <w:vAlign w:val="center"/>
                </w:tcPr>
                <w:p w14:paraId="79BE1E8C">
                  <w:pPr>
                    <w:jc w:val="center"/>
                    <w:rPr>
                      <w:sz w:val="21"/>
                      <w:szCs w:val="21"/>
                    </w:rPr>
                  </w:pPr>
                  <w:r>
                    <w:rPr>
                      <w:sz w:val="21"/>
                      <w:szCs w:val="21"/>
                    </w:rPr>
                    <w:t>保护目标</w:t>
                  </w:r>
                </w:p>
              </w:tc>
              <w:tc>
                <w:tcPr>
                  <w:tcW w:w="540" w:type="pct"/>
                  <w:noWrap w:val="0"/>
                  <w:vAlign w:val="center"/>
                </w:tcPr>
                <w:p w14:paraId="266BB0B1">
                  <w:pPr>
                    <w:jc w:val="center"/>
                    <w:rPr>
                      <w:sz w:val="21"/>
                      <w:szCs w:val="21"/>
                    </w:rPr>
                  </w:pPr>
                  <w:r>
                    <w:rPr>
                      <w:sz w:val="21"/>
                      <w:szCs w:val="21"/>
                    </w:rPr>
                    <w:t>方位</w:t>
                  </w:r>
                </w:p>
              </w:tc>
              <w:tc>
                <w:tcPr>
                  <w:tcW w:w="653" w:type="pct"/>
                  <w:noWrap w:val="0"/>
                  <w:vAlign w:val="center"/>
                </w:tcPr>
                <w:p w14:paraId="514F5409">
                  <w:pPr>
                    <w:jc w:val="center"/>
                    <w:rPr>
                      <w:sz w:val="21"/>
                      <w:szCs w:val="21"/>
                    </w:rPr>
                  </w:pPr>
                  <w:r>
                    <w:rPr>
                      <w:sz w:val="21"/>
                      <w:szCs w:val="21"/>
                    </w:rPr>
                    <w:t>距离</w:t>
                  </w:r>
                </w:p>
              </w:tc>
              <w:tc>
                <w:tcPr>
                  <w:tcW w:w="2046" w:type="pct"/>
                  <w:noWrap w:val="0"/>
                  <w:vAlign w:val="center"/>
                </w:tcPr>
                <w:p w14:paraId="3EF830E0">
                  <w:pPr>
                    <w:jc w:val="center"/>
                    <w:rPr>
                      <w:sz w:val="21"/>
                      <w:szCs w:val="21"/>
                    </w:rPr>
                  </w:pPr>
                  <w:r>
                    <w:rPr>
                      <w:sz w:val="21"/>
                      <w:szCs w:val="21"/>
                    </w:rPr>
                    <w:t>保护级别</w:t>
                  </w:r>
                </w:p>
              </w:tc>
            </w:tr>
            <w:tr w14:paraId="045C46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10" w:type="pct"/>
                  <w:vMerge w:val="restart"/>
                  <w:noWrap w:val="0"/>
                  <w:vAlign w:val="center"/>
                </w:tcPr>
                <w:p w14:paraId="485E52F2">
                  <w:pPr>
                    <w:jc w:val="center"/>
                    <w:rPr>
                      <w:sz w:val="21"/>
                      <w:szCs w:val="21"/>
                    </w:rPr>
                  </w:pPr>
                  <w:r>
                    <w:rPr>
                      <w:sz w:val="21"/>
                      <w:szCs w:val="21"/>
                    </w:rPr>
                    <w:t>大气环境</w:t>
                  </w:r>
                </w:p>
              </w:tc>
              <w:tc>
                <w:tcPr>
                  <w:tcW w:w="949" w:type="pct"/>
                  <w:noWrap w:val="0"/>
                  <w:vAlign w:val="center"/>
                </w:tcPr>
                <w:p w14:paraId="2623F837">
                  <w:pPr>
                    <w:jc w:val="center"/>
                    <w:rPr>
                      <w:sz w:val="21"/>
                      <w:szCs w:val="21"/>
                    </w:rPr>
                  </w:pPr>
                  <w:r>
                    <w:rPr>
                      <w:rFonts w:hint="eastAsia"/>
                      <w:sz w:val="21"/>
                      <w:szCs w:val="21"/>
                      <w:lang w:val="en-US" w:eastAsia="zh-CN"/>
                    </w:rPr>
                    <w:t>小店村</w:t>
                  </w:r>
                </w:p>
              </w:tc>
              <w:tc>
                <w:tcPr>
                  <w:tcW w:w="540" w:type="pct"/>
                  <w:noWrap w:val="0"/>
                  <w:vAlign w:val="center"/>
                </w:tcPr>
                <w:p w14:paraId="59620322">
                  <w:pPr>
                    <w:jc w:val="center"/>
                    <w:rPr>
                      <w:sz w:val="21"/>
                      <w:szCs w:val="21"/>
                    </w:rPr>
                  </w:pPr>
                  <w:r>
                    <w:rPr>
                      <w:rFonts w:hint="eastAsia"/>
                      <w:sz w:val="21"/>
                      <w:szCs w:val="21"/>
                    </w:rPr>
                    <w:t>NW</w:t>
                  </w:r>
                </w:p>
              </w:tc>
              <w:tc>
                <w:tcPr>
                  <w:tcW w:w="653" w:type="pct"/>
                  <w:noWrap w:val="0"/>
                  <w:vAlign w:val="center"/>
                </w:tcPr>
                <w:p w14:paraId="5863B3CB">
                  <w:pPr>
                    <w:jc w:val="center"/>
                    <w:rPr>
                      <w:sz w:val="21"/>
                      <w:szCs w:val="21"/>
                    </w:rPr>
                  </w:pPr>
                  <w:r>
                    <w:rPr>
                      <w:rFonts w:hint="eastAsia"/>
                      <w:sz w:val="21"/>
                      <w:szCs w:val="21"/>
                    </w:rPr>
                    <w:t>2</w:t>
                  </w:r>
                  <w:r>
                    <w:rPr>
                      <w:rFonts w:hint="eastAsia"/>
                      <w:sz w:val="21"/>
                      <w:szCs w:val="21"/>
                      <w:lang w:val="en-US" w:eastAsia="zh-CN"/>
                    </w:rPr>
                    <w:t>09</w:t>
                  </w:r>
                  <w:r>
                    <w:rPr>
                      <w:sz w:val="21"/>
                      <w:szCs w:val="21"/>
                    </w:rPr>
                    <w:t>m</w:t>
                  </w:r>
                </w:p>
              </w:tc>
              <w:tc>
                <w:tcPr>
                  <w:tcW w:w="2046" w:type="pct"/>
                  <w:vMerge w:val="restart"/>
                  <w:noWrap w:val="0"/>
                  <w:vAlign w:val="center"/>
                </w:tcPr>
                <w:p w14:paraId="3215ECF9">
                  <w:pPr>
                    <w:jc w:val="center"/>
                    <w:rPr>
                      <w:color w:val="000000"/>
                      <w:sz w:val="21"/>
                      <w:szCs w:val="21"/>
                    </w:rPr>
                  </w:pPr>
                  <w:r>
                    <w:rPr>
                      <w:color w:val="000000"/>
                      <w:sz w:val="21"/>
                      <w:szCs w:val="21"/>
                    </w:rPr>
                    <w:t>《环境空气质量标准》</w:t>
                  </w:r>
                </w:p>
                <w:p w14:paraId="326D5CC3">
                  <w:pPr>
                    <w:tabs>
                      <w:tab w:val="left" w:pos="0"/>
                    </w:tabs>
                    <w:adjustRightInd w:val="0"/>
                    <w:snapToGrid w:val="0"/>
                    <w:jc w:val="center"/>
                    <w:rPr>
                      <w:sz w:val="21"/>
                      <w:szCs w:val="21"/>
                    </w:rPr>
                  </w:pPr>
                  <w:r>
                    <w:rPr>
                      <w:color w:val="000000"/>
                      <w:sz w:val="21"/>
                      <w:szCs w:val="21"/>
                    </w:rPr>
                    <w:t>（GB3095-2012）二级标准</w:t>
                  </w:r>
                </w:p>
              </w:tc>
            </w:tr>
            <w:tr w14:paraId="4CDF56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10" w:type="pct"/>
                  <w:vMerge w:val="continue"/>
                  <w:noWrap w:val="0"/>
                  <w:vAlign w:val="center"/>
                </w:tcPr>
                <w:p w14:paraId="153E58C8">
                  <w:pPr>
                    <w:jc w:val="center"/>
                    <w:rPr>
                      <w:sz w:val="21"/>
                      <w:szCs w:val="21"/>
                    </w:rPr>
                  </w:pPr>
                </w:p>
              </w:tc>
              <w:tc>
                <w:tcPr>
                  <w:tcW w:w="949" w:type="pct"/>
                  <w:noWrap w:val="0"/>
                  <w:vAlign w:val="center"/>
                </w:tcPr>
                <w:p w14:paraId="73ACC37D">
                  <w:pPr>
                    <w:jc w:val="center"/>
                    <w:rPr>
                      <w:sz w:val="21"/>
                      <w:szCs w:val="21"/>
                    </w:rPr>
                  </w:pPr>
                  <w:r>
                    <w:rPr>
                      <w:rFonts w:hint="eastAsia" w:cs="Times New Roman"/>
                      <w:color w:val="000000" w:themeColor="text1"/>
                      <w:sz w:val="21"/>
                      <w:szCs w:val="21"/>
                      <w:highlight w:val="none"/>
                      <w:u w:val="none" w:color="auto"/>
                      <w:lang w:val="en-US" w:eastAsia="zh-CN"/>
                      <w14:textFill>
                        <w14:solidFill>
                          <w14:schemeClr w14:val="tx1"/>
                        </w14:solidFill>
                      </w14:textFill>
                    </w:rPr>
                    <w:t>何家庄</w:t>
                  </w:r>
                </w:p>
              </w:tc>
              <w:tc>
                <w:tcPr>
                  <w:tcW w:w="540" w:type="pct"/>
                  <w:noWrap w:val="0"/>
                  <w:vAlign w:val="center"/>
                </w:tcPr>
                <w:p w14:paraId="0B117D22">
                  <w:pPr>
                    <w:jc w:val="center"/>
                    <w:rPr>
                      <w:sz w:val="21"/>
                      <w:szCs w:val="21"/>
                    </w:rPr>
                  </w:pPr>
                  <w:r>
                    <w:rPr>
                      <w:sz w:val="21"/>
                      <w:szCs w:val="21"/>
                    </w:rPr>
                    <w:t>S</w:t>
                  </w:r>
                </w:p>
              </w:tc>
              <w:tc>
                <w:tcPr>
                  <w:tcW w:w="653" w:type="pct"/>
                  <w:noWrap w:val="0"/>
                  <w:vAlign w:val="center"/>
                </w:tcPr>
                <w:p w14:paraId="19423983">
                  <w:pPr>
                    <w:jc w:val="center"/>
                    <w:rPr>
                      <w:sz w:val="21"/>
                      <w:szCs w:val="21"/>
                    </w:rPr>
                  </w:pPr>
                  <w:r>
                    <w:rPr>
                      <w:rFonts w:hint="eastAsia"/>
                      <w:sz w:val="21"/>
                      <w:szCs w:val="21"/>
                      <w:lang w:val="en-US" w:eastAsia="zh-CN"/>
                    </w:rPr>
                    <w:t>230</w:t>
                  </w:r>
                  <w:r>
                    <w:rPr>
                      <w:rFonts w:hint="eastAsia"/>
                      <w:sz w:val="21"/>
                      <w:szCs w:val="21"/>
                    </w:rPr>
                    <w:t>m</w:t>
                  </w:r>
                </w:p>
              </w:tc>
              <w:tc>
                <w:tcPr>
                  <w:tcW w:w="2046" w:type="pct"/>
                  <w:vMerge w:val="continue"/>
                  <w:noWrap w:val="0"/>
                  <w:vAlign w:val="center"/>
                </w:tcPr>
                <w:p w14:paraId="62516B20">
                  <w:pPr>
                    <w:tabs>
                      <w:tab w:val="left" w:pos="0"/>
                    </w:tabs>
                    <w:adjustRightInd w:val="0"/>
                    <w:snapToGrid w:val="0"/>
                    <w:jc w:val="center"/>
                    <w:rPr>
                      <w:color w:val="000000"/>
                      <w:sz w:val="21"/>
                      <w:szCs w:val="21"/>
                    </w:rPr>
                  </w:pPr>
                </w:p>
              </w:tc>
            </w:tr>
            <w:tr w14:paraId="100778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10" w:type="pct"/>
                  <w:noWrap w:val="0"/>
                  <w:vAlign w:val="center"/>
                </w:tcPr>
                <w:p w14:paraId="223173EE">
                  <w:pPr>
                    <w:jc w:val="center"/>
                    <w:rPr>
                      <w:sz w:val="21"/>
                      <w:szCs w:val="21"/>
                    </w:rPr>
                  </w:pPr>
                  <w:r>
                    <w:rPr>
                      <w:sz w:val="21"/>
                      <w:szCs w:val="21"/>
                    </w:rPr>
                    <w:t>声环境</w:t>
                  </w:r>
                </w:p>
              </w:tc>
              <w:tc>
                <w:tcPr>
                  <w:tcW w:w="4189" w:type="pct"/>
                  <w:gridSpan w:val="4"/>
                  <w:noWrap w:val="0"/>
                  <w:vAlign w:val="center"/>
                </w:tcPr>
                <w:p w14:paraId="5E656BBA">
                  <w:pPr>
                    <w:tabs>
                      <w:tab w:val="left" w:pos="0"/>
                    </w:tabs>
                    <w:adjustRightInd w:val="0"/>
                    <w:snapToGrid w:val="0"/>
                    <w:jc w:val="center"/>
                    <w:rPr>
                      <w:color w:val="000000"/>
                      <w:sz w:val="21"/>
                      <w:szCs w:val="21"/>
                    </w:rPr>
                  </w:pPr>
                  <w:r>
                    <w:rPr>
                      <w:sz w:val="21"/>
                      <w:szCs w:val="21"/>
                    </w:rPr>
                    <w:t>厂界外50米范围内无声环境保护目标</w:t>
                  </w:r>
                </w:p>
              </w:tc>
            </w:tr>
            <w:tr w14:paraId="72AF4A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10" w:type="pct"/>
                  <w:noWrap w:val="0"/>
                  <w:vAlign w:val="center"/>
                </w:tcPr>
                <w:p w14:paraId="714ADC6D">
                  <w:pPr>
                    <w:jc w:val="center"/>
                    <w:rPr>
                      <w:sz w:val="21"/>
                      <w:szCs w:val="21"/>
                    </w:rPr>
                  </w:pPr>
                  <w:r>
                    <w:rPr>
                      <w:sz w:val="21"/>
                      <w:szCs w:val="21"/>
                    </w:rPr>
                    <w:t>地表水</w:t>
                  </w:r>
                </w:p>
              </w:tc>
              <w:tc>
                <w:tcPr>
                  <w:tcW w:w="949" w:type="pct"/>
                  <w:noWrap w:val="0"/>
                  <w:vAlign w:val="center"/>
                </w:tcPr>
                <w:p w14:paraId="50FEFB22">
                  <w:pPr>
                    <w:jc w:val="center"/>
                    <w:rPr>
                      <w:sz w:val="21"/>
                      <w:szCs w:val="21"/>
                    </w:rPr>
                  </w:pPr>
                  <w:r>
                    <w:rPr>
                      <w:rFonts w:hint="default" w:ascii="Times New Roman" w:hAnsi="Times New Roman" w:cs="Times New Roman"/>
                      <w:sz w:val="21"/>
                      <w:szCs w:val="21"/>
                      <w:lang w:val="en-US" w:eastAsia="zh-CN"/>
                    </w:rPr>
                    <w:t>澧</w:t>
                  </w:r>
                  <w:r>
                    <w:rPr>
                      <w:rFonts w:hint="default" w:ascii="Times New Roman" w:hAnsi="Times New Roman" w:cs="Times New Roman"/>
                      <w:sz w:val="21"/>
                      <w:szCs w:val="21"/>
                    </w:rPr>
                    <w:t>河</w:t>
                  </w:r>
                </w:p>
              </w:tc>
              <w:tc>
                <w:tcPr>
                  <w:tcW w:w="540" w:type="pct"/>
                  <w:noWrap w:val="0"/>
                  <w:vAlign w:val="center"/>
                </w:tcPr>
                <w:p w14:paraId="0F30E990">
                  <w:pPr>
                    <w:jc w:val="center"/>
                    <w:rPr>
                      <w:sz w:val="21"/>
                      <w:szCs w:val="21"/>
                    </w:rPr>
                  </w:pPr>
                  <w:r>
                    <w:rPr>
                      <w:sz w:val="21"/>
                      <w:szCs w:val="21"/>
                    </w:rPr>
                    <w:t>N</w:t>
                  </w:r>
                </w:p>
              </w:tc>
              <w:tc>
                <w:tcPr>
                  <w:tcW w:w="653" w:type="pct"/>
                  <w:noWrap w:val="0"/>
                  <w:vAlign w:val="center"/>
                </w:tcPr>
                <w:p w14:paraId="4074F2DB">
                  <w:pPr>
                    <w:jc w:val="center"/>
                    <w:rPr>
                      <w:sz w:val="21"/>
                      <w:szCs w:val="21"/>
                    </w:rPr>
                  </w:pPr>
                  <w:r>
                    <w:rPr>
                      <w:rFonts w:hint="eastAsia"/>
                      <w:sz w:val="21"/>
                      <w:szCs w:val="21"/>
                      <w:lang w:val="en-US" w:eastAsia="zh-CN"/>
                    </w:rPr>
                    <w:t>39</w:t>
                  </w:r>
                  <w:r>
                    <w:rPr>
                      <w:sz w:val="21"/>
                      <w:szCs w:val="21"/>
                    </w:rPr>
                    <w:t>m</w:t>
                  </w:r>
                </w:p>
              </w:tc>
              <w:tc>
                <w:tcPr>
                  <w:tcW w:w="2046" w:type="pct"/>
                  <w:noWrap w:val="0"/>
                  <w:vAlign w:val="center"/>
                </w:tcPr>
                <w:p w14:paraId="1BBA25C1">
                  <w:pPr>
                    <w:tabs>
                      <w:tab w:val="left" w:pos="0"/>
                    </w:tabs>
                    <w:adjustRightInd w:val="0"/>
                    <w:snapToGrid w:val="0"/>
                    <w:jc w:val="center"/>
                    <w:rPr>
                      <w:color w:val="000000"/>
                      <w:sz w:val="21"/>
                      <w:szCs w:val="21"/>
                    </w:rPr>
                  </w:pPr>
                  <w:r>
                    <w:rPr>
                      <w:sz w:val="21"/>
                      <w:szCs w:val="21"/>
                    </w:rPr>
                    <w:t>《地表水环境质量标准》（GB 3838-2002）中Ⅲ类水质标准</w:t>
                  </w:r>
                </w:p>
              </w:tc>
            </w:tr>
            <w:tr w14:paraId="0AB096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10" w:type="pct"/>
                  <w:noWrap w:val="0"/>
                  <w:vAlign w:val="center"/>
                </w:tcPr>
                <w:p w14:paraId="5AEF6871">
                  <w:pPr>
                    <w:jc w:val="center"/>
                    <w:rPr>
                      <w:sz w:val="21"/>
                      <w:szCs w:val="21"/>
                    </w:rPr>
                  </w:pPr>
                  <w:r>
                    <w:rPr>
                      <w:sz w:val="21"/>
                      <w:szCs w:val="21"/>
                    </w:rPr>
                    <w:t>地下水</w:t>
                  </w:r>
                </w:p>
              </w:tc>
              <w:tc>
                <w:tcPr>
                  <w:tcW w:w="4189" w:type="pct"/>
                  <w:gridSpan w:val="4"/>
                  <w:noWrap w:val="0"/>
                  <w:vAlign w:val="center"/>
                </w:tcPr>
                <w:p w14:paraId="7E3EAD6B">
                  <w:pPr>
                    <w:jc w:val="center"/>
                    <w:rPr>
                      <w:color w:val="000000"/>
                      <w:sz w:val="21"/>
                      <w:szCs w:val="21"/>
                    </w:rPr>
                  </w:pPr>
                  <w:r>
                    <w:rPr>
                      <w:sz w:val="21"/>
                      <w:szCs w:val="21"/>
                      <w:highlight w:val="none"/>
                      <w:lang w:bidi="ar"/>
                    </w:rPr>
                    <w:t>厂界外500m范围内无地下水集中式饮用水水源及特殊地水资源</w:t>
                  </w:r>
                </w:p>
              </w:tc>
            </w:tr>
            <w:tr w14:paraId="617E36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10" w:type="pct"/>
                  <w:noWrap w:val="0"/>
                  <w:vAlign w:val="center"/>
                </w:tcPr>
                <w:p w14:paraId="4B775415">
                  <w:pPr>
                    <w:jc w:val="center"/>
                    <w:rPr>
                      <w:sz w:val="21"/>
                      <w:szCs w:val="21"/>
                    </w:rPr>
                  </w:pPr>
                  <w:r>
                    <w:rPr>
                      <w:sz w:val="21"/>
                      <w:szCs w:val="21"/>
                    </w:rPr>
                    <w:t>生态环境</w:t>
                  </w:r>
                </w:p>
              </w:tc>
              <w:tc>
                <w:tcPr>
                  <w:tcW w:w="4189" w:type="pct"/>
                  <w:gridSpan w:val="4"/>
                  <w:noWrap w:val="0"/>
                  <w:vAlign w:val="center"/>
                </w:tcPr>
                <w:p w14:paraId="2CE571F3">
                  <w:pPr>
                    <w:jc w:val="center"/>
                    <w:rPr>
                      <w:color w:val="000000"/>
                      <w:sz w:val="21"/>
                      <w:szCs w:val="21"/>
                    </w:rPr>
                  </w:pPr>
                  <w:r>
                    <w:rPr>
                      <w:sz w:val="21"/>
                      <w:szCs w:val="21"/>
                      <w:lang w:val="en-GB" w:bidi="ar"/>
                    </w:rPr>
                    <w:t>项目用地范围内无生态环境保护目标</w:t>
                  </w:r>
                </w:p>
              </w:tc>
            </w:tr>
          </w:tbl>
          <w:p w14:paraId="61ABE197">
            <w:pPr>
              <w:spacing w:line="360" w:lineRule="auto"/>
              <w:rPr>
                <w:kern w:val="0"/>
                <w:sz w:val="24"/>
              </w:rPr>
            </w:pPr>
          </w:p>
        </w:tc>
      </w:tr>
      <w:tr w14:paraId="52237AB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0" w:hRule="atLeast"/>
          <w:jc w:val="center"/>
        </w:trPr>
        <w:tc>
          <w:tcPr>
            <w:tcW w:w="239" w:type="pct"/>
            <w:noWrap w:val="0"/>
            <w:tcMar>
              <w:left w:w="28" w:type="dxa"/>
              <w:right w:w="28" w:type="dxa"/>
            </w:tcMar>
            <w:vAlign w:val="center"/>
          </w:tcPr>
          <w:p w14:paraId="2EEBDF88">
            <w:pPr>
              <w:adjustRightInd w:val="0"/>
              <w:snapToGrid w:val="0"/>
              <w:jc w:val="center"/>
              <w:rPr>
                <w:kern w:val="0"/>
                <w:sz w:val="24"/>
              </w:rPr>
            </w:pPr>
            <w:r>
              <w:rPr>
                <w:kern w:val="0"/>
                <w:sz w:val="24"/>
              </w:rPr>
              <w:t>污染物排放控制标准</w:t>
            </w:r>
          </w:p>
        </w:tc>
        <w:tc>
          <w:tcPr>
            <w:tcW w:w="4760" w:type="pct"/>
            <w:noWrap w:val="0"/>
            <w:vAlign w:val="center"/>
          </w:tcPr>
          <w:tbl>
            <w:tblPr>
              <w:tblStyle w:val="29"/>
              <w:tblW w:w="4998" w:type="pct"/>
              <w:jc w:val="center"/>
              <w:tblBorders>
                <w:top w:val="single" w:color="auto" w:sz="4" w:space="0"/>
                <w:left w:val="single" w:color="auto" w:sz="4" w:space="0"/>
                <w:bottom w:val="single" w:color="auto" w:sz="4" w:space="0"/>
                <w:right w:val="single" w:color="auto" w:sz="4" w:space="0"/>
                <w:insideH w:val="single" w:color="auto" w:sz="6" w:space="0"/>
                <w:insideV w:val="single" w:color="auto" w:sz="4" w:space="0"/>
              </w:tblBorders>
              <w:tblLayout w:type="autofit"/>
              <w:tblCellMar>
                <w:top w:w="0" w:type="dxa"/>
                <w:left w:w="108" w:type="dxa"/>
                <w:bottom w:w="0" w:type="dxa"/>
                <w:right w:w="108" w:type="dxa"/>
              </w:tblCellMar>
            </w:tblPr>
            <w:tblGrid>
              <w:gridCol w:w="763"/>
              <w:gridCol w:w="2425"/>
              <w:gridCol w:w="1434"/>
              <w:gridCol w:w="1720"/>
              <w:gridCol w:w="1519"/>
              <w:gridCol w:w="1386"/>
            </w:tblGrid>
            <w:tr w14:paraId="1027918F">
              <w:tblPrEx>
                <w:tblBorders>
                  <w:top w:val="single" w:color="auto" w:sz="4" w:space="0"/>
                  <w:left w:val="single" w:color="auto" w:sz="4" w:space="0"/>
                  <w:bottom w:val="single" w:color="auto" w:sz="4" w:space="0"/>
                  <w:right w:val="single" w:color="auto" w:sz="4" w:space="0"/>
                  <w:insideH w:val="single" w:color="auto" w:sz="6" w:space="0"/>
                  <w:insideV w:val="single" w:color="auto" w:sz="4" w:space="0"/>
                </w:tblBorders>
                <w:tblCellMar>
                  <w:top w:w="0" w:type="dxa"/>
                  <w:left w:w="108" w:type="dxa"/>
                  <w:bottom w:w="0" w:type="dxa"/>
                  <w:right w:w="108" w:type="dxa"/>
                </w:tblCellMar>
              </w:tblPrEx>
              <w:trPr>
                <w:trHeight w:val="454" w:hRule="atLeast"/>
                <w:jc w:val="center"/>
              </w:trPr>
              <w:tc>
                <w:tcPr>
                  <w:tcW w:w="413" w:type="pct"/>
                  <w:noWrap w:val="0"/>
                  <w:vAlign w:val="center"/>
                </w:tcPr>
                <w:p w14:paraId="744A06B1">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环境要素</w:t>
                  </w:r>
                </w:p>
              </w:tc>
              <w:tc>
                <w:tcPr>
                  <w:tcW w:w="2086" w:type="pct"/>
                  <w:gridSpan w:val="2"/>
                  <w:noWrap w:val="0"/>
                  <w:vAlign w:val="center"/>
                </w:tcPr>
                <w:p w14:paraId="077303B6">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执行标准</w:t>
                  </w:r>
                </w:p>
              </w:tc>
              <w:tc>
                <w:tcPr>
                  <w:tcW w:w="930" w:type="pct"/>
                  <w:noWrap w:val="0"/>
                  <w:vAlign w:val="center"/>
                </w:tcPr>
                <w:p w14:paraId="10B9B6AC">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污染物</w:t>
                  </w:r>
                </w:p>
              </w:tc>
              <w:tc>
                <w:tcPr>
                  <w:tcW w:w="1569" w:type="pct"/>
                  <w:gridSpan w:val="2"/>
                  <w:noWrap w:val="0"/>
                  <w:vAlign w:val="center"/>
                </w:tcPr>
                <w:p w14:paraId="256604B8">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标准限值</w:t>
                  </w:r>
                </w:p>
              </w:tc>
            </w:tr>
            <w:tr w14:paraId="6C455D0B">
              <w:tblPrEx>
                <w:tblBorders>
                  <w:top w:val="single" w:color="auto" w:sz="4" w:space="0"/>
                  <w:left w:val="single" w:color="auto" w:sz="4" w:space="0"/>
                  <w:bottom w:val="single" w:color="auto" w:sz="4" w:space="0"/>
                  <w:right w:val="single" w:color="auto" w:sz="4" w:space="0"/>
                  <w:insideH w:val="single" w:color="auto" w:sz="6" w:space="0"/>
                  <w:insideV w:val="single" w:color="auto" w:sz="4" w:space="0"/>
                </w:tblBorders>
                <w:tblCellMar>
                  <w:top w:w="0" w:type="dxa"/>
                  <w:left w:w="108" w:type="dxa"/>
                  <w:bottom w:w="0" w:type="dxa"/>
                  <w:right w:w="108" w:type="dxa"/>
                </w:tblCellMar>
              </w:tblPrEx>
              <w:trPr>
                <w:trHeight w:val="454" w:hRule="atLeast"/>
                <w:jc w:val="center"/>
              </w:trPr>
              <w:tc>
                <w:tcPr>
                  <w:tcW w:w="413" w:type="pct"/>
                  <w:vMerge w:val="restart"/>
                  <w:noWrap w:val="0"/>
                  <w:vAlign w:val="center"/>
                </w:tcPr>
                <w:p w14:paraId="16C2DA36">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废气</w:t>
                  </w:r>
                </w:p>
              </w:tc>
              <w:tc>
                <w:tcPr>
                  <w:tcW w:w="2086" w:type="pct"/>
                  <w:gridSpan w:val="2"/>
                  <w:vMerge w:val="restart"/>
                  <w:noWrap w:val="0"/>
                  <w:vAlign w:val="center"/>
                </w:tcPr>
                <w:p w14:paraId="7B5C3CEC">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rPr>
                    <w:t>《大气污染物综合排放标准》（GB16297-1996）表2</w:t>
                  </w:r>
                  <w:r>
                    <w:rPr>
                      <w:rFonts w:hint="default" w:ascii="Times New Roman" w:hAnsi="Times New Roman" w:eastAsia="宋体" w:cs="Times New Roman"/>
                      <w:color w:val="auto"/>
                      <w:sz w:val="21"/>
                      <w:szCs w:val="21"/>
                      <w:highlight w:val="none"/>
                      <w:u w:val="none" w:color="auto"/>
                      <w:lang w:val="en-US" w:eastAsia="zh-CN"/>
                    </w:rPr>
                    <w:t>标准</w:t>
                  </w:r>
                </w:p>
              </w:tc>
              <w:tc>
                <w:tcPr>
                  <w:tcW w:w="930" w:type="pct"/>
                  <w:vMerge w:val="restart"/>
                  <w:noWrap w:val="0"/>
                  <w:vAlign w:val="center"/>
                </w:tcPr>
                <w:p w14:paraId="25FAA8FA">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rPr>
                    <w:t>颗粒物</w:t>
                  </w:r>
                </w:p>
              </w:tc>
              <w:tc>
                <w:tcPr>
                  <w:tcW w:w="1569" w:type="pct"/>
                  <w:gridSpan w:val="2"/>
                  <w:noWrap w:val="0"/>
                  <w:vAlign w:val="center"/>
                </w:tcPr>
                <w:p w14:paraId="4660D8BF">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Cs/>
                      <w:color w:val="auto"/>
                      <w:kern w:val="2"/>
                      <w:sz w:val="21"/>
                      <w:szCs w:val="21"/>
                      <w:highlight w:val="none"/>
                      <w:u w:val="none" w:color="auto"/>
                      <w:lang w:val="en-US" w:eastAsia="zh-CN" w:bidi="ar-SA"/>
                    </w:rPr>
                  </w:pPr>
                  <w:r>
                    <w:rPr>
                      <w:rFonts w:hint="default" w:ascii="Times New Roman" w:hAnsi="Times New Roman" w:eastAsia="宋体" w:cs="Times New Roman"/>
                      <w:bCs/>
                      <w:color w:val="auto"/>
                      <w:sz w:val="21"/>
                      <w:szCs w:val="21"/>
                      <w:highlight w:val="none"/>
                      <w:u w:val="none" w:color="auto"/>
                    </w:rPr>
                    <w:t>无组织排放监控浓度限值周界外浓度最高点1.0mg/m³</w:t>
                  </w:r>
                </w:p>
              </w:tc>
            </w:tr>
            <w:tr w14:paraId="6B0B16C0">
              <w:tblPrEx>
                <w:tblBorders>
                  <w:top w:val="single" w:color="auto" w:sz="4" w:space="0"/>
                  <w:left w:val="single" w:color="auto" w:sz="4" w:space="0"/>
                  <w:bottom w:val="single" w:color="auto" w:sz="4" w:space="0"/>
                  <w:right w:val="single" w:color="auto" w:sz="4" w:space="0"/>
                  <w:insideH w:val="single" w:color="auto" w:sz="6" w:space="0"/>
                  <w:insideV w:val="single" w:color="auto" w:sz="4" w:space="0"/>
                </w:tblBorders>
                <w:tblCellMar>
                  <w:top w:w="0" w:type="dxa"/>
                  <w:left w:w="108" w:type="dxa"/>
                  <w:bottom w:w="0" w:type="dxa"/>
                  <w:right w:w="108" w:type="dxa"/>
                </w:tblCellMar>
              </w:tblPrEx>
              <w:trPr>
                <w:trHeight w:val="454" w:hRule="atLeast"/>
                <w:jc w:val="center"/>
              </w:trPr>
              <w:tc>
                <w:tcPr>
                  <w:tcW w:w="413" w:type="pct"/>
                  <w:vMerge w:val="continue"/>
                  <w:noWrap w:val="0"/>
                  <w:vAlign w:val="center"/>
                </w:tcPr>
                <w:p w14:paraId="523A7804">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sz w:val="21"/>
                      <w:szCs w:val="21"/>
                      <w:highlight w:val="none"/>
                      <w:u w:val="none" w:color="auto"/>
                    </w:rPr>
                  </w:pPr>
                </w:p>
              </w:tc>
              <w:tc>
                <w:tcPr>
                  <w:tcW w:w="2086" w:type="pct"/>
                  <w:gridSpan w:val="2"/>
                  <w:vMerge w:val="continue"/>
                  <w:noWrap w:val="0"/>
                  <w:vAlign w:val="center"/>
                </w:tcPr>
                <w:p w14:paraId="7F468B11">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sz w:val="21"/>
                      <w:szCs w:val="21"/>
                      <w:highlight w:val="none"/>
                      <w:u w:val="none" w:color="auto"/>
                    </w:rPr>
                  </w:pPr>
                </w:p>
              </w:tc>
              <w:tc>
                <w:tcPr>
                  <w:tcW w:w="930" w:type="pct"/>
                  <w:vMerge w:val="continue"/>
                  <w:noWrap w:val="0"/>
                  <w:vAlign w:val="center"/>
                </w:tcPr>
                <w:p w14:paraId="7AAFE2F6">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sz w:val="21"/>
                      <w:szCs w:val="21"/>
                      <w:highlight w:val="none"/>
                      <w:u w:val="none" w:color="auto"/>
                      <w:lang w:val="en-US" w:eastAsia="zh-CN"/>
                    </w:rPr>
                  </w:pPr>
                </w:p>
              </w:tc>
              <w:tc>
                <w:tcPr>
                  <w:tcW w:w="1569" w:type="pct"/>
                  <w:gridSpan w:val="2"/>
                  <w:noWrap w:val="0"/>
                  <w:vAlign w:val="center"/>
                </w:tcPr>
                <w:p w14:paraId="18DE298A">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Cs/>
                      <w:color w:val="auto"/>
                      <w:kern w:val="2"/>
                      <w:sz w:val="21"/>
                      <w:szCs w:val="21"/>
                      <w:highlight w:val="none"/>
                      <w:u w:val="none" w:color="auto"/>
                      <w:lang w:val="en-US" w:eastAsia="zh-CN" w:bidi="ar-SA"/>
                    </w:rPr>
                  </w:pPr>
                  <w:r>
                    <w:rPr>
                      <w:rFonts w:hint="default" w:ascii="Times New Roman" w:hAnsi="Times New Roman" w:eastAsia="宋体" w:cs="Times New Roman"/>
                      <w:bCs/>
                      <w:color w:val="auto"/>
                      <w:sz w:val="21"/>
                      <w:szCs w:val="21"/>
                      <w:highlight w:val="none"/>
                      <w:u w:val="none" w:color="auto"/>
                    </w:rPr>
                    <w:t>有组织排放最高允许浓度120mg/m</w:t>
                  </w:r>
                  <w:r>
                    <w:rPr>
                      <w:rFonts w:hint="default" w:ascii="Times New Roman" w:hAnsi="Times New Roman" w:eastAsia="宋体" w:cs="Times New Roman"/>
                      <w:bCs/>
                      <w:color w:val="auto"/>
                      <w:sz w:val="21"/>
                      <w:szCs w:val="21"/>
                      <w:highlight w:val="none"/>
                      <w:u w:val="none" w:color="auto"/>
                      <w:vertAlign w:val="superscript"/>
                    </w:rPr>
                    <w:t>3</w:t>
                  </w:r>
                  <w:r>
                    <w:rPr>
                      <w:rFonts w:hint="default" w:ascii="Times New Roman" w:hAnsi="Times New Roman" w:eastAsia="宋体" w:cs="Times New Roman"/>
                      <w:bCs/>
                      <w:color w:val="auto"/>
                      <w:sz w:val="21"/>
                      <w:szCs w:val="21"/>
                      <w:highlight w:val="none"/>
                      <w:u w:val="none" w:color="auto"/>
                    </w:rPr>
                    <w:t>；</w:t>
                  </w:r>
                  <w:r>
                    <w:rPr>
                      <w:rFonts w:hint="default" w:ascii="Times New Roman" w:hAnsi="Times New Roman" w:eastAsia="宋体" w:cs="Times New Roman"/>
                      <w:color w:val="auto"/>
                      <w:sz w:val="21"/>
                      <w:szCs w:val="21"/>
                      <w:highlight w:val="none"/>
                      <w:u w:val="none" w:color="auto"/>
                    </w:rPr>
                    <w:t>最大允许排放速率3.5kg/h</w:t>
                  </w:r>
                </w:p>
              </w:tc>
            </w:tr>
            <w:tr w14:paraId="785A10D4">
              <w:tblPrEx>
                <w:tblBorders>
                  <w:top w:val="single" w:color="auto" w:sz="4" w:space="0"/>
                  <w:left w:val="single" w:color="auto" w:sz="4" w:space="0"/>
                  <w:bottom w:val="single" w:color="auto" w:sz="4" w:space="0"/>
                  <w:right w:val="single" w:color="auto" w:sz="4" w:space="0"/>
                  <w:insideH w:val="single" w:color="auto" w:sz="6" w:space="0"/>
                  <w:insideV w:val="single" w:color="auto" w:sz="4" w:space="0"/>
                </w:tblBorders>
                <w:tblCellMar>
                  <w:top w:w="0" w:type="dxa"/>
                  <w:left w:w="108" w:type="dxa"/>
                  <w:bottom w:w="0" w:type="dxa"/>
                  <w:right w:w="108" w:type="dxa"/>
                </w:tblCellMar>
              </w:tblPrEx>
              <w:trPr>
                <w:trHeight w:val="454" w:hRule="atLeast"/>
                <w:jc w:val="center"/>
              </w:trPr>
              <w:tc>
                <w:tcPr>
                  <w:tcW w:w="413" w:type="pct"/>
                  <w:vMerge w:val="continue"/>
                  <w:noWrap w:val="0"/>
                  <w:vAlign w:val="center"/>
                </w:tcPr>
                <w:p w14:paraId="4A874926">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sz w:val="21"/>
                      <w:szCs w:val="21"/>
                      <w:highlight w:val="none"/>
                      <w:u w:val="none" w:color="auto"/>
                    </w:rPr>
                  </w:pPr>
                </w:p>
              </w:tc>
              <w:tc>
                <w:tcPr>
                  <w:tcW w:w="1311" w:type="pct"/>
                  <w:vMerge w:val="restart"/>
                  <w:noWrap w:val="0"/>
                  <w:vAlign w:val="center"/>
                </w:tcPr>
                <w:p w14:paraId="73679793">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eastAsia="zh-CN"/>
                    </w:rPr>
                    <w:t>《</w:t>
                  </w:r>
                  <w:r>
                    <w:rPr>
                      <w:rFonts w:hint="eastAsia" w:cs="Times New Roman"/>
                      <w:color w:val="auto"/>
                      <w:sz w:val="21"/>
                      <w:szCs w:val="21"/>
                      <w:highlight w:val="none"/>
                      <w:u w:val="none" w:color="auto"/>
                      <w:lang w:val="en-US" w:eastAsia="zh-CN"/>
                    </w:rPr>
                    <w:t>工业炉窑大气污染物排放标准</w:t>
                  </w:r>
                  <w:r>
                    <w:rPr>
                      <w:rFonts w:hint="eastAsia" w:cs="Times New Roman"/>
                      <w:color w:val="auto"/>
                      <w:sz w:val="21"/>
                      <w:szCs w:val="21"/>
                      <w:highlight w:val="none"/>
                      <w:u w:val="none" w:color="auto"/>
                      <w:lang w:eastAsia="zh-CN"/>
                    </w:rPr>
                    <w:t>》（</w:t>
                  </w:r>
                  <w:r>
                    <w:rPr>
                      <w:rFonts w:hint="eastAsia" w:cs="Times New Roman"/>
                      <w:color w:val="auto"/>
                      <w:sz w:val="21"/>
                      <w:szCs w:val="21"/>
                      <w:highlight w:val="none"/>
                      <w:u w:val="none" w:color="auto"/>
                      <w:lang w:val="en-US" w:eastAsia="zh-CN"/>
                    </w:rPr>
                    <w:t>DB41/1066-2020</w:t>
                  </w:r>
                  <w:r>
                    <w:rPr>
                      <w:rFonts w:hint="eastAsia" w:cs="Times New Roman"/>
                      <w:color w:val="auto"/>
                      <w:sz w:val="21"/>
                      <w:szCs w:val="21"/>
                      <w:highlight w:val="none"/>
                      <w:u w:val="none" w:color="auto"/>
                      <w:lang w:eastAsia="zh-CN"/>
                    </w:rPr>
                    <w:t>）</w:t>
                  </w:r>
                </w:p>
              </w:tc>
              <w:tc>
                <w:tcPr>
                  <w:tcW w:w="775" w:type="pct"/>
                  <w:vMerge w:val="restart"/>
                  <w:noWrap w:val="0"/>
                  <w:vAlign w:val="center"/>
                </w:tcPr>
                <w:p w14:paraId="71092A6E">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表1车间或生产设施排气筒（其他炉窑）</w:t>
                  </w:r>
                </w:p>
              </w:tc>
              <w:tc>
                <w:tcPr>
                  <w:tcW w:w="930" w:type="pct"/>
                  <w:noWrap w:val="0"/>
                  <w:vAlign w:val="center"/>
                </w:tcPr>
                <w:p w14:paraId="4E1061FF">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颗粒物</w:t>
                  </w:r>
                </w:p>
              </w:tc>
              <w:tc>
                <w:tcPr>
                  <w:tcW w:w="1569" w:type="pct"/>
                  <w:gridSpan w:val="2"/>
                  <w:noWrap w:val="0"/>
                  <w:vAlign w:val="center"/>
                </w:tcPr>
                <w:p w14:paraId="3B32775B">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Cs/>
                      <w:color w:val="auto"/>
                      <w:sz w:val="21"/>
                      <w:szCs w:val="21"/>
                      <w:highlight w:val="none"/>
                      <w:u w:val="none" w:color="auto"/>
                      <w:lang w:val="en-US" w:eastAsia="zh-CN"/>
                    </w:rPr>
                  </w:pPr>
                  <w:r>
                    <w:rPr>
                      <w:rFonts w:hint="eastAsia" w:cs="Times New Roman"/>
                      <w:bCs/>
                      <w:color w:val="auto"/>
                      <w:sz w:val="21"/>
                      <w:szCs w:val="21"/>
                      <w:highlight w:val="none"/>
                      <w:u w:val="none" w:color="auto"/>
                      <w:lang w:val="en-US" w:eastAsia="zh-CN"/>
                    </w:rPr>
                    <w:t>排放限值30</w:t>
                  </w:r>
                  <w:r>
                    <w:rPr>
                      <w:rFonts w:hint="default" w:ascii="Times New Roman" w:hAnsi="Times New Roman" w:eastAsia="宋体" w:cs="Times New Roman"/>
                      <w:b w:val="0"/>
                      <w:bCs w:val="0"/>
                      <w:color w:val="000000" w:themeColor="text1"/>
                      <w:sz w:val="21"/>
                      <w:szCs w:val="21"/>
                      <w:highlight w:val="none"/>
                      <w:u w:val="none" w:color="auto"/>
                      <w14:textFill>
                        <w14:solidFill>
                          <w14:schemeClr w14:val="tx1"/>
                        </w14:solidFill>
                      </w14:textFill>
                    </w:rPr>
                    <w:t>mg/m</w:t>
                  </w:r>
                  <w:r>
                    <w:rPr>
                      <w:rFonts w:hint="default" w:ascii="Times New Roman" w:hAnsi="Times New Roman" w:eastAsia="宋体" w:cs="Times New Roman"/>
                      <w:b w:val="0"/>
                      <w:bCs w:val="0"/>
                      <w:color w:val="000000" w:themeColor="text1"/>
                      <w:sz w:val="21"/>
                      <w:szCs w:val="21"/>
                      <w:highlight w:val="none"/>
                      <w:u w:val="none" w:color="auto"/>
                      <w:vertAlign w:val="superscript"/>
                      <w14:textFill>
                        <w14:solidFill>
                          <w14:schemeClr w14:val="tx1"/>
                        </w14:solidFill>
                      </w14:textFill>
                    </w:rPr>
                    <w:t>3</w:t>
                  </w:r>
                </w:p>
              </w:tc>
            </w:tr>
            <w:tr w14:paraId="5D295E0C">
              <w:tblPrEx>
                <w:tblBorders>
                  <w:top w:val="single" w:color="auto" w:sz="4" w:space="0"/>
                  <w:left w:val="single" w:color="auto" w:sz="4" w:space="0"/>
                  <w:bottom w:val="single" w:color="auto" w:sz="4" w:space="0"/>
                  <w:right w:val="single" w:color="auto" w:sz="4" w:space="0"/>
                  <w:insideH w:val="single" w:color="auto" w:sz="6" w:space="0"/>
                  <w:insideV w:val="single" w:color="auto" w:sz="4" w:space="0"/>
                </w:tblBorders>
                <w:tblCellMar>
                  <w:top w:w="0" w:type="dxa"/>
                  <w:left w:w="108" w:type="dxa"/>
                  <w:bottom w:w="0" w:type="dxa"/>
                  <w:right w:w="108" w:type="dxa"/>
                </w:tblCellMar>
              </w:tblPrEx>
              <w:trPr>
                <w:trHeight w:val="454" w:hRule="atLeast"/>
                <w:jc w:val="center"/>
              </w:trPr>
              <w:tc>
                <w:tcPr>
                  <w:tcW w:w="413" w:type="pct"/>
                  <w:vMerge w:val="continue"/>
                  <w:noWrap w:val="0"/>
                  <w:vAlign w:val="center"/>
                </w:tcPr>
                <w:p w14:paraId="51875F52">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sz w:val="21"/>
                      <w:szCs w:val="21"/>
                      <w:highlight w:val="none"/>
                      <w:u w:val="none" w:color="auto"/>
                    </w:rPr>
                  </w:pPr>
                </w:p>
              </w:tc>
              <w:tc>
                <w:tcPr>
                  <w:tcW w:w="1311" w:type="pct"/>
                  <w:vMerge w:val="continue"/>
                  <w:noWrap w:val="0"/>
                  <w:vAlign w:val="center"/>
                </w:tcPr>
                <w:p w14:paraId="548B87C4">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eastAsia" w:cs="Times New Roman"/>
                      <w:color w:val="auto"/>
                      <w:sz w:val="21"/>
                      <w:szCs w:val="21"/>
                      <w:highlight w:val="none"/>
                      <w:u w:val="none" w:color="auto"/>
                      <w:lang w:eastAsia="zh-CN"/>
                    </w:rPr>
                  </w:pPr>
                </w:p>
              </w:tc>
              <w:tc>
                <w:tcPr>
                  <w:tcW w:w="775" w:type="pct"/>
                  <w:vMerge w:val="continue"/>
                  <w:noWrap w:val="0"/>
                  <w:vAlign w:val="center"/>
                </w:tcPr>
                <w:p w14:paraId="21E7EC65">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eastAsia" w:cs="Times New Roman"/>
                      <w:color w:val="auto"/>
                      <w:sz w:val="21"/>
                      <w:szCs w:val="21"/>
                      <w:highlight w:val="none"/>
                      <w:u w:val="none" w:color="auto"/>
                      <w:lang w:eastAsia="zh-CN"/>
                    </w:rPr>
                  </w:pPr>
                </w:p>
              </w:tc>
              <w:tc>
                <w:tcPr>
                  <w:tcW w:w="930" w:type="pct"/>
                  <w:noWrap w:val="0"/>
                  <w:vAlign w:val="center"/>
                </w:tcPr>
                <w:p w14:paraId="3931B49F">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二氧化硫</w:t>
                  </w:r>
                </w:p>
              </w:tc>
              <w:tc>
                <w:tcPr>
                  <w:tcW w:w="1569" w:type="pct"/>
                  <w:gridSpan w:val="2"/>
                  <w:noWrap w:val="0"/>
                  <w:vAlign w:val="center"/>
                </w:tcPr>
                <w:p w14:paraId="49D511D5">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Cs/>
                      <w:color w:val="auto"/>
                      <w:sz w:val="21"/>
                      <w:szCs w:val="21"/>
                      <w:highlight w:val="none"/>
                      <w:u w:val="none" w:color="auto"/>
                    </w:rPr>
                  </w:pPr>
                  <w:r>
                    <w:rPr>
                      <w:rFonts w:hint="eastAsia" w:cs="Times New Roman"/>
                      <w:bCs/>
                      <w:color w:val="auto"/>
                      <w:sz w:val="21"/>
                      <w:szCs w:val="21"/>
                      <w:highlight w:val="none"/>
                      <w:u w:val="none" w:color="auto"/>
                      <w:lang w:val="en-US" w:eastAsia="zh-CN"/>
                    </w:rPr>
                    <w:t>排放限值200</w:t>
                  </w:r>
                  <w:r>
                    <w:rPr>
                      <w:rFonts w:hint="default" w:ascii="Times New Roman" w:hAnsi="Times New Roman" w:eastAsia="宋体" w:cs="Times New Roman"/>
                      <w:b w:val="0"/>
                      <w:bCs w:val="0"/>
                      <w:color w:val="000000" w:themeColor="text1"/>
                      <w:sz w:val="21"/>
                      <w:szCs w:val="21"/>
                      <w:highlight w:val="none"/>
                      <w:u w:val="none" w:color="auto"/>
                      <w14:textFill>
                        <w14:solidFill>
                          <w14:schemeClr w14:val="tx1"/>
                        </w14:solidFill>
                      </w14:textFill>
                    </w:rPr>
                    <w:t>mg/m</w:t>
                  </w:r>
                  <w:r>
                    <w:rPr>
                      <w:rFonts w:hint="default" w:ascii="Times New Roman" w:hAnsi="Times New Roman" w:eastAsia="宋体" w:cs="Times New Roman"/>
                      <w:b w:val="0"/>
                      <w:bCs w:val="0"/>
                      <w:color w:val="000000" w:themeColor="text1"/>
                      <w:sz w:val="21"/>
                      <w:szCs w:val="21"/>
                      <w:highlight w:val="none"/>
                      <w:u w:val="none" w:color="auto"/>
                      <w:vertAlign w:val="superscript"/>
                      <w14:textFill>
                        <w14:solidFill>
                          <w14:schemeClr w14:val="tx1"/>
                        </w14:solidFill>
                      </w14:textFill>
                    </w:rPr>
                    <w:t>3</w:t>
                  </w:r>
                </w:p>
              </w:tc>
            </w:tr>
            <w:tr w14:paraId="781E0658">
              <w:tblPrEx>
                <w:tblBorders>
                  <w:top w:val="single" w:color="auto" w:sz="4" w:space="0"/>
                  <w:left w:val="single" w:color="auto" w:sz="4" w:space="0"/>
                  <w:bottom w:val="single" w:color="auto" w:sz="4" w:space="0"/>
                  <w:right w:val="single" w:color="auto" w:sz="4" w:space="0"/>
                  <w:insideH w:val="single" w:color="auto" w:sz="6" w:space="0"/>
                  <w:insideV w:val="single" w:color="auto" w:sz="4" w:space="0"/>
                </w:tblBorders>
                <w:tblCellMar>
                  <w:top w:w="0" w:type="dxa"/>
                  <w:left w:w="108" w:type="dxa"/>
                  <w:bottom w:w="0" w:type="dxa"/>
                  <w:right w:w="108" w:type="dxa"/>
                </w:tblCellMar>
              </w:tblPrEx>
              <w:trPr>
                <w:trHeight w:val="454" w:hRule="atLeast"/>
                <w:jc w:val="center"/>
              </w:trPr>
              <w:tc>
                <w:tcPr>
                  <w:tcW w:w="413" w:type="pct"/>
                  <w:vMerge w:val="continue"/>
                  <w:noWrap w:val="0"/>
                  <w:vAlign w:val="center"/>
                </w:tcPr>
                <w:p w14:paraId="578250B8">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sz w:val="21"/>
                      <w:szCs w:val="21"/>
                      <w:highlight w:val="none"/>
                      <w:u w:val="none" w:color="auto"/>
                    </w:rPr>
                  </w:pPr>
                </w:p>
              </w:tc>
              <w:tc>
                <w:tcPr>
                  <w:tcW w:w="1311" w:type="pct"/>
                  <w:vMerge w:val="continue"/>
                  <w:noWrap w:val="0"/>
                  <w:vAlign w:val="center"/>
                </w:tcPr>
                <w:p w14:paraId="092C4060">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eastAsia" w:cs="Times New Roman"/>
                      <w:color w:val="auto"/>
                      <w:sz w:val="21"/>
                      <w:szCs w:val="21"/>
                      <w:highlight w:val="none"/>
                      <w:u w:val="none" w:color="auto"/>
                      <w:lang w:eastAsia="zh-CN"/>
                    </w:rPr>
                  </w:pPr>
                </w:p>
              </w:tc>
              <w:tc>
                <w:tcPr>
                  <w:tcW w:w="775" w:type="pct"/>
                  <w:vMerge w:val="continue"/>
                  <w:noWrap w:val="0"/>
                  <w:vAlign w:val="center"/>
                </w:tcPr>
                <w:p w14:paraId="62C52EEE">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eastAsia" w:cs="Times New Roman"/>
                      <w:color w:val="auto"/>
                      <w:sz w:val="21"/>
                      <w:szCs w:val="21"/>
                      <w:highlight w:val="none"/>
                      <w:u w:val="none" w:color="auto"/>
                      <w:lang w:eastAsia="zh-CN"/>
                    </w:rPr>
                  </w:pPr>
                </w:p>
              </w:tc>
              <w:tc>
                <w:tcPr>
                  <w:tcW w:w="930" w:type="pct"/>
                  <w:noWrap w:val="0"/>
                  <w:vAlign w:val="center"/>
                </w:tcPr>
                <w:p w14:paraId="7FC69B3F">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氮氧化物</w:t>
                  </w:r>
                </w:p>
              </w:tc>
              <w:tc>
                <w:tcPr>
                  <w:tcW w:w="1569" w:type="pct"/>
                  <w:gridSpan w:val="2"/>
                  <w:noWrap w:val="0"/>
                  <w:vAlign w:val="center"/>
                </w:tcPr>
                <w:p w14:paraId="24A3B8C3">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Cs/>
                      <w:color w:val="auto"/>
                      <w:sz w:val="21"/>
                      <w:szCs w:val="21"/>
                      <w:highlight w:val="none"/>
                      <w:u w:val="none" w:color="auto"/>
                    </w:rPr>
                  </w:pPr>
                  <w:r>
                    <w:rPr>
                      <w:rFonts w:hint="eastAsia" w:cs="Times New Roman"/>
                      <w:bCs/>
                      <w:color w:val="auto"/>
                      <w:sz w:val="21"/>
                      <w:szCs w:val="21"/>
                      <w:highlight w:val="none"/>
                      <w:u w:val="none" w:color="auto"/>
                      <w:lang w:val="en-US" w:eastAsia="zh-CN"/>
                    </w:rPr>
                    <w:t>排放限值300</w:t>
                  </w:r>
                  <w:r>
                    <w:rPr>
                      <w:rFonts w:hint="default" w:ascii="Times New Roman" w:hAnsi="Times New Roman" w:eastAsia="宋体" w:cs="Times New Roman"/>
                      <w:b w:val="0"/>
                      <w:bCs w:val="0"/>
                      <w:color w:val="000000" w:themeColor="text1"/>
                      <w:sz w:val="21"/>
                      <w:szCs w:val="21"/>
                      <w:highlight w:val="none"/>
                      <w:u w:val="none" w:color="auto"/>
                      <w14:textFill>
                        <w14:solidFill>
                          <w14:schemeClr w14:val="tx1"/>
                        </w14:solidFill>
                      </w14:textFill>
                    </w:rPr>
                    <w:t>mg/m</w:t>
                  </w:r>
                  <w:r>
                    <w:rPr>
                      <w:rFonts w:hint="default" w:ascii="Times New Roman" w:hAnsi="Times New Roman" w:eastAsia="宋体" w:cs="Times New Roman"/>
                      <w:b w:val="0"/>
                      <w:bCs w:val="0"/>
                      <w:color w:val="000000" w:themeColor="text1"/>
                      <w:sz w:val="21"/>
                      <w:szCs w:val="21"/>
                      <w:highlight w:val="none"/>
                      <w:u w:val="none" w:color="auto"/>
                      <w:vertAlign w:val="superscript"/>
                      <w14:textFill>
                        <w14:solidFill>
                          <w14:schemeClr w14:val="tx1"/>
                        </w14:solidFill>
                      </w14:textFill>
                    </w:rPr>
                    <w:t>3</w:t>
                  </w:r>
                </w:p>
              </w:tc>
            </w:tr>
            <w:tr w14:paraId="0A9AB287">
              <w:tblPrEx>
                <w:tblBorders>
                  <w:top w:val="single" w:color="auto" w:sz="4" w:space="0"/>
                  <w:left w:val="single" w:color="auto" w:sz="4" w:space="0"/>
                  <w:bottom w:val="single" w:color="auto" w:sz="4" w:space="0"/>
                  <w:right w:val="single" w:color="auto" w:sz="4" w:space="0"/>
                  <w:insideH w:val="single" w:color="auto" w:sz="6" w:space="0"/>
                  <w:insideV w:val="single" w:color="auto" w:sz="4" w:space="0"/>
                </w:tblBorders>
                <w:tblCellMar>
                  <w:top w:w="0" w:type="dxa"/>
                  <w:left w:w="108" w:type="dxa"/>
                  <w:bottom w:w="0" w:type="dxa"/>
                  <w:right w:w="108" w:type="dxa"/>
                </w:tblCellMar>
              </w:tblPrEx>
              <w:trPr>
                <w:trHeight w:val="454" w:hRule="atLeast"/>
                <w:jc w:val="center"/>
              </w:trPr>
              <w:tc>
                <w:tcPr>
                  <w:tcW w:w="413" w:type="pct"/>
                  <w:vMerge w:val="continue"/>
                  <w:noWrap w:val="0"/>
                  <w:vAlign w:val="center"/>
                </w:tcPr>
                <w:p w14:paraId="2EB49DEE">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7030A0"/>
                      <w:sz w:val="21"/>
                      <w:szCs w:val="21"/>
                      <w:highlight w:val="none"/>
                      <w:u w:val="none" w:color="auto"/>
                    </w:rPr>
                  </w:pPr>
                </w:p>
              </w:tc>
              <w:tc>
                <w:tcPr>
                  <w:tcW w:w="1311" w:type="pct"/>
                  <w:vMerge w:val="continue"/>
                  <w:noWrap w:val="0"/>
                  <w:vAlign w:val="center"/>
                </w:tcPr>
                <w:p w14:paraId="589EEC9D">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000000" w:themeColor="text1"/>
                      <w:sz w:val="21"/>
                      <w:szCs w:val="21"/>
                      <w:highlight w:val="none"/>
                      <w:u w:val="none" w:color="auto"/>
                      <w:lang w:val="en-US"/>
                      <w14:textFill>
                        <w14:solidFill>
                          <w14:schemeClr w14:val="tx1"/>
                        </w14:solidFill>
                      </w14:textFill>
                    </w:rPr>
                  </w:pPr>
                </w:p>
              </w:tc>
              <w:tc>
                <w:tcPr>
                  <w:tcW w:w="775" w:type="pct"/>
                  <w:vMerge w:val="continue"/>
                  <w:noWrap w:val="0"/>
                  <w:vAlign w:val="center"/>
                </w:tcPr>
                <w:p w14:paraId="77A5B18C">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000000" w:themeColor="text1"/>
                      <w:sz w:val="21"/>
                      <w:szCs w:val="21"/>
                      <w:highlight w:val="none"/>
                      <w:u w:val="none" w:color="auto"/>
                      <w:lang w:val="en-US"/>
                      <w14:textFill>
                        <w14:solidFill>
                          <w14:schemeClr w14:val="tx1"/>
                        </w14:solidFill>
                      </w14:textFill>
                    </w:rPr>
                  </w:pPr>
                </w:p>
              </w:tc>
              <w:tc>
                <w:tcPr>
                  <w:tcW w:w="930" w:type="pct"/>
                  <w:noWrap w:val="0"/>
                  <w:vAlign w:val="center"/>
                </w:tcPr>
                <w:p w14:paraId="3472D0D5">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color="auto"/>
                      <w:lang w:val="en-US" w:eastAsia="zh-CN"/>
                      <w14:textFill>
                        <w14:solidFill>
                          <w14:schemeClr w14:val="tx1"/>
                        </w14:solidFill>
                      </w14:textFill>
                    </w:rPr>
                  </w:pPr>
                  <w:r>
                    <w:rPr>
                      <w:rFonts w:hint="eastAsia" w:cs="Times New Roman"/>
                      <w:b w:val="0"/>
                      <w:bCs w:val="0"/>
                      <w:color w:val="000000" w:themeColor="text1"/>
                      <w:sz w:val="21"/>
                      <w:szCs w:val="21"/>
                      <w:highlight w:val="none"/>
                      <w:u w:val="none" w:color="auto"/>
                      <w:lang w:val="en-US" w:eastAsia="zh-CN"/>
                      <w14:textFill>
                        <w14:solidFill>
                          <w14:schemeClr w14:val="tx1"/>
                        </w14:solidFill>
                      </w14:textFill>
                    </w:rPr>
                    <w:t>烟气黑度（林格曼黑度）</w:t>
                  </w:r>
                </w:p>
              </w:tc>
              <w:tc>
                <w:tcPr>
                  <w:tcW w:w="1569" w:type="pct"/>
                  <w:gridSpan w:val="2"/>
                  <w:noWrap w:val="0"/>
                  <w:vAlign w:val="center"/>
                </w:tcPr>
                <w:p w14:paraId="16ECA863">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color="auto"/>
                      <w:lang w:val="en-US" w:eastAsia="zh-CN"/>
                      <w14:textFill>
                        <w14:solidFill>
                          <w14:schemeClr w14:val="tx1"/>
                        </w14:solidFill>
                      </w14:textFill>
                    </w:rPr>
                  </w:pPr>
                  <w:r>
                    <w:rPr>
                      <w:rFonts w:hint="eastAsia" w:cs="Times New Roman"/>
                      <w:b w:val="0"/>
                      <w:bCs w:val="0"/>
                      <w:color w:val="000000" w:themeColor="text1"/>
                      <w:sz w:val="21"/>
                      <w:szCs w:val="21"/>
                      <w:highlight w:val="none"/>
                      <w:u w:val="none" w:color="auto"/>
                      <w:lang w:val="en-US" w:eastAsia="zh-CN"/>
                      <w14:textFill>
                        <w14:solidFill>
                          <w14:schemeClr w14:val="tx1"/>
                        </w14:solidFill>
                      </w14:textFill>
                    </w:rPr>
                    <w:t>1级</w:t>
                  </w:r>
                </w:p>
              </w:tc>
            </w:tr>
            <w:tr w14:paraId="6DB92CF0">
              <w:tblPrEx>
                <w:tblBorders>
                  <w:top w:val="single" w:color="auto" w:sz="4" w:space="0"/>
                  <w:left w:val="single" w:color="auto" w:sz="4" w:space="0"/>
                  <w:bottom w:val="single" w:color="auto" w:sz="4" w:space="0"/>
                  <w:right w:val="single" w:color="auto" w:sz="4" w:space="0"/>
                  <w:insideH w:val="single" w:color="auto" w:sz="6" w:space="0"/>
                  <w:insideV w:val="single" w:color="auto" w:sz="4" w:space="0"/>
                </w:tblBorders>
                <w:tblCellMar>
                  <w:top w:w="0" w:type="dxa"/>
                  <w:left w:w="108" w:type="dxa"/>
                  <w:bottom w:w="0" w:type="dxa"/>
                  <w:right w:w="108" w:type="dxa"/>
                </w:tblCellMar>
              </w:tblPrEx>
              <w:trPr>
                <w:trHeight w:val="454" w:hRule="atLeast"/>
                <w:jc w:val="center"/>
              </w:trPr>
              <w:tc>
                <w:tcPr>
                  <w:tcW w:w="413" w:type="pct"/>
                  <w:vMerge w:val="continue"/>
                  <w:noWrap w:val="0"/>
                  <w:vAlign w:val="center"/>
                </w:tcPr>
                <w:p w14:paraId="08034E66">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7030A0"/>
                      <w:sz w:val="21"/>
                      <w:szCs w:val="21"/>
                      <w:highlight w:val="none"/>
                      <w:u w:val="none" w:color="auto"/>
                    </w:rPr>
                  </w:pPr>
                </w:p>
              </w:tc>
              <w:tc>
                <w:tcPr>
                  <w:tcW w:w="1311" w:type="pct"/>
                  <w:vMerge w:val="continue"/>
                  <w:noWrap w:val="0"/>
                  <w:vAlign w:val="center"/>
                </w:tcPr>
                <w:p w14:paraId="42B93ECB">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000000" w:themeColor="text1"/>
                      <w:sz w:val="21"/>
                      <w:szCs w:val="21"/>
                      <w:highlight w:val="none"/>
                      <w:u w:val="none" w:color="auto"/>
                      <w:lang w:val="en-US"/>
                      <w14:textFill>
                        <w14:solidFill>
                          <w14:schemeClr w14:val="tx1"/>
                        </w14:solidFill>
                      </w14:textFill>
                    </w:rPr>
                  </w:pPr>
                </w:p>
              </w:tc>
              <w:tc>
                <w:tcPr>
                  <w:tcW w:w="775" w:type="pct"/>
                  <w:noWrap w:val="0"/>
                  <w:vAlign w:val="center"/>
                </w:tcPr>
                <w:p w14:paraId="669AE630">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eastAsia" w:cs="Times New Roman"/>
                      <w:color w:val="000000" w:themeColor="text1"/>
                      <w:sz w:val="21"/>
                      <w:szCs w:val="21"/>
                      <w:highlight w:val="none"/>
                      <w:u w:val="none" w:color="auto"/>
                      <w:lang w:val="en-US" w:eastAsia="zh-CN"/>
                      <w14:textFill>
                        <w14:solidFill>
                          <w14:schemeClr w14:val="tx1"/>
                        </w14:solidFill>
                      </w14:textFill>
                    </w:rPr>
                    <w:t>表3</w:t>
                  </w:r>
                  <w:r>
                    <w:rPr>
                      <w:rFonts w:hint="eastAsia" w:ascii="Times New Roman" w:hAnsi="Times New Roman" w:eastAsia="宋体" w:cs="Times New Roman"/>
                      <w:b w:val="0"/>
                      <w:bCs w:val="0"/>
                      <w:color w:val="000000" w:themeColor="text1"/>
                      <w:sz w:val="21"/>
                      <w:szCs w:val="21"/>
                      <w:highlight w:val="none"/>
                      <w:u w:val="none" w:color="auto"/>
                      <w:vertAlign w:val="baseline"/>
                      <w:lang w:val="en-US" w:eastAsia="zh-CN"/>
                      <w14:textFill>
                        <w14:solidFill>
                          <w14:schemeClr w14:val="tx1"/>
                        </w14:solidFill>
                      </w14:textFill>
                    </w:rPr>
                    <w:t>企业边界</w:t>
                  </w:r>
                </w:p>
              </w:tc>
              <w:tc>
                <w:tcPr>
                  <w:tcW w:w="930" w:type="pct"/>
                  <w:noWrap w:val="0"/>
                  <w:vAlign w:val="center"/>
                </w:tcPr>
                <w:p w14:paraId="2A712F9F">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cs="Times New Roman"/>
                      <w:b w:val="0"/>
                      <w:bCs w:val="0"/>
                      <w:color w:val="000000" w:themeColor="text1"/>
                      <w:sz w:val="21"/>
                      <w:szCs w:val="21"/>
                      <w:highlight w:val="none"/>
                      <w:u w:val="none" w:color="auto"/>
                      <w:lang w:val="en-US" w:eastAsia="zh-CN"/>
                      <w14:textFill>
                        <w14:solidFill>
                          <w14:schemeClr w14:val="tx1"/>
                        </w14:solidFill>
                      </w14:textFill>
                    </w:rPr>
                  </w:pPr>
                  <w:r>
                    <w:rPr>
                      <w:rFonts w:hint="eastAsia" w:cs="Times New Roman"/>
                      <w:b w:val="0"/>
                      <w:bCs w:val="0"/>
                      <w:color w:val="000000" w:themeColor="text1"/>
                      <w:sz w:val="21"/>
                      <w:szCs w:val="21"/>
                      <w:highlight w:val="none"/>
                      <w:u w:val="none" w:color="auto"/>
                      <w:lang w:val="en-US" w:eastAsia="zh-CN"/>
                      <w14:textFill>
                        <w14:solidFill>
                          <w14:schemeClr w14:val="tx1"/>
                        </w14:solidFill>
                      </w14:textFill>
                    </w:rPr>
                    <w:t>颗粒物</w:t>
                  </w:r>
                </w:p>
              </w:tc>
              <w:tc>
                <w:tcPr>
                  <w:tcW w:w="1569" w:type="pct"/>
                  <w:gridSpan w:val="2"/>
                  <w:noWrap w:val="0"/>
                  <w:vAlign w:val="center"/>
                </w:tcPr>
                <w:p w14:paraId="3690C76E">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eastAsia" w:eastAsia="宋体" w:cs="Times New Roman"/>
                      <w:b w:val="0"/>
                      <w:bCs w:val="0"/>
                      <w:color w:val="000000" w:themeColor="text1"/>
                      <w:sz w:val="21"/>
                      <w:szCs w:val="21"/>
                      <w:highlight w:val="none"/>
                      <w:u w:val="none" w:color="auto"/>
                      <w:lang w:val="en-US" w:eastAsia="zh-CN"/>
                      <w14:textFill>
                        <w14:solidFill>
                          <w14:schemeClr w14:val="tx1"/>
                        </w14:solidFill>
                      </w14:textFill>
                    </w:rPr>
                  </w:pPr>
                  <w:r>
                    <w:rPr>
                      <w:rFonts w:hint="eastAsia" w:cs="Times New Roman"/>
                      <w:b w:val="0"/>
                      <w:bCs w:val="0"/>
                      <w:color w:val="000000" w:themeColor="text1"/>
                      <w:sz w:val="21"/>
                      <w:szCs w:val="21"/>
                      <w:highlight w:val="none"/>
                      <w:u w:val="none" w:color="auto"/>
                      <w:lang w:val="en-US" w:eastAsia="zh-CN"/>
                      <w14:textFill>
                        <w14:solidFill>
                          <w14:schemeClr w14:val="tx1"/>
                        </w14:solidFill>
                      </w14:textFill>
                    </w:rPr>
                    <w:t>周界外最高允许浓度1.0</w:t>
                  </w:r>
                  <w:r>
                    <w:rPr>
                      <w:rFonts w:hint="default" w:ascii="Times New Roman" w:hAnsi="Times New Roman" w:eastAsia="宋体" w:cs="Times New Roman"/>
                      <w:b w:val="0"/>
                      <w:bCs w:val="0"/>
                      <w:color w:val="000000" w:themeColor="text1"/>
                      <w:sz w:val="21"/>
                      <w:szCs w:val="21"/>
                      <w:highlight w:val="none"/>
                      <w:u w:val="none" w:color="auto"/>
                      <w14:textFill>
                        <w14:solidFill>
                          <w14:schemeClr w14:val="tx1"/>
                        </w14:solidFill>
                      </w14:textFill>
                    </w:rPr>
                    <w:t>mg/m</w:t>
                  </w:r>
                  <w:r>
                    <w:rPr>
                      <w:rFonts w:hint="default" w:ascii="Times New Roman" w:hAnsi="Times New Roman" w:eastAsia="宋体" w:cs="Times New Roman"/>
                      <w:b w:val="0"/>
                      <w:bCs w:val="0"/>
                      <w:color w:val="000000" w:themeColor="text1"/>
                      <w:sz w:val="21"/>
                      <w:szCs w:val="21"/>
                      <w:highlight w:val="none"/>
                      <w:u w:val="none" w:color="auto"/>
                      <w:vertAlign w:val="superscript"/>
                      <w14:textFill>
                        <w14:solidFill>
                          <w14:schemeClr w14:val="tx1"/>
                        </w14:solidFill>
                      </w14:textFill>
                    </w:rPr>
                    <w:t>3</w:t>
                  </w:r>
                </w:p>
              </w:tc>
            </w:tr>
            <w:tr w14:paraId="1D4F2521">
              <w:tblPrEx>
                <w:tblBorders>
                  <w:top w:val="single" w:color="auto" w:sz="4" w:space="0"/>
                  <w:left w:val="single" w:color="auto" w:sz="4" w:space="0"/>
                  <w:bottom w:val="single" w:color="auto" w:sz="4" w:space="0"/>
                  <w:right w:val="single" w:color="auto" w:sz="4" w:space="0"/>
                  <w:insideH w:val="single" w:color="auto" w:sz="6" w:space="0"/>
                  <w:insideV w:val="single" w:color="auto" w:sz="4" w:space="0"/>
                </w:tblBorders>
                <w:tblCellMar>
                  <w:top w:w="0" w:type="dxa"/>
                  <w:left w:w="108" w:type="dxa"/>
                  <w:bottom w:w="0" w:type="dxa"/>
                  <w:right w:w="108" w:type="dxa"/>
                </w:tblCellMar>
              </w:tblPrEx>
              <w:trPr>
                <w:trHeight w:val="454" w:hRule="atLeast"/>
                <w:jc w:val="center"/>
              </w:trPr>
              <w:tc>
                <w:tcPr>
                  <w:tcW w:w="413" w:type="pct"/>
                  <w:vMerge w:val="continue"/>
                  <w:noWrap w:val="0"/>
                  <w:vAlign w:val="center"/>
                </w:tcPr>
                <w:p w14:paraId="1C1195C5">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7030A0"/>
                      <w:sz w:val="21"/>
                      <w:szCs w:val="21"/>
                      <w:highlight w:val="none"/>
                      <w:u w:val="none" w:color="auto"/>
                    </w:rPr>
                  </w:pPr>
                </w:p>
              </w:tc>
              <w:tc>
                <w:tcPr>
                  <w:tcW w:w="1311" w:type="pct"/>
                  <w:vMerge w:val="restart"/>
                  <w:noWrap w:val="0"/>
                  <w:vAlign w:val="center"/>
                </w:tcPr>
                <w:p w14:paraId="26B6911F">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《河南省重污染天气</w:t>
                  </w:r>
                  <w:r>
                    <w:rPr>
                      <w:rFonts w:hint="eastAsia" w:cs="Times New Roman"/>
                      <w:color w:val="000000" w:themeColor="text1"/>
                      <w:sz w:val="21"/>
                      <w:szCs w:val="21"/>
                      <w:highlight w:val="none"/>
                      <w:u w:val="none" w:color="auto"/>
                      <w:lang w:val="en-US" w:eastAsia="zh-CN"/>
                      <w14:textFill>
                        <w14:solidFill>
                          <w14:schemeClr w14:val="tx1"/>
                        </w14:solidFill>
                      </w14:textFill>
                    </w:rPr>
                    <w:t>通用</w:t>
                  </w: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行业应急减排措施制定技术指南》（202</w:t>
                  </w:r>
                  <w:r>
                    <w:rPr>
                      <w:rFonts w:hint="eastAsia" w:cs="Times New Roman"/>
                      <w:color w:val="000000" w:themeColor="text1"/>
                      <w:sz w:val="21"/>
                      <w:szCs w:val="21"/>
                      <w:highlight w:val="none"/>
                      <w:u w:val="none" w:color="auto"/>
                      <w:lang w:val="en-US" w:eastAsia="zh-CN"/>
                      <w14:textFill>
                        <w14:solidFill>
                          <w14:schemeClr w14:val="tx1"/>
                        </w14:solidFill>
                      </w14:textFill>
                    </w:rPr>
                    <w:t>4</w:t>
                  </w: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年修订版）</w:t>
                  </w:r>
                </w:p>
              </w:tc>
              <w:tc>
                <w:tcPr>
                  <w:tcW w:w="775" w:type="pct"/>
                  <w:noWrap w:val="0"/>
                  <w:vAlign w:val="center"/>
                </w:tcPr>
                <w:p w14:paraId="651196EC">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w:t>
                  </w:r>
                  <w:r>
                    <w:rPr>
                      <w:rFonts w:hint="eastAsia" w:cs="Times New Roman"/>
                      <w:color w:val="000000" w:themeColor="text1"/>
                      <w:sz w:val="21"/>
                      <w:szCs w:val="21"/>
                      <w:highlight w:val="none"/>
                      <w:u w:val="none" w:color="auto"/>
                      <w:lang w:val="en-US" w:eastAsia="zh-CN"/>
                      <w14:textFill>
                        <w14:solidFill>
                          <w14:schemeClr w14:val="tx1"/>
                        </w14:solidFill>
                      </w14:textFill>
                    </w:rPr>
                    <w:t>涉PM企业</w:t>
                  </w:r>
                  <w:r>
                    <w:rPr>
                      <w:rFonts w:hint="eastAsia"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w:t>
                  </w:r>
                </w:p>
              </w:tc>
              <w:tc>
                <w:tcPr>
                  <w:tcW w:w="930" w:type="pct"/>
                  <w:noWrap w:val="0"/>
                  <w:vAlign w:val="center"/>
                </w:tcPr>
                <w:p w14:paraId="4F265EA2">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color="auto"/>
                      <w:lang w:val="en-US" w:eastAsia="zh-CN"/>
                      <w14:textFill>
                        <w14:solidFill>
                          <w14:schemeClr w14:val="tx1"/>
                        </w14:solidFill>
                      </w14:textFill>
                    </w:rPr>
                  </w:pPr>
                  <w:r>
                    <w:rPr>
                      <w:rFonts w:hint="eastAsia" w:cs="Times New Roman"/>
                      <w:b w:val="0"/>
                      <w:bCs w:val="0"/>
                      <w:color w:val="000000" w:themeColor="text1"/>
                      <w:sz w:val="21"/>
                      <w:szCs w:val="21"/>
                      <w:highlight w:val="none"/>
                      <w:u w:val="none" w:color="auto"/>
                      <w:lang w:val="en-US" w:eastAsia="zh-CN"/>
                      <w14:textFill>
                        <w14:solidFill>
                          <w14:schemeClr w14:val="tx1"/>
                        </w14:solidFill>
                      </w14:textFill>
                    </w:rPr>
                    <w:t>PM</w:t>
                  </w:r>
                </w:p>
              </w:tc>
              <w:tc>
                <w:tcPr>
                  <w:tcW w:w="1569" w:type="pct"/>
                  <w:gridSpan w:val="2"/>
                  <w:noWrap w:val="0"/>
                  <w:vAlign w:val="center"/>
                </w:tcPr>
                <w:p w14:paraId="7F740AAD">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u w:val="none" w:color="auto"/>
                      <w:lang w:val="en-US" w:eastAsia="zh-CN"/>
                      <w14:textFill>
                        <w14:solidFill>
                          <w14:schemeClr w14:val="tx1"/>
                        </w14:solidFill>
                      </w14:textFill>
                    </w:rPr>
                    <w:t>排放限值10</w:t>
                  </w:r>
                  <w:r>
                    <w:rPr>
                      <w:rFonts w:hint="default" w:ascii="Times New Roman" w:hAnsi="Times New Roman" w:eastAsia="宋体" w:cs="Times New Roman"/>
                      <w:b w:val="0"/>
                      <w:bCs w:val="0"/>
                      <w:color w:val="000000" w:themeColor="text1"/>
                      <w:sz w:val="21"/>
                      <w:szCs w:val="21"/>
                      <w:highlight w:val="none"/>
                      <w:u w:val="none" w:color="auto"/>
                      <w14:textFill>
                        <w14:solidFill>
                          <w14:schemeClr w14:val="tx1"/>
                        </w14:solidFill>
                      </w14:textFill>
                    </w:rPr>
                    <w:t>mg/m</w:t>
                  </w:r>
                  <w:r>
                    <w:rPr>
                      <w:rFonts w:hint="default" w:ascii="Times New Roman" w:hAnsi="Times New Roman" w:eastAsia="宋体" w:cs="Times New Roman"/>
                      <w:b w:val="0"/>
                      <w:bCs w:val="0"/>
                      <w:color w:val="000000" w:themeColor="text1"/>
                      <w:sz w:val="21"/>
                      <w:szCs w:val="21"/>
                      <w:highlight w:val="none"/>
                      <w:u w:val="none" w:color="auto"/>
                      <w:vertAlign w:val="superscript"/>
                      <w14:textFill>
                        <w14:solidFill>
                          <w14:schemeClr w14:val="tx1"/>
                        </w14:solidFill>
                      </w14:textFill>
                    </w:rPr>
                    <w:t>3</w:t>
                  </w:r>
                </w:p>
              </w:tc>
            </w:tr>
            <w:tr w14:paraId="706E12F0">
              <w:tblPrEx>
                <w:tblBorders>
                  <w:top w:val="single" w:color="auto" w:sz="4" w:space="0"/>
                  <w:left w:val="single" w:color="auto" w:sz="4" w:space="0"/>
                  <w:bottom w:val="single" w:color="auto" w:sz="4" w:space="0"/>
                  <w:right w:val="single" w:color="auto" w:sz="4" w:space="0"/>
                  <w:insideH w:val="single" w:color="auto" w:sz="6" w:space="0"/>
                  <w:insideV w:val="single" w:color="auto" w:sz="4" w:space="0"/>
                </w:tblBorders>
                <w:tblCellMar>
                  <w:top w:w="0" w:type="dxa"/>
                  <w:left w:w="108" w:type="dxa"/>
                  <w:bottom w:w="0" w:type="dxa"/>
                  <w:right w:w="108" w:type="dxa"/>
                </w:tblCellMar>
              </w:tblPrEx>
              <w:trPr>
                <w:trHeight w:val="454" w:hRule="atLeast"/>
                <w:jc w:val="center"/>
              </w:trPr>
              <w:tc>
                <w:tcPr>
                  <w:tcW w:w="413" w:type="pct"/>
                  <w:vMerge w:val="continue"/>
                  <w:noWrap w:val="0"/>
                  <w:vAlign w:val="center"/>
                </w:tcPr>
                <w:p w14:paraId="16863999">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7030A0"/>
                      <w:sz w:val="21"/>
                      <w:szCs w:val="21"/>
                      <w:highlight w:val="none"/>
                      <w:u w:val="none" w:color="auto"/>
                    </w:rPr>
                  </w:pPr>
                </w:p>
              </w:tc>
              <w:tc>
                <w:tcPr>
                  <w:tcW w:w="1311" w:type="pct"/>
                  <w:vMerge w:val="continue"/>
                  <w:noWrap w:val="0"/>
                  <w:vAlign w:val="center"/>
                </w:tcPr>
                <w:p w14:paraId="27F84A09">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p>
              </w:tc>
              <w:tc>
                <w:tcPr>
                  <w:tcW w:w="775" w:type="pct"/>
                  <w:noWrap w:val="0"/>
                  <w:vAlign w:val="center"/>
                </w:tcPr>
                <w:p w14:paraId="27E3DF94">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w:t>
                  </w:r>
                  <w:r>
                    <w:rPr>
                      <w:rFonts w:hint="eastAsia" w:cs="Times New Roman"/>
                      <w:color w:val="000000" w:themeColor="text1"/>
                      <w:sz w:val="21"/>
                      <w:szCs w:val="21"/>
                      <w:highlight w:val="none"/>
                      <w:u w:val="none" w:color="auto"/>
                      <w:lang w:val="en-US" w:eastAsia="zh-CN"/>
                      <w14:textFill>
                        <w14:solidFill>
                          <w14:schemeClr w14:val="tx1"/>
                        </w14:solidFill>
                      </w14:textFill>
                    </w:rPr>
                    <w:t>涉及锅炉/炉窑</w:t>
                  </w:r>
                  <w:r>
                    <w:rPr>
                      <w:rFonts w:hint="eastAsia"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w:t>
                  </w:r>
                  <w:r>
                    <w:rPr>
                      <w:rFonts w:hint="eastAsia" w:cs="Times New Roman"/>
                      <w:color w:val="000000" w:themeColor="text1"/>
                      <w:sz w:val="21"/>
                      <w:szCs w:val="21"/>
                      <w:highlight w:val="none"/>
                      <w:u w:val="none" w:color="auto"/>
                      <w:lang w:val="en-US" w:eastAsia="zh-CN"/>
                      <w14:textFill>
                        <w14:solidFill>
                          <w14:schemeClr w14:val="tx1"/>
                        </w14:solidFill>
                      </w14:textFill>
                    </w:rPr>
                    <w:t>干燥炉窑</w:t>
                  </w:r>
                </w:p>
              </w:tc>
              <w:tc>
                <w:tcPr>
                  <w:tcW w:w="930" w:type="pct"/>
                  <w:noWrap w:val="0"/>
                  <w:vAlign w:val="center"/>
                </w:tcPr>
                <w:p w14:paraId="29533BBF">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eastAsia" w:cs="Times New Roman"/>
                      <w:b w:val="0"/>
                      <w:bCs w:val="0"/>
                      <w:color w:val="000000" w:themeColor="text1"/>
                      <w:sz w:val="21"/>
                      <w:szCs w:val="21"/>
                      <w:highlight w:val="none"/>
                      <w:u w:val="none" w:color="auto"/>
                      <w:lang w:val="en-US" w:eastAsia="zh-CN"/>
                      <w14:textFill>
                        <w14:solidFill>
                          <w14:schemeClr w14:val="tx1"/>
                        </w14:solidFill>
                      </w14:textFill>
                    </w:rPr>
                  </w:pPr>
                  <w:r>
                    <w:rPr>
                      <w:rFonts w:hint="eastAsia" w:cs="Times New Roman"/>
                      <w:b w:val="0"/>
                      <w:bCs w:val="0"/>
                      <w:color w:val="000000" w:themeColor="text1"/>
                      <w:sz w:val="21"/>
                      <w:szCs w:val="21"/>
                      <w:highlight w:val="none"/>
                      <w:u w:val="none" w:color="auto"/>
                      <w:lang w:val="en-US" w:eastAsia="zh-CN"/>
                      <w14:textFill>
                        <w14:solidFill>
                          <w14:schemeClr w14:val="tx1"/>
                        </w14:solidFill>
                      </w14:textFill>
                    </w:rPr>
                    <w:t>PM、SO</w:t>
                  </w:r>
                  <w:r>
                    <w:rPr>
                      <w:rFonts w:hint="eastAsia" w:cs="Times New Roman"/>
                      <w:b w:val="0"/>
                      <w:bCs w:val="0"/>
                      <w:color w:val="000000" w:themeColor="text1"/>
                      <w:sz w:val="21"/>
                      <w:szCs w:val="21"/>
                      <w:highlight w:val="none"/>
                      <w:u w:val="none" w:color="auto"/>
                      <w:vertAlign w:val="subscript"/>
                      <w:lang w:val="en-US" w:eastAsia="zh-CN"/>
                      <w14:textFill>
                        <w14:solidFill>
                          <w14:schemeClr w14:val="tx1"/>
                        </w14:solidFill>
                      </w14:textFill>
                    </w:rPr>
                    <w:t>2</w:t>
                  </w:r>
                  <w:r>
                    <w:rPr>
                      <w:rFonts w:hint="eastAsia" w:cs="Times New Roman"/>
                      <w:b w:val="0"/>
                      <w:bCs w:val="0"/>
                      <w:color w:val="000000" w:themeColor="text1"/>
                      <w:sz w:val="21"/>
                      <w:szCs w:val="21"/>
                      <w:highlight w:val="none"/>
                      <w:u w:val="none" w:color="auto"/>
                      <w:lang w:val="en-US" w:eastAsia="zh-CN"/>
                      <w14:textFill>
                        <w14:solidFill>
                          <w14:schemeClr w14:val="tx1"/>
                        </w14:solidFill>
                      </w14:textFill>
                    </w:rPr>
                    <w:t>、NOx</w:t>
                  </w:r>
                </w:p>
              </w:tc>
              <w:tc>
                <w:tcPr>
                  <w:tcW w:w="1569" w:type="pct"/>
                  <w:gridSpan w:val="2"/>
                  <w:noWrap w:val="0"/>
                  <w:vAlign w:val="center"/>
                </w:tcPr>
                <w:p w14:paraId="60AB19F2">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eastAsia" w:eastAsia="宋体" w:cs="Times New Roman"/>
                      <w:b w:val="0"/>
                      <w:bCs w:val="0"/>
                      <w:color w:val="000000" w:themeColor="text1"/>
                      <w:sz w:val="21"/>
                      <w:szCs w:val="21"/>
                      <w:highlight w:val="none"/>
                      <w:u w:val="none" w:color="auto"/>
                      <w:lang w:val="en-US" w:eastAsia="zh-CN"/>
                      <w14:textFill>
                        <w14:solidFill>
                          <w14:schemeClr w14:val="tx1"/>
                        </w14:solidFill>
                      </w14:textFill>
                    </w:rPr>
                  </w:pPr>
                  <w:r>
                    <w:rPr>
                      <w:rFonts w:hint="eastAsia" w:cs="Times New Roman"/>
                      <w:b w:val="0"/>
                      <w:bCs w:val="0"/>
                      <w:color w:val="000000" w:themeColor="text1"/>
                      <w:sz w:val="21"/>
                      <w:szCs w:val="21"/>
                      <w:highlight w:val="none"/>
                      <w:u w:val="none" w:color="auto"/>
                      <w:lang w:val="en-US" w:eastAsia="zh-CN"/>
                      <w14:textFill>
                        <w14:solidFill>
                          <w14:schemeClr w14:val="tx1"/>
                        </w14:solidFill>
                      </w14:textFill>
                    </w:rPr>
                    <w:t>排放浓度分别不高于10、35、50</w:t>
                  </w:r>
                  <w:r>
                    <w:rPr>
                      <w:rFonts w:hint="default" w:ascii="Times New Roman" w:hAnsi="Times New Roman" w:eastAsia="宋体" w:cs="Times New Roman"/>
                      <w:b w:val="0"/>
                      <w:bCs w:val="0"/>
                      <w:color w:val="000000" w:themeColor="text1"/>
                      <w:sz w:val="21"/>
                      <w:szCs w:val="21"/>
                      <w:highlight w:val="none"/>
                      <w:u w:val="none" w:color="auto"/>
                      <w14:textFill>
                        <w14:solidFill>
                          <w14:schemeClr w14:val="tx1"/>
                        </w14:solidFill>
                      </w14:textFill>
                    </w:rPr>
                    <w:t>mg/m</w:t>
                  </w:r>
                  <w:r>
                    <w:rPr>
                      <w:rFonts w:hint="default" w:ascii="Times New Roman" w:hAnsi="Times New Roman" w:eastAsia="宋体" w:cs="Times New Roman"/>
                      <w:b w:val="0"/>
                      <w:bCs w:val="0"/>
                      <w:color w:val="000000" w:themeColor="text1"/>
                      <w:sz w:val="21"/>
                      <w:szCs w:val="21"/>
                      <w:highlight w:val="none"/>
                      <w:u w:val="none" w:color="auto"/>
                      <w:vertAlign w:val="superscript"/>
                      <w14:textFill>
                        <w14:solidFill>
                          <w14:schemeClr w14:val="tx1"/>
                        </w14:solidFill>
                      </w14:textFill>
                    </w:rPr>
                    <w:t>3</w:t>
                  </w:r>
                  <w:r>
                    <w:rPr>
                      <w:rFonts w:hint="eastAsia" w:ascii="Times New Roman" w:hAnsi="Times New Roman" w:eastAsia="宋体" w:cs="Times New Roman"/>
                      <w:b w:val="0"/>
                      <w:bCs w:val="0"/>
                      <w:color w:val="000000" w:themeColor="text1"/>
                      <w:sz w:val="21"/>
                      <w:szCs w:val="21"/>
                      <w:highlight w:val="none"/>
                      <w:u w:val="none" w:color="auto"/>
                      <w:vertAlign w:val="baseline"/>
                      <w:lang w:eastAsia="zh-CN"/>
                      <w14:textFill>
                        <w14:solidFill>
                          <w14:schemeClr w14:val="tx1"/>
                        </w14:solidFill>
                      </w14:textFill>
                    </w:rPr>
                    <w:t>（</w:t>
                  </w:r>
                  <w:r>
                    <w:rPr>
                      <w:rFonts w:hint="eastAsia" w:ascii="Times New Roman" w:hAnsi="Times New Roman" w:eastAsia="宋体" w:cs="Times New Roman"/>
                      <w:b w:val="0"/>
                      <w:bCs w:val="0"/>
                      <w:color w:val="000000" w:themeColor="text1"/>
                      <w:sz w:val="21"/>
                      <w:szCs w:val="21"/>
                      <w:highlight w:val="none"/>
                      <w:u w:val="none" w:color="auto"/>
                      <w:vertAlign w:val="baseline"/>
                      <w:lang w:val="en-US" w:eastAsia="zh-CN"/>
                      <w14:textFill>
                        <w14:solidFill>
                          <w14:schemeClr w14:val="tx1"/>
                        </w14:solidFill>
                      </w14:textFill>
                    </w:rPr>
                    <w:t>基准含氧量：</w:t>
                  </w:r>
                  <w:r>
                    <w:rPr>
                      <w:rFonts w:hint="eastAsia" w:cs="Times New Roman"/>
                      <w:b w:val="0"/>
                      <w:bCs w:val="0"/>
                      <w:color w:val="000000" w:themeColor="text1"/>
                      <w:sz w:val="21"/>
                      <w:szCs w:val="21"/>
                      <w:highlight w:val="none"/>
                      <w:u w:val="none" w:color="auto"/>
                      <w:vertAlign w:val="baseline"/>
                      <w:lang w:val="en-US" w:eastAsia="zh-CN"/>
                      <w14:textFill>
                        <w14:solidFill>
                          <w14:schemeClr w14:val="tx1"/>
                        </w14:solidFill>
                      </w14:textFill>
                    </w:rPr>
                    <w:t>3.5</w:t>
                  </w:r>
                  <w:r>
                    <w:rPr>
                      <w:rFonts w:hint="eastAsia" w:ascii="Times New Roman" w:hAnsi="Times New Roman" w:eastAsia="宋体" w:cs="Times New Roman"/>
                      <w:b w:val="0"/>
                      <w:bCs w:val="0"/>
                      <w:color w:val="000000" w:themeColor="text1"/>
                      <w:sz w:val="21"/>
                      <w:szCs w:val="21"/>
                      <w:highlight w:val="none"/>
                      <w:u w:val="none" w:color="auto"/>
                      <w:vertAlign w:val="baseline"/>
                      <w:lang w:val="en-US" w:eastAsia="zh-CN"/>
                      <w14:textFill>
                        <w14:solidFill>
                          <w14:schemeClr w14:val="tx1"/>
                        </w14:solidFill>
                      </w14:textFill>
                    </w:rPr>
                    <w:t>%</w:t>
                  </w:r>
                  <w:r>
                    <w:rPr>
                      <w:rFonts w:hint="eastAsia" w:ascii="Times New Roman" w:hAnsi="Times New Roman" w:eastAsia="宋体" w:cs="Times New Roman"/>
                      <w:b w:val="0"/>
                      <w:bCs w:val="0"/>
                      <w:color w:val="000000" w:themeColor="text1"/>
                      <w:sz w:val="21"/>
                      <w:szCs w:val="21"/>
                      <w:highlight w:val="none"/>
                      <w:u w:val="none" w:color="auto"/>
                      <w:vertAlign w:val="baseline"/>
                      <w:lang w:eastAsia="zh-CN"/>
                      <w14:textFill>
                        <w14:solidFill>
                          <w14:schemeClr w14:val="tx1"/>
                        </w14:solidFill>
                      </w14:textFill>
                    </w:rPr>
                    <w:t>）</w:t>
                  </w:r>
                </w:p>
              </w:tc>
            </w:tr>
            <w:tr w14:paraId="6A2FC587">
              <w:tblPrEx>
                <w:tblBorders>
                  <w:top w:val="single" w:color="auto" w:sz="4" w:space="0"/>
                  <w:left w:val="single" w:color="auto" w:sz="4" w:space="0"/>
                  <w:bottom w:val="single" w:color="auto" w:sz="4" w:space="0"/>
                  <w:right w:val="single" w:color="auto" w:sz="4" w:space="0"/>
                  <w:insideH w:val="single" w:color="auto" w:sz="6" w:space="0"/>
                  <w:insideV w:val="single" w:color="auto" w:sz="4" w:space="0"/>
                </w:tblBorders>
                <w:tblCellMar>
                  <w:top w:w="0" w:type="dxa"/>
                  <w:left w:w="108" w:type="dxa"/>
                  <w:bottom w:w="0" w:type="dxa"/>
                  <w:right w:w="108" w:type="dxa"/>
                </w:tblCellMar>
              </w:tblPrEx>
              <w:trPr>
                <w:trHeight w:val="454" w:hRule="atLeast"/>
                <w:jc w:val="center"/>
              </w:trPr>
              <w:tc>
                <w:tcPr>
                  <w:tcW w:w="413" w:type="pct"/>
                  <w:vMerge w:val="continue"/>
                  <w:noWrap w:val="0"/>
                  <w:vAlign w:val="center"/>
                </w:tcPr>
                <w:p w14:paraId="4FA0FC1C">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7030A0"/>
                      <w:sz w:val="21"/>
                      <w:szCs w:val="21"/>
                      <w:highlight w:val="none"/>
                      <w:u w:val="none" w:color="auto"/>
                    </w:rPr>
                  </w:pPr>
                </w:p>
              </w:tc>
              <w:tc>
                <w:tcPr>
                  <w:tcW w:w="1311" w:type="pct"/>
                  <w:vMerge w:val="continue"/>
                  <w:noWrap w:val="0"/>
                  <w:vAlign w:val="center"/>
                </w:tcPr>
                <w:p w14:paraId="1B7B0428">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p>
              </w:tc>
              <w:tc>
                <w:tcPr>
                  <w:tcW w:w="775" w:type="pct"/>
                  <w:noWrap w:val="0"/>
                  <w:vAlign w:val="center"/>
                </w:tcPr>
                <w:p w14:paraId="5B87A7B9">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eastAsia" w:cs="Times New Roman"/>
                      <w:b w:val="0"/>
                      <w:bCs w:val="0"/>
                      <w:color w:val="000000" w:themeColor="text1"/>
                      <w:sz w:val="21"/>
                      <w:szCs w:val="21"/>
                      <w:highlight w:val="none"/>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w:t>
                  </w:r>
                  <w:r>
                    <w:rPr>
                      <w:rFonts w:hint="eastAsia" w:cs="Times New Roman"/>
                      <w:color w:val="000000" w:themeColor="text1"/>
                      <w:sz w:val="21"/>
                      <w:szCs w:val="21"/>
                      <w:highlight w:val="none"/>
                      <w:u w:val="none" w:color="auto"/>
                      <w:lang w:val="en-US" w:eastAsia="zh-CN"/>
                      <w14:textFill>
                        <w14:solidFill>
                          <w14:schemeClr w14:val="tx1"/>
                        </w14:solidFill>
                      </w14:textFill>
                    </w:rPr>
                    <w:t>涉及锅炉/炉窑</w:t>
                  </w:r>
                  <w:r>
                    <w:rPr>
                      <w:rFonts w:hint="eastAsia"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w:t>
                  </w:r>
                  <w:r>
                    <w:rPr>
                      <w:rFonts w:hint="eastAsia" w:cs="Times New Roman"/>
                      <w:b w:val="0"/>
                      <w:bCs w:val="0"/>
                      <w:color w:val="000000" w:themeColor="text1"/>
                      <w:sz w:val="21"/>
                      <w:szCs w:val="21"/>
                      <w:highlight w:val="none"/>
                      <w:u w:val="none" w:color="auto"/>
                      <w:lang w:val="en-US" w:eastAsia="zh-CN"/>
                      <w14:textFill>
                        <w14:solidFill>
                          <w14:schemeClr w14:val="tx1"/>
                        </w14:solidFill>
                      </w14:textFill>
                    </w:rPr>
                    <w:t>其他工序</w:t>
                  </w:r>
                </w:p>
              </w:tc>
              <w:tc>
                <w:tcPr>
                  <w:tcW w:w="930" w:type="pct"/>
                  <w:noWrap w:val="0"/>
                  <w:vAlign w:val="center"/>
                </w:tcPr>
                <w:p w14:paraId="2B505CA5">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cs="Times New Roman"/>
                      <w:b w:val="0"/>
                      <w:bCs w:val="0"/>
                      <w:color w:val="000000" w:themeColor="text1"/>
                      <w:sz w:val="21"/>
                      <w:szCs w:val="21"/>
                      <w:highlight w:val="none"/>
                      <w:u w:val="none" w:color="auto"/>
                      <w:lang w:val="en-US" w:eastAsia="zh-CN"/>
                      <w14:textFill>
                        <w14:solidFill>
                          <w14:schemeClr w14:val="tx1"/>
                        </w14:solidFill>
                      </w14:textFill>
                    </w:rPr>
                  </w:pPr>
                  <w:r>
                    <w:rPr>
                      <w:rFonts w:hint="eastAsia" w:cs="Times New Roman"/>
                      <w:b w:val="0"/>
                      <w:bCs w:val="0"/>
                      <w:color w:val="000000" w:themeColor="text1"/>
                      <w:sz w:val="21"/>
                      <w:szCs w:val="21"/>
                      <w:highlight w:val="none"/>
                      <w:u w:val="none" w:color="auto"/>
                      <w:lang w:val="en-US" w:eastAsia="zh-CN"/>
                      <w14:textFill>
                        <w14:solidFill>
                          <w14:schemeClr w14:val="tx1"/>
                        </w14:solidFill>
                      </w14:textFill>
                    </w:rPr>
                    <w:t>PM</w:t>
                  </w:r>
                </w:p>
              </w:tc>
              <w:tc>
                <w:tcPr>
                  <w:tcW w:w="1569" w:type="pct"/>
                  <w:gridSpan w:val="2"/>
                  <w:noWrap w:val="0"/>
                  <w:vAlign w:val="center"/>
                </w:tcPr>
                <w:p w14:paraId="6641F0C0">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color="auto"/>
                      <w:lang w:val="en-US" w:eastAsia="zh-CN"/>
                      <w14:textFill>
                        <w14:solidFill>
                          <w14:schemeClr w14:val="tx1"/>
                        </w14:solidFill>
                      </w14:textFill>
                    </w:rPr>
                  </w:pPr>
                  <w:r>
                    <w:rPr>
                      <w:rFonts w:hint="eastAsia" w:cs="Times New Roman"/>
                      <w:b w:val="0"/>
                      <w:bCs w:val="0"/>
                      <w:color w:val="000000" w:themeColor="text1"/>
                      <w:sz w:val="21"/>
                      <w:szCs w:val="21"/>
                      <w:highlight w:val="none"/>
                      <w:u w:val="none" w:color="auto"/>
                      <w:lang w:val="en-US" w:eastAsia="zh-CN"/>
                      <w14:textFill>
                        <w14:solidFill>
                          <w14:schemeClr w14:val="tx1"/>
                        </w14:solidFill>
                      </w14:textFill>
                    </w:rPr>
                    <w:t>排放浓度不高于10mg/m</w:t>
                  </w:r>
                  <w:r>
                    <w:rPr>
                      <w:rFonts w:hint="eastAsia" w:cs="Times New Roman"/>
                      <w:b w:val="0"/>
                      <w:bCs w:val="0"/>
                      <w:color w:val="000000" w:themeColor="text1"/>
                      <w:sz w:val="21"/>
                      <w:szCs w:val="21"/>
                      <w:highlight w:val="none"/>
                      <w:u w:val="none" w:color="auto"/>
                      <w:vertAlign w:val="superscript"/>
                      <w:lang w:val="en-US" w:eastAsia="zh-CN"/>
                      <w14:textFill>
                        <w14:solidFill>
                          <w14:schemeClr w14:val="tx1"/>
                        </w14:solidFill>
                      </w14:textFill>
                    </w:rPr>
                    <w:t>3</w:t>
                  </w:r>
                </w:p>
              </w:tc>
            </w:tr>
            <w:tr w14:paraId="4A6ACCFB">
              <w:tblPrEx>
                <w:tblBorders>
                  <w:top w:val="single" w:color="auto" w:sz="4" w:space="0"/>
                  <w:left w:val="single" w:color="auto" w:sz="4" w:space="0"/>
                  <w:bottom w:val="single" w:color="auto" w:sz="4" w:space="0"/>
                  <w:right w:val="single" w:color="auto" w:sz="4" w:space="0"/>
                  <w:insideH w:val="single" w:color="auto" w:sz="6" w:space="0"/>
                  <w:insideV w:val="single" w:color="auto" w:sz="4" w:space="0"/>
                </w:tblBorders>
                <w:tblCellMar>
                  <w:top w:w="0" w:type="dxa"/>
                  <w:left w:w="108" w:type="dxa"/>
                  <w:bottom w:w="0" w:type="dxa"/>
                  <w:right w:w="108" w:type="dxa"/>
                </w:tblCellMar>
              </w:tblPrEx>
              <w:trPr>
                <w:trHeight w:val="454" w:hRule="atLeast"/>
                <w:jc w:val="center"/>
              </w:trPr>
              <w:tc>
                <w:tcPr>
                  <w:tcW w:w="413" w:type="pct"/>
                  <w:vMerge w:val="restart"/>
                  <w:noWrap w:val="0"/>
                  <w:vAlign w:val="center"/>
                </w:tcPr>
                <w:p w14:paraId="127EF176">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噪声</w:t>
                  </w:r>
                </w:p>
              </w:tc>
              <w:tc>
                <w:tcPr>
                  <w:tcW w:w="2086" w:type="pct"/>
                  <w:gridSpan w:val="2"/>
                  <w:vMerge w:val="restart"/>
                  <w:noWrap w:val="0"/>
                  <w:vAlign w:val="center"/>
                </w:tcPr>
                <w:p w14:paraId="4B7FA5B0">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bCs/>
                      <w:color w:val="auto"/>
                      <w:sz w:val="21"/>
                      <w:szCs w:val="21"/>
                      <w:highlight w:val="none"/>
                      <w:u w:val="none" w:color="auto"/>
                    </w:rPr>
                    <w:t>《工业企业厂界环境噪声排放标准》（GB12348-2008）</w:t>
                  </w:r>
                </w:p>
              </w:tc>
              <w:tc>
                <w:tcPr>
                  <w:tcW w:w="930" w:type="pct"/>
                  <w:vMerge w:val="restart"/>
                  <w:noWrap w:val="0"/>
                  <w:vAlign w:val="center"/>
                </w:tcPr>
                <w:p w14:paraId="61012DBD">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lang w:val="en-US" w:eastAsia="zh-CN"/>
                    </w:rPr>
                    <w:t>2</w:t>
                  </w:r>
                  <w:r>
                    <w:rPr>
                      <w:rFonts w:hint="default" w:ascii="Times New Roman" w:hAnsi="Times New Roman" w:eastAsia="宋体" w:cs="Times New Roman"/>
                      <w:color w:val="auto"/>
                      <w:sz w:val="21"/>
                      <w:szCs w:val="21"/>
                      <w:highlight w:val="none"/>
                      <w:u w:val="none" w:color="auto"/>
                    </w:rPr>
                    <w:t>类</w:t>
                  </w:r>
                </w:p>
              </w:tc>
              <w:tc>
                <w:tcPr>
                  <w:tcW w:w="821" w:type="pct"/>
                  <w:noWrap w:val="0"/>
                  <w:vAlign w:val="center"/>
                </w:tcPr>
                <w:p w14:paraId="3C0AB5BC">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昼间</w:t>
                  </w:r>
                </w:p>
              </w:tc>
              <w:tc>
                <w:tcPr>
                  <w:tcW w:w="748" w:type="pct"/>
                  <w:noWrap w:val="0"/>
                  <w:vAlign w:val="center"/>
                </w:tcPr>
                <w:p w14:paraId="7A9F5C62">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6</w:t>
                  </w:r>
                  <w:r>
                    <w:rPr>
                      <w:rFonts w:hint="default" w:ascii="Times New Roman" w:hAnsi="Times New Roman" w:eastAsia="宋体" w:cs="Times New Roman"/>
                      <w:color w:val="auto"/>
                      <w:sz w:val="21"/>
                      <w:szCs w:val="21"/>
                      <w:highlight w:val="none"/>
                      <w:u w:val="none" w:color="auto"/>
                      <w:lang w:val="en-US" w:eastAsia="zh-CN"/>
                    </w:rPr>
                    <w:t>0</w:t>
                  </w:r>
                  <w:r>
                    <w:rPr>
                      <w:rFonts w:hint="default" w:ascii="Times New Roman" w:hAnsi="Times New Roman" w:eastAsia="宋体" w:cs="Times New Roman"/>
                      <w:color w:val="auto"/>
                      <w:sz w:val="21"/>
                      <w:szCs w:val="21"/>
                      <w:highlight w:val="none"/>
                      <w:u w:val="none" w:color="auto"/>
                    </w:rPr>
                    <w:t>dB（A）</w:t>
                  </w:r>
                </w:p>
              </w:tc>
            </w:tr>
            <w:tr w14:paraId="3483618F">
              <w:tblPrEx>
                <w:tblBorders>
                  <w:top w:val="single" w:color="auto" w:sz="4" w:space="0"/>
                  <w:left w:val="single" w:color="auto" w:sz="4" w:space="0"/>
                  <w:bottom w:val="single" w:color="auto" w:sz="4" w:space="0"/>
                  <w:right w:val="single" w:color="auto" w:sz="4" w:space="0"/>
                  <w:insideH w:val="single" w:color="auto" w:sz="6" w:space="0"/>
                  <w:insideV w:val="single" w:color="auto" w:sz="4" w:space="0"/>
                </w:tblBorders>
                <w:tblCellMar>
                  <w:top w:w="0" w:type="dxa"/>
                  <w:left w:w="108" w:type="dxa"/>
                  <w:bottom w:w="0" w:type="dxa"/>
                  <w:right w:w="108" w:type="dxa"/>
                </w:tblCellMar>
              </w:tblPrEx>
              <w:trPr>
                <w:trHeight w:val="454" w:hRule="atLeast"/>
                <w:jc w:val="center"/>
              </w:trPr>
              <w:tc>
                <w:tcPr>
                  <w:tcW w:w="413" w:type="pct"/>
                  <w:vMerge w:val="continue"/>
                  <w:noWrap w:val="0"/>
                  <w:vAlign w:val="center"/>
                </w:tcPr>
                <w:p w14:paraId="1F9800B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sz w:val="21"/>
                      <w:szCs w:val="21"/>
                      <w:highlight w:val="none"/>
                      <w:u w:val="none" w:color="auto"/>
                    </w:rPr>
                  </w:pPr>
                </w:p>
              </w:tc>
              <w:tc>
                <w:tcPr>
                  <w:tcW w:w="2086" w:type="pct"/>
                  <w:gridSpan w:val="2"/>
                  <w:vMerge w:val="continue"/>
                  <w:noWrap w:val="0"/>
                  <w:vAlign w:val="center"/>
                </w:tcPr>
                <w:p w14:paraId="6796260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sz w:val="21"/>
                      <w:szCs w:val="21"/>
                      <w:highlight w:val="none"/>
                      <w:u w:val="none" w:color="auto"/>
                    </w:rPr>
                  </w:pPr>
                </w:p>
              </w:tc>
              <w:tc>
                <w:tcPr>
                  <w:tcW w:w="930" w:type="pct"/>
                  <w:vMerge w:val="continue"/>
                  <w:noWrap w:val="0"/>
                  <w:vAlign w:val="center"/>
                </w:tcPr>
                <w:p w14:paraId="7816810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sz w:val="21"/>
                      <w:szCs w:val="21"/>
                      <w:highlight w:val="none"/>
                      <w:u w:val="none" w:color="auto"/>
                    </w:rPr>
                  </w:pPr>
                </w:p>
              </w:tc>
              <w:tc>
                <w:tcPr>
                  <w:tcW w:w="821" w:type="pct"/>
                  <w:noWrap w:val="0"/>
                  <w:vAlign w:val="center"/>
                </w:tcPr>
                <w:p w14:paraId="5FBB194A">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夜间</w:t>
                  </w:r>
                </w:p>
              </w:tc>
              <w:tc>
                <w:tcPr>
                  <w:tcW w:w="748" w:type="pct"/>
                  <w:noWrap w:val="0"/>
                  <w:vAlign w:val="center"/>
                </w:tcPr>
                <w:p w14:paraId="034FCFBD">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5</w:t>
                  </w:r>
                  <w:r>
                    <w:rPr>
                      <w:rFonts w:hint="default" w:ascii="Times New Roman" w:hAnsi="Times New Roman" w:eastAsia="宋体" w:cs="Times New Roman"/>
                      <w:color w:val="auto"/>
                      <w:sz w:val="21"/>
                      <w:szCs w:val="21"/>
                      <w:highlight w:val="none"/>
                      <w:u w:val="none" w:color="auto"/>
                      <w:lang w:val="en-US" w:eastAsia="zh-CN"/>
                    </w:rPr>
                    <w:t>0</w:t>
                  </w:r>
                  <w:r>
                    <w:rPr>
                      <w:rFonts w:hint="default" w:ascii="Times New Roman" w:hAnsi="Times New Roman" w:eastAsia="宋体" w:cs="Times New Roman"/>
                      <w:color w:val="auto"/>
                      <w:sz w:val="21"/>
                      <w:szCs w:val="21"/>
                      <w:highlight w:val="none"/>
                      <w:u w:val="none" w:color="auto"/>
                    </w:rPr>
                    <w:t>dB（A）</w:t>
                  </w:r>
                </w:p>
              </w:tc>
            </w:tr>
            <w:tr w14:paraId="53C2AD19">
              <w:tblPrEx>
                <w:tblBorders>
                  <w:top w:val="single" w:color="auto" w:sz="4" w:space="0"/>
                  <w:left w:val="single" w:color="auto" w:sz="4" w:space="0"/>
                  <w:bottom w:val="single" w:color="auto" w:sz="4" w:space="0"/>
                  <w:right w:val="single" w:color="auto" w:sz="4" w:space="0"/>
                  <w:insideH w:val="single" w:color="auto" w:sz="6" w:space="0"/>
                  <w:insideV w:val="single" w:color="auto" w:sz="4" w:space="0"/>
                </w:tblBorders>
                <w:tblCellMar>
                  <w:top w:w="0" w:type="dxa"/>
                  <w:left w:w="108" w:type="dxa"/>
                  <w:bottom w:w="0" w:type="dxa"/>
                  <w:right w:w="108" w:type="dxa"/>
                </w:tblCellMar>
              </w:tblPrEx>
              <w:trPr>
                <w:trHeight w:val="454" w:hRule="atLeast"/>
                <w:jc w:val="center"/>
              </w:trPr>
              <w:tc>
                <w:tcPr>
                  <w:tcW w:w="413" w:type="pct"/>
                  <w:noWrap w:val="0"/>
                  <w:vAlign w:val="center"/>
                </w:tcPr>
                <w:p w14:paraId="6E5E5831">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固废</w:t>
                  </w:r>
                </w:p>
              </w:tc>
              <w:tc>
                <w:tcPr>
                  <w:tcW w:w="4586" w:type="pct"/>
                  <w:gridSpan w:val="5"/>
                  <w:noWrap w:val="0"/>
                  <w:vAlign w:val="center"/>
                </w:tcPr>
                <w:p w14:paraId="4DC5AE89">
                  <w:pPr>
                    <w:pStyle w:val="8"/>
                    <w:keepNext w:val="0"/>
                    <w:keepLines w:val="0"/>
                    <w:pageBreakBefore w:val="0"/>
                    <w:kinsoku/>
                    <w:wordWrap/>
                    <w:overflowPunct/>
                    <w:topLinePunct w:val="0"/>
                    <w:autoSpaceDE/>
                    <w:autoSpaceDN/>
                    <w:bidi w:val="0"/>
                    <w:adjustRightInd w:val="0"/>
                    <w:snapToGrid w:val="0"/>
                    <w:spacing w:before="0" w:beforeAutospacing="0" w:after="0" w:line="240" w:lineRule="auto"/>
                    <w:ind w:left="0" w:leftChars="0" w:right="0" w:firstLine="0" w:firstLineChars="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一般固体废物执行《一般工业固体废物贮存和填埋污染控制标准》（GB18599-2020）；危险废物执行《危险废物贮存污染控制标准》（GB18597-2023）</w:t>
                  </w:r>
                </w:p>
              </w:tc>
            </w:tr>
          </w:tbl>
          <w:p w14:paraId="31B7904A">
            <w:pPr>
              <w:adjustRightInd w:val="0"/>
              <w:snapToGrid w:val="0"/>
              <w:spacing w:line="480" w:lineRule="exact"/>
              <w:rPr>
                <w:kern w:val="0"/>
                <w:sz w:val="24"/>
              </w:rPr>
            </w:pPr>
          </w:p>
        </w:tc>
      </w:tr>
      <w:tr w14:paraId="3307AD7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239" w:type="pct"/>
            <w:noWrap w:val="0"/>
            <w:vAlign w:val="center"/>
          </w:tcPr>
          <w:p w14:paraId="1F7C375E">
            <w:pPr>
              <w:adjustRightInd w:val="0"/>
              <w:snapToGrid w:val="0"/>
              <w:jc w:val="center"/>
              <w:rPr>
                <w:kern w:val="0"/>
                <w:sz w:val="24"/>
              </w:rPr>
            </w:pPr>
            <w:r>
              <w:rPr>
                <w:kern w:val="0"/>
                <w:sz w:val="24"/>
              </w:rPr>
              <w:t>总量</w:t>
            </w:r>
          </w:p>
          <w:p w14:paraId="5B06713A">
            <w:pPr>
              <w:adjustRightInd w:val="0"/>
              <w:snapToGrid w:val="0"/>
              <w:jc w:val="center"/>
              <w:rPr>
                <w:kern w:val="0"/>
                <w:sz w:val="24"/>
              </w:rPr>
            </w:pPr>
            <w:r>
              <w:rPr>
                <w:kern w:val="0"/>
                <w:sz w:val="24"/>
              </w:rPr>
              <w:t>控制</w:t>
            </w:r>
          </w:p>
          <w:p w14:paraId="137C4072">
            <w:pPr>
              <w:adjustRightInd w:val="0"/>
              <w:snapToGrid w:val="0"/>
              <w:jc w:val="center"/>
              <w:rPr>
                <w:kern w:val="0"/>
                <w:sz w:val="24"/>
              </w:rPr>
            </w:pPr>
            <w:r>
              <w:rPr>
                <w:kern w:val="0"/>
                <w:sz w:val="24"/>
              </w:rPr>
              <w:t>指标</w:t>
            </w:r>
          </w:p>
        </w:tc>
        <w:tc>
          <w:tcPr>
            <w:tcW w:w="4760" w:type="pct"/>
            <w:noWrap w:val="0"/>
            <w:vAlign w:val="center"/>
          </w:tcPr>
          <w:p w14:paraId="39578A7E">
            <w:pPr>
              <w:spacing w:line="360" w:lineRule="auto"/>
              <w:ind w:firstLine="480" w:firstLineChars="200"/>
              <w:rPr>
                <w:color w:val="000000"/>
                <w:sz w:val="24"/>
              </w:rPr>
            </w:pPr>
            <w:r>
              <w:rPr>
                <w:color w:val="000000"/>
                <w:sz w:val="24"/>
              </w:rPr>
              <w:t>根据《国务院关于印发“十四五”节能减排综合工作方案的通知》（国发〔2021〕33号）、生态环境部办公厅《关于做好“十四五”主要污染物总量减排工作的通知》（环办综合函〔2021〕323号），“十四五”时期，国家明确列入总量减排的主要污染物为：化学需氧量、氨氮、氮氧化物、挥发性有机物四项。</w:t>
            </w:r>
          </w:p>
          <w:p w14:paraId="732B73C4">
            <w:pPr>
              <w:widowControl/>
              <w:spacing w:line="360" w:lineRule="auto"/>
              <w:ind w:firstLine="480" w:firstLineChars="200"/>
              <w:rPr>
                <w:rFonts w:cs="宋体"/>
                <w:color w:val="000000"/>
                <w:sz w:val="24"/>
              </w:rPr>
            </w:pPr>
            <w:r>
              <w:rPr>
                <w:color w:val="000000"/>
                <w:kern w:val="0"/>
                <w:sz w:val="24"/>
                <w:lang w:bidi="ar"/>
              </w:rPr>
              <w:t>（1）大气污染物总量：</w:t>
            </w:r>
            <w:r>
              <w:rPr>
                <w:rFonts w:hint="eastAsia"/>
                <w:color w:val="000000"/>
                <w:kern w:val="0"/>
                <w:sz w:val="24"/>
                <w:lang w:bidi="ar"/>
              </w:rPr>
              <w:t>本项目营运期废气主要为污染物为颗粒物、SO</w:t>
            </w:r>
            <w:r>
              <w:rPr>
                <w:rFonts w:hint="eastAsia"/>
                <w:color w:val="000000"/>
                <w:kern w:val="0"/>
                <w:sz w:val="24"/>
                <w:vertAlign w:val="subscript"/>
                <w:lang w:bidi="ar"/>
              </w:rPr>
              <w:t>2</w:t>
            </w:r>
            <w:r>
              <w:rPr>
                <w:rFonts w:hint="eastAsia"/>
                <w:color w:val="000000"/>
                <w:kern w:val="0"/>
                <w:sz w:val="24"/>
                <w:lang w:bidi="ar"/>
              </w:rPr>
              <w:t>、NOx，项目废气总量控制指标为颗粒物：</w:t>
            </w:r>
            <w:r>
              <w:rPr>
                <w:rFonts w:hint="eastAsia"/>
                <w:color w:val="000000"/>
                <w:kern w:val="0"/>
                <w:sz w:val="24"/>
                <w:lang w:val="en-US" w:eastAsia="zh-CN" w:bidi="ar"/>
              </w:rPr>
              <w:t>2.124</w:t>
            </w:r>
            <w:r>
              <w:rPr>
                <w:rFonts w:hint="eastAsia"/>
                <w:color w:val="000000"/>
                <w:kern w:val="0"/>
                <w:sz w:val="24"/>
                <w:lang w:bidi="ar"/>
              </w:rPr>
              <w:t>t/a、SO</w:t>
            </w:r>
            <w:r>
              <w:rPr>
                <w:rFonts w:hint="eastAsia"/>
                <w:color w:val="000000"/>
                <w:kern w:val="0"/>
                <w:sz w:val="24"/>
                <w:vertAlign w:val="subscript"/>
                <w:lang w:bidi="ar"/>
              </w:rPr>
              <w:t>2</w:t>
            </w:r>
            <w:r>
              <w:rPr>
                <w:rFonts w:hint="eastAsia"/>
                <w:color w:val="000000"/>
                <w:kern w:val="0"/>
                <w:sz w:val="24"/>
                <w:lang w:bidi="ar"/>
              </w:rPr>
              <w:t>：</w:t>
            </w:r>
            <w:r>
              <w:rPr>
                <w:rFonts w:hint="eastAsia"/>
                <w:color w:val="000000"/>
                <w:kern w:val="0"/>
                <w:sz w:val="24"/>
                <w:lang w:val="en-US" w:eastAsia="zh-CN" w:bidi="ar"/>
              </w:rPr>
              <w:t>1.419</w:t>
            </w:r>
            <w:r>
              <w:rPr>
                <w:rFonts w:hint="eastAsia"/>
                <w:color w:val="000000"/>
                <w:kern w:val="0"/>
                <w:sz w:val="24"/>
                <w:lang w:bidi="ar"/>
              </w:rPr>
              <w:t>t/a、NOx：</w:t>
            </w:r>
            <w:r>
              <w:rPr>
                <w:rFonts w:hint="eastAsia"/>
                <w:color w:val="000000"/>
                <w:kern w:val="0"/>
                <w:sz w:val="24"/>
                <w:lang w:val="en-US" w:eastAsia="zh-CN" w:bidi="ar"/>
              </w:rPr>
              <w:t>5.362</w:t>
            </w:r>
            <w:r>
              <w:rPr>
                <w:rFonts w:hint="eastAsia"/>
                <w:color w:val="000000"/>
                <w:kern w:val="0"/>
                <w:sz w:val="24"/>
                <w:lang w:bidi="ar"/>
              </w:rPr>
              <w:t>t/a。由于项目所在区域为空气质量不达标区，因此总量实施双倍替代，替代量为：颗粒物：</w:t>
            </w:r>
            <w:r>
              <w:rPr>
                <w:rFonts w:hint="eastAsia"/>
                <w:color w:val="000000"/>
                <w:kern w:val="0"/>
                <w:sz w:val="24"/>
                <w:lang w:val="en-US" w:eastAsia="zh-CN" w:bidi="ar"/>
              </w:rPr>
              <w:t>4.248</w:t>
            </w:r>
            <w:r>
              <w:rPr>
                <w:rFonts w:hint="eastAsia"/>
                <w:color w:val="000000"/>
                <w:kern w:val="0"/>
                <w:sz w:val="24"/>
                <w:lang w:bidi="ar"/>
              </w:rPr>
              <w:t>t/a</w:t>
            </w:r>
            <w:r>
              <w:rPr>
                <w:rFonts w:hint="eastAsia"/>
                <w:color w:val="000000"/>
                <w:kern w:val="0"/>
                <w:sz w:val="24"/>
                <w:lang w:val="en-US" w:eastAsia="zh-CN" w:bidi="ar"/>
              </w:rPr>
              <w:t>、</w:t>
            </w:r>
            <w:r>
              <w:rPr>
                <w:rFonts w:hint="eastAsia"/>
                <w:color w:val="000000"/>
                <w:kern w:val="0"/>
                <w:sz w:val="24"/>
                <w:lang w:bidi="ar"/>
              </w:rPr>
              <w:t>SO</w:t>
            </w:r>
            <w:r>
              <w:rPr>
                <w:rFonts w:hint="eastAsia"/>
                <w:color w:val="000000"/>
                <w:kern w:val="0"/>
                <w:sz w:val="24"/>
                <w:vertAlign w:val="subscript"/>
                <w:lang w:bidi="ar"/>
              </w:rPr>
              <w:t>2</w:t>
            </w:r>
            <w:r>
              <w:rPr>
                <w:rFonts w:hint="eastAsia"/>
                <w:color w:val="000000"/>
                <w:kern w:val="0"/>
                <w:sz w:val="24"/>
                <w:lang w:bidi="ar"/>
              </w:rPr>
              <w:t>：</w:t>
            </w:r>
            <w:r>
              <w:rPr>
                <w:rFonts w:hint="eastAsia"/>
                <w:color w:val="000000"/>
                <w:kern w:val="0"/>
                <w:sz w:val="24"/>
                <w:lang w:val="en-US" w:eastAsia="zh-CN" w:bidi="ar"/>
              </w:rPr>
              <w:t>2.838</w:t>
            </w:r>
            <w:r>
              <w:rPr>
                <w:rFonts w:hint="eastAsia"/>
                <w:color w:val="000000"/>
                <w:kern w:val="0"/>
                <w:sz w:val="24"/>
                <w:lang w:bidi="ar"/>
              </w:rPr>
              <w:t>t/a、NOx：</w:t>
            </w:r>
            <w:r>
              <w:rPr>
                <w:rFonts w:hint="eastAsia"/>
                <w:color w:val="000000"/>
                <w:kern w:val="0"/>
                <w:sz w:val="24"/>
                <w:lang w:val="en-US" w:eastAsia="zh-CN" w:bidi="ar"/>
              </w:rPr>
              <w:t>10.724</w:t>
            </w:r>
            <w:r>
              <w:rPr>
                <w:rFonts w:hint="eastAsia"/>
                <w:color w:val="000000"/>
                <w:kern w:val="0"/>
                <w:sz w:val="24"/>
                <w:lang w:bidi="ar"/>
              </w:rPr>
              <w:t>t/a。</w:t>
            </w:r>
          </w:p>
          <w:p w14:paraId="7E3CBC0F">
            <w:pPr>
              <w:widowControl/>
              <w:spacing w:line="360" w:lineRule="auto"/>
              <w:ind w:firstLine="480" w:firstLineChars="200"/>
              <w:rPr>
                <w:rFonts w:hint="eastAsia"/>
                <w:color w:val="000000"/>
                <w:kern w:val="0"/>
                <w:sz w:val="24"/>
                <w:lang w:bidi="ar"/>
              </w:rPr>
            </w:pPr>
            <w:r>
              <w:rPr>
                <w:color w:val="000000"/>
                <w:kern w:val="0"/>
                <w:sz w:val="24"/>
                <w:lang w:bidi="ar"/>
              </w:rPr>
              <w:t>（2）废水污染物总量：</w:t>
            </w:r>
            <w:r>
              <w:rPr>
                <w:rFonts w:hint="default"/>
                <w:color w:val="000000"/>
                <w:kern w:val="0"/>
                <w:sz w:val="24"/>
                <w:lang w:bidi="ar"/>
              </w:rPr>
              <w:t>生活污水经化粪池（容积</w:t>
            </w:r>
            <w:r>
              <w:rPr>
                <w:rFonts w:hint="eastAsia"/>
                <w:color w:val="000000"/>
                <w:kern w:val="0"/>
                <w:sz w:val="24"/>
                <w:lang w:val="en-US" w:eastAsia="zh-CN" w:bidi="ar"/>
              </w:rPr>
              <w:t>10</w:t>
            </w:r>
            <w:r>
              <w:rPr>
                <w:rFonts w:hint="default"/>
                <w:color w:val="000000"/>
                <w:kern w:val="0"/>
                <w:sz w:val="24"/>
                <w:lang w:bidi="ar"/>
              </w:rPr>
              <w:t>m</w:t>
            </w:r>
            <w:r>
              <w:rPr>
                <w:rFonts w:hint="default"/>
                <w:color w:val="000000"/>
                <w:kern w:val="0"/>
                <w:sz w:val="24"/>
                <w:vertAlign w:val="superscript"/>
                <w:lang w:bidi="ar"/>
              </w:rPr>
              <w:t>3</w:t>
            </w:r>
            <w:r>
              <w:rPr>
                <w:rFonts w:hint="default"/>
                <w:color w:val="000000"/>
                <w:kern w:val="0"/>
                <w:sz w:val="24"/>
                <w:lang w:bidi="ar"/>
              </w:rPr>
              <w:t>，三防措施）处理后</w:t>
            </w:r>
            <w:r>
              <w:rPr>
                <w:rFonts w:hint="default"/>
                <w:color w:val="000000"/>
                <w:kern w:val="0"/>
                <w:sz w:val="24"/>
                <w:lang w:val="en-US" w:eastAsia="zh-CN" w:bidi="ar"/>
              </w:rPr>
              <w:t>用于周围农田施肥</w:t>
            </w:r>
            <w:r>
              <w:rPr>
                <w:rFonts w:hint="eastAsia"/>
                <w:color w:val="000000"/>
                <w:kern w:val="0"/>
                <w:sz w:val="24"/>
                <w:lang w:eastAsia="zh-CN" w:bidi="ar"/>
              </w:rPr>
              <w:t>。</w:t>
            </w:r>
            <w:r>
              <w:rPr>
                <w:rFonts w:hint="default"/>
                <w:color w:val="000000"/>
                <w:kern w:val="0"/>
                <w:sz w:val="24"/>
                <w:lang w:bidi="ar"/>
              </w:rPr>
              <w:t>因此项目</w:t>
            </w:r>
            <w:r>
              <w:rPr>
                <w:rFonts w:hint="default"/>
                <w:color w:val="000000"/>
                <w:kern w:val="0"/>
                <w:sz w:val="24"/>
                <w:lang w:val="en-US" w:eastAsia="zh-CN" w:bidi="ar"/>
              </w:rPr>
              <w:t>不设置废水总量控制指标</w:t>
            </w:r>
            <w:r>
              <w:rPr>
                <w:rFonts w:hint="eastAsia"/>
                <w:color w:val="000000"/>
                <w:kern w:val="0"/>
                <w:sz w:val="24"/>
                <w:lang w:val="en-US" w:eastAsia="zh-CN" w:bidi="ar"/>
              </w:rPr>
              <w:t>。</w:t>
            </w:r>
          </w:p>
          <w:p w14:paraId="1C1EC797">
            <w:pPr>
              <w:widowControl/>
              <w:spacing w:line="360" w:lineRule="auto"/>
              <w:ind w:firstLine="480" w:firstLineChars="200"/>
              <w:rPr>
                <w:color w:val="000000"/>
                <w:sz w:val="24"/>
              </w:rPr>
            </w:pPr>
            <w:r>
              <w:rPr>
                <w:color w:val="000000"/>
                <w:kern w:val="0"/>
                <w:sz w:val="24"/>
                <w:lang w:bidi="ar"/>
              </w:rPr>
              <w:t>（3）总量替代方案</w:t>
            </w:r>
          </w:p>
          <w:p w14:paraId="3AA17A88">
            <w:pPr>
              <w:spacing w:line="360" w:lineRule="auto"/>
              <w:ind w:firstLine="480" w:firstLineChars="200"/>
              <w:rPr>
                <w:color w:val="000000"/>
                <w:sz w:val="24"/>
              </w:rPr>
            </w:pPr>
            <w:r>
              <w:rPr>
                <w:color w:val="000000"/>
                <w:sz w:val="24"/>
              </w:rPr>
              <w:t>按照《环境保护部关于印发建设项目主要污染物排放总量指标审核及管理暂行办法的通知》（环发【2014】197号）等文件的要求，用于建设项目的“可替代总量指标”不得低于建设项目所需替代的主要污染物排放总量指标；上一年度环境空气质量年平均浓度不达标的城市、水环境质量未达到要求的市县，相关污染物应按照建设项目所需替代的主要污染排放总量指标的2倍进行削减替代。由于</w:t>
            </w:r>
            <w:r>
              <w:rPr>
                <w:rFonts w:hint="default"/>
                <w:sz w:val="24"/>
                <w:lang w:eastAsia="zh-CN"/>
              </w:rPr>
              <w:t>方城县</w:t>
            </w:r>
            <w:r>
              <w:rPr>
                <w:color w:val="000000"/>
                <w:sz w:val="24"/>
              </w:rPr>
              <w:t>大气年平均浓度未达到二级空气质量标准，项目区地表水能够满足</w:t>
            </w:r>
            <w:r>
              <w:rPr>
                <w:bCs/>
                <w:color w:val="000000"/>
                <w:sz w:val="24"/>
              </w:rPr>
              <w:t>《地表水环境质量标准》（GB3838-2002）中Ⅲ类水体</w:t>
            </w:r>
            <w:r>
              <w:rPr>
                <w:color w:val="000000"/>
                <w:sz w:val="24"/>
              </w:rPr>
              <w:t>，因此大气总量指标实施双倍替代，水总量指标实施等量替代。</w:t>
            </w:r>
          </w:p>
          <w:p w14:paraId="30733567">
            <w:pPr>
              <w:widowControl/>
              <w:spacing w:line="360" w:lineRule="auto"/>
              <w:ind w:firstLine="480" w:firstLineChars="200"/>
              <w:rPr>
                <w:rFonts w:cs="宋体"/>
                <w:color w:val="000000"/>
                <w:sz w:val="24"/>
              </w:rPr>
            </w:pPr>
            <w:r>
              <w:rPr>
                <w:color w:val="000000"/>
                <w:sz w:val="24"/>
              </w:rPr>
              <w:t>因此，该项目替代量为</w:t>
            </w:r>
            <w:r>
              <w:rPr>
                <w:rFonts w:hint="eastAsia"/>
                <w:color w:val="000000"/>
                <w:sz w:val="24"/>
                <w:lang w:eastAsia="zh-CN"/>
              </w:rPr>
              <w:t>：</w:t>
            </w:r>
            <w:r>
              <w:rPr>
                <w:rFonts w:hint="eastAsia"/>
                <w:color w:val="000000"/>
                <w:kern w:val="0"/>
                <w:sz w:val="24"/>
                <w:lang w:bidi="ar"/>
              </w:rPr>
              <w:t>颗粒物：</w:t>
            </w:r>
            <w:r>
              <w:rPr>
                <w:rFonts w:hint="eastAsia"/>
                <w:color w:val="000000"/>
                <w:kern w:val="0"/>
                <w:sz w:val="24"/>
                <w:lang w:val="en-US" w:eastAsia="zh-CN" w:bidi="ar"/>
              </w:rPr>
              <w:t>4.248</w:t>
            </w:r>
            <w:r>
              <w:rPr>
                <w:rFonts w:hint="eastAsia"/>
                <w:color w:val="000000"/>
                <w:kern w:val="0"/>
                <w:sz w:val="24"/>
                <w:lang w:bidi="ar"/>
              </w:rPr>
              <w:t>t/a</w:t>
            </w:r>
            <w:r>
              <w:rPr>
                <w:rFonts w:hint="eastAsia"/>
                <w:color w:val="000000"/>
                <w:kern w:val="0"/>
                <w:sz w:val="24"/>
                <w:lang w:val="en-US" w:eastAsia="zh-CN" w:bidi="ar"/>
              </w:rPr>
              <w:t>、</w:t>
            </w:r>
            <w:r>
              <w:rPr>
                <w:rFonts w:hint="eastAsia"/>
                <w:color w:val="000000"/>
                <w:kern w:val="0"/>
                <w:sz w:val="24"/>
                <w:lang w:bidi="ar"/>
              </w:rPr>
              <w:t>SO</w:t>
            </w:r>
            <w:r>
              <w:rPr>
                <w:rFonts w:hint="eastAsia"/>
                <w:color w:val="000000"/>
                <w:kern w:val="0"/>
                <w:sz w:val="24"/>
                <w:vertAlign w:val="subscript"/>
                <w:lang w:bidi="ar"/>
              </w:rPr>
              <w:t>2</w:t>
            </w:r>
            <w:r>
              <w:rPr>
                <w:rFonts w:hint="eastAsia"/>
                <w:color w:val="000000"/>
                <w:kern w:val="0"/>
                <w:sz w:val="24"/>
                <w:lang w:bidi="ar"/>
              </w:rPr>
              <w:t>：</w:t>
            </w:r>
            <w:r>
              <w:rPr>
                <w:rFonts w:hint="eastAsia"/>
                <w:color w:val="000000"/>
                <w:kern w:val="0"/>
                <w:sz w:val="24"/>
                <w:lang w:val="en-US" w:eastAsia="zh-CN" w:bidi="ar"/>
              </w:rPr>
              <w:t>2.838</w:t>
            </w:r>
            <w:r>
              <w:rPr>
                <w:rFonts w:hint="eastAsia"/>
                <w:color w:val="000000"/>
                <w:kern w:val="0"/>
                <w:sz w:val="24"/>
                <w:lang w:bidi="ar"/>
              </w:rPr>
              <w:t>t/a、NOx：</w:t>
            </w:r>
            <w:r>
              <w:rPr>
                <w:rFonts w:hint="eastAsia"/>
                <w:color w:val="000000"/>
                <w:kern w:val="0"/>
                <w:sz w:val="24"/>
                <w:lang w:val="en-US" w:eastAsia="zh-CN" w:bidi="ar"/>
              </w:rPr>
              <w:t>10.724</w:t>
            </w:r>
            <w:r>
              <w:rPr>
                <w:rFonts w:hint="eastAsia"/>
                <w:color w:val="000000"/>
                <w:kern w:val="0"/>
                <w:sz w:val="24"/>
                <w:lang w:bidi="ar"/>
              </w:rPr>
              <w:t>t/a。</w:t>
            </w:r>
          </w:p>
        </w:tc>
      </w:tr>
    </w:tbl>
    <w:p w14:paraId="248958CF">
      <w:pPr>
        <w:sectPr>
          <w:pgSz w:w="11905" w:h="16838"/>
          <w:pgMar w:top="1440" w:right="1083" w:bottom="1440" w:left="1083" w:header="851" w:footer="992" w:gutter="0"/>
          <w:pgNumType w:fmt="decimal"/>
          <w:cols w:space="720" w:num="1"/>
          <w:docGrid w:type="lines" w:linePitch="312" w:charSpace="0"/>
        </w:sectPr>
      </w:pPr>
    </w:p>
    <w:p w14:paraId="428F35C0">
      <w:pPr>
        <w:pStyle w:val="10"/>
        <w:numPr>
          <w:ilvl w:val="0"/>
          <w:numId w:val="0"/>
        </w:numPr>
        <w:ind w:firstLine="494" w:firstLineChars="0"/>
        <w:jc w:val="center"/>
        <w:rPr>
          <w:rStyle w:val="34"/>
          <w:sz w:val="30"/>
          <w:szCs w:val="30"/>
        </w:rPr>
      </w:pPr>
      <w:bookmarkStart w:id="16" w:name="_Toc21266"/>
      <w:bookmarkStart w:id="17" w:name="_Toc18491"/>
      <w:bookmarkStart w:id="18" w:name="_Toc8374"/>
      <w:bookmarkStart w:id="19" w:name="_Toc8776"/>
      <w:r>
        <w:rPr>
          <w:rFonts w:hint="eastAsia" w:ascii="Times New Roman" w:hAnsi="Times New Roman" w:eastAsia="宋体"/>
          <w:b/>
          <w:kern w:val="44"/>
          <w:sz w:val="30"/>
          <w:szCs w:val="30"/>
          <w:lang w:val="en-GB" w:eastAsia="zh-TW" w:bidi="ar-SA"/>
        </w:rPr>
        <w:t>四、</w:t>
      </w:r>
      <w:r>
        <w:rPr>
          <w:rStyle w:val="34"/>
          <w:sz w:val="30"/>
          <w:szCs w:val="30"/>
        </w:rPr>
        <w:t>主要环境影响和保护措施</w:t>
      </w:r>
      <w:bookmarkEnd w:id="16"/>
      <w:bookmarkEnd w:id="17"/>
    </w:p>
    <w:bookmarkEnd w:id="18"/>
    <w:bookmarkEnd w:id="19"/>
    <w:tbl>
      <w:tblPr>
        <w:tblStyle w:val="29"/>
        <w:tblW w:w="5039"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430"/>
        <w:gridCol w:w="9522"/>
      </w:tblGrid>
      <w:tr w14:paraId="61788F9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16" w:type="pct"/>
            <w:noWrap w:val="0"/>
            <w:tcMar>
              <w:left w:w="28" w:type="dxa"/>
              <w:right w:w="28" w:type="dxa"/>
            </w:tcMar>
            <w:vAlign w:val="center"/>
          </w:tcPr>
          <w:p w14:paraId="218EA17D">
            <w:pPr>
              <w:pStyle w:val="27"/>
              <w:adjustRightInd w:val="0"/>
              <w:snapToGrid w:val="0"/>
              <w:spacing w:before="0" w:beforeAutospacing="0" w:after="0" w:afterAutospacing="0"/>
              <w:jc w:val="center"/>
              <w:rPr>
                <w:rFonts w:ascii="Times New Roman" w:hAnsi="Times New Roman"/>
                <w:kern w:val="2"/>
                <w:szCs w:val="24"/>
              </w:rPr>
            </w:pPr>
            <w:r>
              <w:rPr>
                <w:rFonts w:ascii="Times New Roman" w:hAnsi="Times New Roman"/>
                <w:kern w:val="2"/>
                <w:szCs w:val="24"/>
              </w:rPr>
              <w:t>施工</w:t>
            </w:r>
          </w:p>
          <w:p w14:paraId="69FFE226">
            <w:pPr>
              <w:pStyle w:val="27"/>
              <w:adjustRightInd w:val="0"/>
              <w:snapToGrid w:val="0"/>
              <w:spacing w:before="0" w:beforeAutospacing="0" w:after="0" w:afterAutospacing="0"/>
              <w:jc w:val="center"/>
              <w:rPr>
                <w:rFonts w:ascii="Times New Roman" w:hAnsi="Times New Roman"/>
                <w:kern w:val="2"/>
                <w:szCs w:val="24"/>
              </w:rPr>
            </w:pPr>
            <w:r>
              <w:rPr>
                <w:rFonts w:ascii="Times New Roman" w:hAnsi="Times New Roman"/>
                <w:kern w:val="2"/>
                <w:szCs w:val="24"/>
              </w:rPr>
              <w:t>期环</w:t>
            </w:r>
          </w:p>
          <w:p w14:paraId="184827D5">
            <w:pPr>
              <w:pStyle w:val="27"/>
              <w:adjustRightInd w:val="0"/>
              <w:snapToGrid w:val="0"/>
              <w:spacing w:before="0" w:beforeAutospacing="0" w:after="0" w:afterAutospacing="0"/>
              <w:jc w:val="center"/>
              <w:rPr>
                <w:rFonts w:ascii="Times New Roman" w:hAnsi="Times New Roman"/>
                <w:kern w:val="2"/>
                <w:szCs w:val="24"/>
              </w:rPr>
            </w:pPr>
            <w:r>
              <w:rPr>
                <w:rFonts w:ascii="Times New Roman" w:hAnsi="Times New Roman"/>
                <w:kern w:val="2"/>
                <w:szCs w:val="24"/>
              </w:rPr>
              <w:t>境保</w:t>
            </w:r>
          </w:p>
          <w:p w14:paraId="799C9E10">
            <w:pPr>
              <w:pStyle w:val="27"/>
              <w:adjustRightInd w:val="0"/>
              <w:snapToGrid w:val="0"/>
              <w:spacing w:before="0" w:beforeAutospacing="0" w:after="0" w:afterAutospacing="0"/>
              <w:jc w:val="center"/>
              <w:rPr>
                <w:rFonts w:ascii="Times New Roman" w:hAnsi="Times New Roman"/>
                <w:kern w:val="2"/>
                <w:szCs w:val="24"/>
              </w:rPr>
            </w:pPr>
            <w:r>
              <w:rPr>
                <w:rFonts w:ascii="Times New Roman" w:hAnsi="Times New Roman"/>
                <w:kern w:val="2"/>
                <w:szCs w:val="24"/>
              </w:rPr>
              <w:t>护措</w:t>
            </w:r>
          </w:p>
          <w:p w14:paraId="7CA9947D">
            <w:pPr>
              <w:pStyle w:val="27"/>
              <w:adjustRightInd w:val="0"/>
              <w:snapToGrid w:val="0"/>
              <w:spacing w:before="0" w:beforeAutospacing="0" w:after="0" w:afterAutospacing="0"/>
              <w:jc w:val="center"/>
              <w:rPr>
                <w:rFonts w:ascii="Times New Roman" w:hAnsi="Times New Roman"/>
                <w:bCs/>
                <w:kern w:val="2"/>
                <w:szCs w:val="24"/>
              </w:rPr>
            </w:pPr>
            <w:r>
              <w:rPr>
                <w:rFonts w:ascii="Times New Roman" w:hAnsi="Times New Roman"/>
                <w:kern w:val="2"/>
                <w:szCs w:val="24"/>
              </w:rPr>
              <w:t>施</w:t>
            </w:r>
          </w:p>
        </w:tc>
        <w:tc>
          <w:tcPr>
            <w:tcW w:w="4783" w:type="pct"/>
            <w:noWrap w:val="0"/>
            <w:vAlign w:val="center"/>
          </w:tcPr>
          <w:p w14:paraId="564E5788">
            <w:pPr>
              <w:adjustRightInd w:val="0"/>
              <w:snapToGrid w:val="0"/>
              <w:spacing w:line="360" w:lineRule="auto"/>
              <w:ind w:firstLine="480" w:firstLineChars="200"/>
              <w:rPr>
                <w:sz w:val="24"/>
                <w:lang w:bidi="ar"/>
              </w:rPr>
            </w:pPr>
            <w:r>
              <w:rPr>
                <w:bCs/>
                <w:kern w:val="21"/>
                <w:sz w:val="24"/>
              </w:rPr>
              <w:t>本项目租赁现有闲置厂房进行生产，只需进行设备安装、调试，不进行土建施工，施工期较短，</w:t>
            </w:r>
            <w:r>
              <w:rPr>
                <w:sz w:val="24"/>
                <w:lang w:eastAsia="zh-TW" w:bidi="ar"/>
              </w:rPr>
              <w:t>本项目为了减轻项目建设对周围敏感点的影响，</w:t>
            </w:r>
            <w:r>
              <w:rPr>
                <w:sz w:val="24"/>
                <w:lang w:bidi="ar"/>
              </w:rPr>
              <w:t>对此评价提出以下要求：</w:t>
            </w:r>
          </w:p>
          <w:p w14:paraId="2B664C90">
            <w:pPr>
              <w:adjustRightInd w:val="0"/>
              <w:snapToGrid w:val="0"/>
              <w:spacing w:line="360" w:lineRule="auto"/>
              <w:ind w:firstLine="480" w:firstLineChars="200"/>
              <w:rPr>
                <w:sz w:val="24"/>
                <w:lang w:eastAsia="zh-TW" w:bidi="ar"/>
              </w:rPr>
            </w:pPr>
            <w:r>
              <w:rPr>
                <w:sz w:val="24"/>
              </w:rPr>
              <w:t>1、声环境影响</w:t>
            </w:r>
          </w:p>
          <w:p w14:paraId="3611A087">
            <w:pPr>
              <w:adjustRightInd w:val="0"/>
              <w:snapToGrid w:val="0"/>
              <w:spacing w:line="360" w:lineRule="auto"/>
              <w:ind w:firstLine="480" w:firstLineChars="200"/>
              <w:rPr>
                <w:sz w:val="24"/>
                <w:lang w:eastAsia="zh-TW" w:bidi="ar"/>
              </w:rPr>
            </w:pPr>
            <w:r>
              <w:rPr>
                <w:sz w:val="24"/>
                <w:lang w:bidi="ar"/>
              </w:rPr>
              <w:t>（1）降低设备声级，采用较先进、噪声较低的施工设备；可通过在等高噪声施工机械附近设置吸声屏，能降低噪声15dB（A）以上。</w:t>
            </w:r>
          </w:p>
          <w:p w14:paraId="72498402">
            <w:pPr>
              <w:adjustRightInd w:val="0"/>
              <w:snapToGrid w:val="0"/>
              <w:spacing w:line="360" w:lineRule="auto"/>
              <w:ind w:firstLine="480" w:firstLineChars="200"/>
              <w:rPr>
                <w:sz w:val="24"/>
                <w:lang w:eastAsia="zh-TW" w:bidi="ar"/>
              </w:rPr>
            </w:pPr>
            <w:r>
              <w:rPr>
                <w:sz w:val="24"/>
                <w:lang w:bidi="ar"/>
              </w:rPr>
              <w:t>（2）在施工过程中施工单位应设专人对设备进行定期保养和维护，严格按操作规范使用各类机械对动力机械设备定期进行维修和养护，避免因松动部件振动或消声器损坏而加大设备工作时的声级。</w:t>
            </w:r>
          </w:p>
          <w:p w14:paraId="53AF8502">
            <w:pPr>
              <w:adjustRightInd w:val="0"/>
              <w:snapToGrid w:val="0"/>
              <w:spacing w:line="360" w:lineRule="auto"/>
              <w:ind w:firstLine="480" w:firstLineChars="200"/>
              <w:rPr>
                <w:sz w:val="24"/>
                <w:lang w:eastAsia="zh-TW" w:bidi="ar"/>
              </w:rPr>
            </w:pPr>
            <w:r>
              <w:rPr>
                <w:sz w:val="24"/>
                <w:lang w:bidi="ar"/>
              </w:rPr>
              <w:t>（3）文明施工，尽量减少人为噪声。合理安排施工时间，不得在午间12时至14时和夜间22时至次日6时从事高噪声作业，夜间禁止使用高噪设备。</w:t>
            </w:r>
          </w:p>
          <w:p w14:paraId="75F3578D">
            <w:pPr>
              <w:adjustRightInd w:val="0"/>
              <w:snapToGrid w:val="0"/>
              <w:spacing w:line="360" w:lineRule="auto"/>
              <w:ind w:firstLine="480" w:firstLineChars="200"/>
              <w:rPr>
                <w:sz w:val="24"/>
                <w:lang w:bidi="ar"/>
              </w:rPr>
            </w:pPr>
            <w:r>
              <w:rPr>
                <w:sz w:val="24"/>
                <w:lang w:bidi="ar"/>
              </w:rPr>
              <w:t>（4）合理安排施工车辆的运输路线和时间，尽量减少穿越人群集聚区，夜间应禁止运输建筑材料。对必须进行夜间运输的道路，应设禁鸣和限速标志，车辆夜间通过时速度应小于30km/h。</w:t>
            </w:r>
          </w:p>
          <w:p w14:paraId="406D27A6">
            <w:pPr>
              <w:spacing w:line="360" w:lineRule="auto"/>
              <w:ind w:firstLine="480" w:firstLineChars="200"/>
              <w:rPr>
                <w:sz w:val="24"/>
              </w:rPr>
            </w:pPr>
            <w:r>
              <w:rPr>
                <w:sz w:val="24"/>
              </w:rPr>
              <w:t>2、固废处置措施</w:t>
            </w:r>
          </w:p>
          <w:p w14:paraId="392D6D3E">
            <w:pPr>
              <w:spacing w:line="360" w:lineRule="auto"/>
              <w:ind w:firstLine="480" w:firstLineChars="200"/>
              <w:rPr>
                <w:sz w:val="24"/>
              </w:rPr>
            </w:pPr>
            <w:r>
              <w:rPr>
                <w:sz w:val="24"/>
              </w:rPr>
              <w:t>（1）施工期固废主要为废弃包装材料和施工人员的生活垃圾。</w:t>
            </w:r>
          </w:p>
          <w:p w14:paraId="0CF1CE0D">
            <w:pPr>
              <w:spacing w:line="360" w:lineRule="auto"/>
              <w:ind w:firstLine="480" w:firstLineChars="200"/>
              <w:rPr>
                <w:sz w:val="24"/>
              </w:rPr>
            </w:pPr>
            <w:r>
              <w:rPr>
                <w:sz w:val="24"/>
              </w:rPr>
              <w:t>（2）废弃包装材料：废弃包装材料能够回收利用的外售给废品回收单位，不能回收利用的运往附近垃圾中转站处理。</w:t>
            </w:r>
          </w:p>
          <w:p w14:paraId="2A1A0B64">
            <w:pPr>
              <w:spacing w:line="360" w:lineRule="auto"/>
              <w:ind w:firstLine="480" w:firstLineChars="200"/>
              <w:rPr>
                <w:sz w:val="24"/>
              </w:rPr>
            </w:pPr>
            <w:r>
              <w:rPr>
                <w:sz w:val="24"/>
              </w:rPr>
              <w:t>（3）施工人员生活垃圾：施工期设生活垃圾收集桶，并派人清扫生活垃圾，本项目施工期产生的生活垃圾经收集后每天清运至附近垃圾中转站进行处理。</w:t>
            </w:r>
          </w:p>
          <w:p w14:paraId="66D9C908">
            <w:pPr>
              <w:spacing w:line="360" w:lineRule="auto"/>
              <w:ind w:firstLine="480" w:firstLineChars="200"/>
              <w:rPr>
                <w:sz w:val="24"/>
              </w:rPr>
            </w:pPr>
            <w:r>
              <w:rPr>
                <w:sz w:val="24"/>
              </w:rPr>
              <w:t>3、废水</w:t>
            </w:r>
          </w:p>
          <w:p w14:paraId="08EC2136">
            <w:pPr>
              <w:tabs>
                <w:tab w:val="left" w:pos="5775"/>
              </w:tabs>
              <w:adjustRightInd w:val="0"/>
              <w:snapToGrid w:val="0"/>
              <w:spacing w:line="360" w:lineRule="auto"/>
              <w:ind w:firstLine="440" w:firstLineChars="200"/>
              <w:rPr>
                <w:bCs/>
                <w:spacing w:val="-10"/>
                <w:sz w:val="24"/>
              </w:rPr>
            </w:pPr>
            <w:r>
              <w:rPr>
                <w:bCs/>
                <w:spacing w:val="-10"/>
                <w:sz w:val="24"/>
              </w:rPr>
              <w:t>施工期废水主要为施工人员产生的生活污水。经厂区内化粪池处理后用于周围农田施肥，资源利用不外排。</w:t>
            </w:r>
          </w:p>
          <w:p w14:paraId="59F99AFE">
            <w:pPr>
              <w:tabs>
                <w:tab w:val="left" w:pos="5775"/>
              </w:tabs>
              <w:adjustRightInd w:val="0"/>
              <w:snapToGrid w:val="0"/>
              <w:spacing w:line="360" w:lineRule="auto"/>
              <w:ind w:firstLine="440" w:firstLineChars="200"/>
              <w:rPr>
                <w:bCs/>
                <w:spacing w:val="-10"/>
                <w:sz w:val="24"/>
              </w:rPr>
            </w:pPr>
            <w:r>
              <w:rPr>
                <w:bCs/>
                <w:spacing w:val="-10"/>
                <w:sz w:val="24"/>
              </w:rPr>
              <w:t>施工单位要对现场施工人员进行严格管理，做到文明施工，将施工期噪声影响降到最低限度。项目施工结束后，施工噪声影响亦随之消失。</w:t>
            </w:r>
          </w:p>
        </w:tc>
      </w:tr>
      <w:tr w14:paraId="039FB1A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16" w:type="pct"/>
            <w:noWrap w:val="0"/>
            <w:tcMar>
              <w:left w:w="28" w:type="dxa"/>
              <w:right w:w="28" w:type="dxa"/>
            </w:tcMar>
            <w:vAlign w:val="center"/>
          </w:tcPr>
          <w:p w14:paraId="13AC7986">
            <w:pPr>
              <w:adjustRightInd w:val="0"/>
              <w:snapToGrid w:val="0"/>
              <w:jc w:val="center"/>
              <w:rPr>
                <w:bCs/>
                <w:color w:val="000000"/>
                <w:sz w:val="24"/>
              </w:rPr>
            </w:pPr>
            <w:r>
              <w:rPr>
                <w:bCs/>
                <w:color w:val="000000"/>
                <w:sz w:val="24"/>
              </w:rPr>
              <w:t>运营期环境影响和保护措施</w:t>
            </w:r>
          </w:p>
        </w:tc>
        <w:tc>
          <w:tcPr>
            <w:tcW w:w="4783" w:type="pct"/>
            <w:noWrap w:val="0"/>
            <w:vAlign w:val="top"/>
          </w:tcPr>
          <w:p w14:paraId="64EEE73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rPr>
            </w:pPr>
            <w:r>
              <w:rPr>
                <w:rFonts w:hint="default" w:ascii="Times New Roman" w:hAnsi="Times New Roman" w:cs="Times New Roman"/>
              </w:rPr>
              <w:t>1、废气环境影响和保护措施分析</w:t>
            </w:r>
          </w:p>
          <w:p w14:paraId="7F1AFD9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rPr>
            </w:pPr>
            <w:r>
              <w:rPr>
                <w:rFonts w:hint="default" w:ascii="Times New Roman" w:hAnsi="Times New Roman" w:cs="Times New Roman"/>
                <w:lang w:val="en-US" w:eastAsia="zh-CN"/>
              </w:rPr>
              <w:t>1</w:t>
            </w:r>
            <w:r>
              <w:rPr>
                <w:rFonts w:hint="default" w:ascii="Times New Roman" w:hAnsi="Times New Roman" w:cs="Times New Roman"/>
              </w:rPr>
              <w:t>.1废气源强分析</w:t>
            </w:r>
          </w:p>
          <w:p w14:paraId="7A7A9C3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rPr>
            </w:pPr>
            <w:r>
              <w:rPr>
                <w:rFonts w:hint="default" w:ascii="Times New Roman" w:hAnsi="Times New Roman" w:cs="Times New Roman"/>
              </w:rPr>
              <w:t>本项目生产过程中产生的工艺废气主要有</w:t>
            </w:r>
            <w:r>
              <w:rPr>
                <w:rFonts w:hint="default" w:ascii="Times New Roman" w:hAnsi="Times New Roman" w:cs="Times New Roman"/>
                <w:lang w:val="en-US" w:eastAsia="zh-CN"/>
              </w:rPr>
              <w:t>机制炭生产线破碎、筛分工序产生的粉尘，机制炭生产线烘干、炭化</w:t>
            </w:r>
            <w:r>
              <w:rPr>
                <w:rFonts w:hint="default" w:ascii="Times New Roman" w:hAnsi="Times New Roman" w:cs="Times New Roman"/>
              </w:rPr>
              <w:t>产生的</w:t>
            </w:r>
            <w:r>
              <w:rPr>
                <w:rFonts w:hint="default" w:ascii="Times New Roman" w:hAnsi="Times New Roman" w:cs="Times New Roman"/>
                <w:lang w:val="en-US" w:eastAsia="zh-CN"/>
              </w:rPr>
              <w:t>废气</w:t>
            </w:r>
            <w:r>
              <w:rPr>
                <w:rFonts w:hint="eastAsia" w:cs="Times New Roman"/>
                <w:lang w:eastAsia="zh-CN"/>
              </w:rPr>
              <w:t>、</w:t>
            </w:r>
            <w:r>
              <w:rPr>
                <w:rFonts w:hint="default" w:ascii="Times New Roman" w:hAnsi="Times New Roman" w:cs="Times New Roman"/>
                <w:lang w:val="en-US" w:eastAsia="zh-CN"/>
              </w:rPr>
              <w:t>制棒工序产生的粉尘</w:t>
            </w:r>
            <w:r>
              <w:rPr>
                <w:rFonts w:hint="eastAsia" w:cs="Times New Roman"/>
                <w:lang w:val="en-US" w:eastAsia="zh-CN"/>
              </w:rPr>
              <w:t>、</w:t>
            </w:r>
            <w:r>
              <w:rPr>
                <w:rFonts w:hint="eastAsia"/>
                <w:b w:val="0"/>
                <w:bCs/>
                <w:highlight w:val="none"/>
                <w:u w:val="none"/>
                <w:lang w:val="en-US" w:eastAsia="zh-CN"/>
              </w:rPr>
              <w:t>锯切</w:t>
            </w:r>
            <w:r>
              <w:rPr>
                <w:rFonts w:hint="default" w:ascii="Times New Roman" w:hAnsi="Times New Roman" w:cs="Times New Roman"/>
                <w:lang w:val="en-US" w:eastAsia="zh-CN"/>
              </w:rPr>
              <w:t>工序产生的粉尘以及原料装卸转运过程产生的粉尘废气</w:t>
            </w:r>
            <w:r>
              <w:rPr>
                <w:rFonts w:hint="eastAsia" w:cs="Times New Roman"/>
                <w:lang w:val="en-US" w:eastAsia="zh-CN"/>
              </w:rPr>
              <w:t>；</w:t>
            </w:r>
            <w:r>
              <w:rPr>
                <w:rFonts w:hint="default" w:ascii="Times New Roman" w:hAnsi="Times New Roman" w:cs="Times New Roman"/>
                <w:lang w:val="en-US" w:eastAsia="zh-CN"/>
              </w:rPr>
              <w:t>生物质颗粒生产线原料装卸转运，</w:t>
            </w:r>
            <w:r>
              <w:rPr>
                <w:rFonts w:hint="default" w:ascii="Times New Roman" w:hAnsi="Times New Roman" w:cs="Times New Roman"/>
              </w:rPr>
              <w:t>破碎、</w:t>
            </w:r>
            <w:r>
              <w:rPr>
                <w:rFonts w:hint="default" w:ascii="Times New Roman" w:hAnsi="Times New Roman" w:cs="Times New Roman"/>
                <w:lang w:val="en-US" w:eastAsia="zh-CN"/>
              </w:rPr>
              <w:t>筛分、</w:t>
            </w:r>
            <w:r>
              <w:rPr>
                <w:rFonts w:hint="default" w:ascii="Times New Roman" w:hAnsi="Times New Roman" w:cs="Times New Roman"/>
              </w:rPr>
              <w:t>造粒</w:t>
            </w:r>
            <w:r>
              <w:rPr>
                <w:rFonts w:hint="default" w:ascii="Times New Roman" w:hAnsi="Times New Roman" w:cs="Times New Roman"/>
                <w:lang w:eastAsia="zh-CN"/>
              </w:rPr>
              <w:t>、</w:t>
            </w:r>
            <w:r>
              <w:rPr>
                <w:rFonts w:hint="default" w:ascii="Times New Roman" w:hAnsi="Times New Roman" w:cs="Times New Roman"/>
                <w:lang w:val="en-US" w:eastAsia="zh-CN"/>
              </w:rPr>
              <w:t>包装等工序产生的粉尘废气</w:t>
            </w:r>
            <w:r>
              <w:rPr>
                <w:rFonts w:hint="default" w:ascii="Times New Roman" w:hAnsi="Times New Roman" w:cs="Times New Roman"/>
              </w:rPr>
              <w:t>。</w:t>
            </w:r>
          </w:p>
          <w:p w14:paraId="1A624254">
            <w:pPr>
              <w:pStyle w:val="50"/>
              <w:keepNext w:val="0"/>
              <w:keepLines w:val="0"/>
              <w:suppressLineNumbers w:val="0"/>
              <w:spacing w:before="0" w:beforeAutospacing="0" w:after="0" w:afterAutospacing="0"/>
              <w:ind w:left="0" w:right="0" w:firstLine="48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1.1.1机制炭生产线</w:t>
            </w:r>
          </w:p>
          <w:p w14:paraId="4752F09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color w:val="000000" w:themeColor="text1"/>
                <w:sz w:val="24"/>
                <w:szCs w:val="24"/>
                <w14:textFill>
                  <w14:solidFill>
                    <w14:schemeClr w14:val="tx1"/>
                  </w14:solidFill>
                </w14:textFill>
              </w:rPr>
            </w:pPr>
            <w:r>
              <w:rPr>
                <w:rFonts w:hint="eastAsia" w:ascii="宋体" w:hAnsi="宋体" w:eastAsia="宋体" w:cs="宋体"/>
                <w:color w:val="000000" w:themeColor="text1"/>
                <w:kern w:val="0"/>
                <w:sz w:val="24"/>
                <w:szCs w:val="24"/>
                <w:lang w:val="en-US" w:eastAsia="zh-CN" w:bidi="ar"/>
                <w14:textFill>
                  <w14:solidFill>
                    <w14:schemeClr w14:val="tx1"/>
                  </w14:solidFill>
                </w14:textFill>
              </w:rPr>
              <w:t>（</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1</w:t>
            </w:r>
            <w:r>
              <w:rPr>
                <w:rFonts w:hint="eastAsia" w:ascii="宋体" w:hAnsi="宋体" w:eastAsia="宋体" w:cs="宋体"/>
                <w:color w:val="000000" w:themeColor="text1"/>
                <w:kern w:val="0"/>
                <w:sz w:val="24"/>
                <w:szCs w:val="24"/>
                <w:lang w:val="en-US" w:eastAsia="zh-CN" w:bidi="ar"/>
                <w14:textFill>
                  <w14:solidFill>
                    <w14:schemeClr w14:val="tx1"/>
                  </w14:solidFill>
                </w14:textFill>
              </w:rPr>
              <w:t>）原料装卸和堆存过程产生的粉尘</w:t>
            </w:r>
          </w:p>
          <w:p w14:paraId="4E01473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项目原料装卸、堆存过程粉尘的产生量与物料的粒径、湿度、物料转运的速度、落差及生产操作管理等有关。参照《散逸性工业粉尘控制技术》中</w:t>
            </w:r>
            <w:r>
              <w:rPr>
                <w:rFonts w:hint="eastAsia" w:cs="Times New Roman"/>
                <w:color w:val="000000" w:themeColor="text1"/>
                <w:kern w:val="0"/>
                <w:sz w:val="24"/>
                <w:szCs w:val="24"/>
                <w:lang w:val="en-US" w:eastAsia="zh-CN" w:bidi="ar"/>
                <w14:textFill>
                  <w14:solidFill>
                    <w14:schemeClr w14:val="tx1"/>
                  </w14:solidFill>
                </w14:textFill>
              </w:rPr>
              <w:t>“</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木材加工厂-锯末堆的进料、出料、装卸和储存过程</w:t>
            </w:r>
            <w:r>
              <w:rPr>
                <w:rFonts w:hint="eastAsia" w:cs="Times New Roman"/>
                <w:color w:val="000000" w:themeColor="text1"/>
                <w:kern w:val="0"/>
                <w:sz w:val="24"/>
                <w:szCs w:val="24"/>
                <w:lang w:val="en-US" w:eastAsia="zh-CN" w:bidi="ar"/>
                <w14:textFill>
                  <w14:solidFill>
                    <w14:schemeClr w14:val="tx1"/>
                  </w14:solidFill>
                </w14:textFill>
              </w:rPr>
              <w:t>”</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粉尘排放系数为0.5kg/t原料，本项目原料用量为</w:t>
            </w:r>
            <w:r>
              <w:rPr>
                <w:rFonts w:hint="eastAsia" w:cs="Times New Roman"/>
                <w:color w:val="000000" w:themeColor="text1"/>
                <w:kern w:val="0"/>
                <w:sz w:val="24"/>
                <w:szCs w:val="24"/>
                <w:lang w:val="en-US" w:eastAsia="zh-CN" w:bidi="ar"/>
                <w14:textFill>
                  <w14:solidFill>
                    <w14:schemeClr w14:val="tx1"/>
                  </w14:solidFill>
                </w14:textFill>
              </w:rPr>
              <w:t>11382..39</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t/a，原料装卸、堆存过程年工作</w:t>
            </w:r>
            <w:r>
              <w:rPr>
                <w:rFonts w:hint="eastAsia" w:cs="Times New Roman"/>
                <w:color w:val="000000" w:themeColor="text1"/>
                <w:kern w:val="0"/>
                <w:sz w:val="24"/>
                <w:szCs w:val="24"/>
                <w:lang w:val="en-US" w:eastAsia="zh-CN" w:bidi="ar"/>
                <w14:textFill>
                  <w14:solidFill>
                    <w14:schemeClr w14:val="tx1"/>
                  </w14:solidFill>
                </w14:textFill>
              </w:rPr>
              <w:t>2</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000h，因此，原料装卸、堆存过程粉尘产生量为</w:t>
            </w:r>
            <w:r>
              <w:rPr>
                <w:rFonts w:hint="eastAsia" w:cs="Times New Roman"/>
                <w:color w:val="000000" w:themeColor="text1"/>
                <w:kern w:val="0"/>
                <w:sz w:val="24"/>
                <w:szCs w:val="24"/>
                <w:lang w:val="en-US" w:eastAsia="zh-CN" w:bidi="ar"/>
                <w14:textFill>
                  <w14:solidFill>
                    <w14:schemeClr w14:val="tx1"/>
                  </w14:solidFill>
                </w14:textFill>
              </w:rPr>
              <w:t>4.27</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t/a</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，产生速率为</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2.</w:t>
            </w:r>
            <w:r>
              <w:rPr>
                <w:rFonts w:hint="eastAsia" w:cs="Times New Roman"/>
                <w:color w:val="000000" w:themeColor="text1"/>
                <w:kern w:val="0"/>
                <w:sz w:val="24"/>
                <w:szCs w:val="24"/>
                <w:highlight w:val="none"/>
                <w:lang w:val="en-US" w:eastAsia="zh-CN" w:bidi="ar"/>
                <w14:textFill>
                  <w14:solidFill>
                    <w14:schemeClr w14:val="tx1"/>
                  </w14:solidFill>
                </w14:textFill>
              </w:rPr>
              <w:t>135</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kg/h</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w:t>
            </w:r>
          </w:p>
          <w:p w14:paraId="6972E84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本项目使用的原料存放在封闭车间内，场内运输通过加强管理、控制车辆运输速度、降低卸料高度等措施，可以大大减少外排的粉尘量，粉尘控制效率保守取90%</w:t>
            </w:r>
            <w:r>
              <w:rPr>
                <w:rFonts w:hint="eastAsia" w:eastAsia="宋体" w:cs="Times New Roman"/>
                <w:color w:val="000000" w:themeColor="text1"/>
                <w:kern w:val="0"/>
                <w:sz w:val="24"/>
                <w:szCs w:val="24"/>
                <w:lang w:val="en-US" w:eastAsia="zh-CN" w:bidi="ar"/>
                <w14:textFill>
                  <w14:solidFill>
                    <w14:schemeClr w14:val="tx1"/>
                  </w14:solidFill>
                </w14:textFill>
              </w:rPr>
              <w:t>（</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参照工业源-附表2 工业源固体物料堆场颗粒物核算系数手册中的附录4、5控制效率</w:t>
            </w:r>
            <w:r>
              <w:rPr>
                <w:rFonts w:hint="eastAsia" w:eastAsia="宋体" w:cs="Times New Roman"/>
                <w:color w:val="000000" w:themeColor="text1"/>
                <w:kern w:val="0"/>
                <w:sz w:val="24"/>
                <w:szCs w:val="24"/>
                <w:lang w:val="en-US" w:eastAsia="zh-CN" w:bidi="ar"/>
                <w14:textFill>
                  <w14:solidFill>
                    <w14:schemeClr w14:val="tx1"/>
                  </w14:solidFill>
                </w14:textFill>
              </w:rPr>
              <w:t>）</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，则颗粒物最终排放量约为</w:t>
            </w:r>
            <w:r>
              <w:rPr>
                <w:rFonts w:hint="eastAsia" w:cs="Times New Roman"/>
                <w:color w:val="000000" w:themeColor="text1"/>
                <w:kern w:val="0"/>
                <w:sz w:val="24"/>
                <w:szCs w:val="24"/>
                <w:highlight w:val="none"/>
                <w:lang w:val="en-US" w:eastAsia="zh-CN" w:bidi="ar"/>
                <w14:textFill>
                  <w14:solidFill>
                    <w14:schemeClr w14:val="tx1"/>
                  </w14:solidFill>
                </w14:textFill>
              </w:rPr>
              <w:t>0.427t</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/a</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，排放速率为</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0.</w:t>
            </w:r>
            <w:r>
              <w:rPr>
                <w:rFonts w:hint="eastAsia" w:cs="Times New Roman"/>
                <w:color w:val="000000" w:themeColor="text1"/>
                <w:kern w:val="0"/>
                <w:sz w:val="24"/>
                <w:szCs w:val="24"/>
                <w:highlight w:val="none"/>
                <w:lang w:val="en-US" w:eastAsia="zh-CN" w:bidi="ar"/>
                <w14:textFill>
                  <w14:solidFill>
                    <w14:schemeClr w14:val="tx1"/>
                  </w14:solidFill>
                </w14:textFill>
              </w:rPr>
              <w:t>214</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kg/h</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，为无组织排放，经大气扩散后对周边环境影响较小。建设单位需及时清扫地面沉积粉尘防止扬尘污染，加强车间内通排风，安排职工佩戴口罩，减少粉尘的影响。</w:t>
            </w:r>
          </w:p>
          <w:p w14:paraId="2077FFF1">
            <w:pPr>
              <w:pStyle w:val="50"/>
              <w:keepNext w:val="0"/>
              <w:keepLines w:val="0"/>
              <w:suppressLineNumbers w:val="0"/>
              <w:spacing w:before="0" w:beforeAutospacing="0" w:after="0" w:afterAutospacing="0"/>
              <w:ind w:left="0" w:right="0" w:firstLine="480"/>
              <w:rPr>
                <w:rFonts w:hint="default"/>
                <w:color w:val="000000" w:themeColor="text1"/>
                <w:sz w:val="24"/>
                <w:szCs w:val="24"/>
                <w:highlight w:val="none"/>
                <w:lang w:val="en-US" w:eastAsia="zh-CN"/>
                <w14:textFill>
                  <w14:solidFill>
                    <w14:schemeClr w14:val="tx1"/>
                  </w14:solidFill>
                </w14:textFill>
              </w:rPr>
            </w:pPr>
            <w:r>
              <w:rPr>
                <w:rFonts w:hint="eastAsia"/>
                <w:color w:val="000000" w:themeColor="text1"/>
                <w:sz w:val="24"/>
                <w:szCs w:val="24"/>
                <w:highlight w:val="none"/>
                <w:lang w:val="en-US" w:eastAsia="zh-CN"/>
                <w14:textFill>
                  <w14:solidFill>
                    <w14:schemeClr w14:val="tx1"/>
                  </w14:solidFill>
                </w14:textFill>
              </w:rPr>
              <w:t>（2）破碎、筛分</w:t>
            </w:r>
            <w:r>
              <w:rPr>
                <w:rFonts w:hint="default" w:ascii="Times New Roman" w:hAnsi="Times New Roman" w:cs="Times New Roman"/>
                <w:lang w:val="en-US" w:eastAsia="zh-CN"/>
              </w:rPr>
              <w:t>工序产生的粉尘</w:t>
            </w:r>
          </w:p>
          <w:p w14:paraId="0D9F7365">
            <w:pPr>
              <w:pStyle w:val="50"/>
              <w:keepNext w:val="0"/>
              <w:keepLines w:val="0"/>
              <w:suppressLineNumbers w:val="0"/>
              <w:spacing w:before="0" w:beforeAutospacing="0" w:after="0" w:afterAutospacing="0"/>
              <w:ind w:left="0" w:right="0"/>
              <w:rPr>
                <w:rFonts w:hint="default" w:eastAsia="宋体"/>
                <w:color w:val="000000" w:themeColor="text1"/>
                <w:sz w:val="24"/>
                <w:szCs w:val="24"/>
                <w:u w:val="none"/>
                <w:lang w:val="en-US" w:eastAsia="zh-CN"/>
                <w14:textFill>
                  <w14:solidFill>
                    <w14:schemeClr w14:val="tx1"/>
                  </w14:solidFill>
                </w14:textFill>
              </w:rPr>
            </w:pPr>
            <w:r>
              <w:rPr>
                <w:rFonts w:hint="eastAsia" w:cs="Times New Roman"/>
                <w:color w:val="000000" w:themeColor="text1"/>
                <w:kern w:val="0"/>
                <w:sz w:val="24"/>
                <w:szCs w:val="24"/>
                <w:u w:val="none"/>
                <w:lang w:val="en-US" w:eastAsia="zh-CN"/>
                <w14:textFill>
                  <w14:solidFill>
                    <w14:schemeClr w14:val="tx1"/>
                  </w14:solidFill>
                </w14:textFill>
              </w:rPr>
              <w:t>本项外购的废木材、次小薪材粉碎过程会产生粉尘，需要粉碎的物料含水率约为25</w:t>
            </w:r>
            <w:r>
              <w:rPr>
                <w:rFonts w:hint="eastAsia"/>
                <w:color w:val="000000" w:themeColor="text1"/>
                <w:sz w:val="24"/>
                <w:szCs w:val="24"/>
                <w:u w:val="none"/>
                <w14:textFill>
                  <w14:solidFill>
                    <w14:schemeClr w14:val="tx1"/>
                  </w14:solidFill>
                </w14:textFill>
              </w:rPr>
              <w:t>%左右，产尘量较少，根据《空气污染物排放和控制手册（美国环保局）》，木材废料加工颗粒物排放因子为0.91kg/t，</w:t>
            </w:r>
            <w:r>
              <w:rPr>
                <w:rFonts w:hint="eastAsia"/>
                <w:color w:val="000000" w:themeColor="text1"/>
                <w:sz w:val="24"/>
                <w:szCs w:val="24"/>
                <w:u w:val="none"/>
                <w:lang w:val="en-US" w:eastAsia="zh-CN"/>
                <w14:textFill>
                  <w14:solidFill>
                    <w14:schemeClr w14:val="tx1"/>
                  </w14:solidFill>
                </w14:textFill>
              </w:rPr>
              <w:t>破碎</w:t>
            </w:r>
            <w:r>
              <w:rPr>
                <w:rFonts w:hint="eastAsia"/>
                <w:color w:val="000000" w:themeColor="text1"/>
                <w:sz w:val="24"/>
                <w:szCs w:val="24"/>
                <w:u w:val="none"/>
                <w14:textFill>
                  <w14:solidFill>
                    <w14:schemeClr w14:val="tx1"/>
                  </w14:solidFill>
                </w14:textFill>
              </w:rPr>
              <w:t>过程进料量为</w:t>
            </w:r>
            <w:r>
              <w:rPr>
                <w:rFonts w:hint="eastAsia"/>
                <w:color w:val="000000" w:themeColor="text1"/>
                <w:sz w:val="24"/>
                <w:szCs w:val="24"/>
                <w:highlight w:val="none"/>
                <w:u w:val="none"/>
                <w:lang w:val="en-US" w:eastAsia="zh-CN"/>
                <w14:textFill>
                  <w14:solidFill>
                    <w14:schemeClr w14:val="tx1"/>
                  </w14:solidFill>
                </w14:textFill>
              </w:rPr>
              <w:t>8532.52</w:t>
            </w:r>
            <w:r>
              <w:rPr>
                <w:rFonts w:hint="default"/>
                <w:color w:val="000000" w:themeColor="text1"/>
                <w:sz w:val="24"/>
                <w:szCs w:val="24"/>
                <w:highlight w:val="none"/>
                <w:u w:val="none"/>
                <w14:textFill>
                  <w14:solidFill>
                    <w14:schemeClr w14:val="tx1"/>
                  </w14:solidFill>
                </w14:textFill>
              </w:rPr>
              <w:t>t/a</w:t>
            </w:r>
            <w:r>
              <w:rPr>
                <w:rFonts w:hint="eastAsia"/>
                <w:color w:val="000000" w:themeColor="text1"/>
                <w:sz w:val="24"/>
                <w:szCs w:val="24"/>
                <w:highlight w:val="none"/>
                <w:u w:val="none"/>
                <w14:textFill>
                  <w14:solidFill>
                    <w14:schemeClr w14:val="tx1"/>
                  </w14:solidFill>
                </w14:textFill>
              </w:rPr>
              <w:t>，</w:t>
            </w:r>
            <w:r>
              <w:rPr>
                <w:rFonts w:hint="eastAsia"/>
                <w:color w:val="000000" w:themeColor="text1"/>
                <w:sz w:val="24"/>
                <w:szCs w:val="24"/>
                <w:u w:val="none"/>
                <w:lang w:val="en-US" w:eastAsia="zh-CN"/>
                <w14:textFill>
                  <w14:solidFill>
                    <w14:schemeClr w14:val="tx1"/>
                  </w14:solidFill>
                </w14:textFill>
              </w:rPr>
              <w:t>根据需要粉尘的原料量计算</w:t>
            </w:r>
            <w:r>
              <w:rPr>
                <w:rFonts w:hint="eastAsia"/>
                <w:color w:val="000000" w:themeColor="text1"/>
                <w:sz w:val="24"/>
                <w:szCs w:val="24"/>
                <w:u w:val="none"/>
                <w14:textFill>
                  <w14:solidFill>
                    <w14:schemeClr w14:val="tx1"/>
                  </w14:solidFill>
                </w14:textFill>
              </w:rPr>
              <w:t>粉碎过程粉尘产生量为</w:t>
            </w:r>
            <w:r>
              <w:rPr>
                <w:rFonts w:hint="eastAsia"/>
                <w:color w:val="000000" w:themeColor="text1"/>
                <w:sz w:val="24"/>
                <w:szCs w:val="24"/>
                <w:highlight w:val="none"/>
                <w:u w:val="none"/>
                <w:lang w:val="en-US" w:eastAsia="zh-CN"/>
                <w14:textFill>
                  <w14:solidFill>
                    <w14:schemeClr w14:val="tx1"/>
                  </w14:solidFill>
                </w14:textFill>
              </w:rPr>
              <w:t>7.76</w:t>
            </w:r>
            <w:r>
              <w:rPr>
                <w:rFonts w:hint="eastAsia"/>
                <w:color w:val="000000" w:themeColor="text1"/>
                <w:sz w:val="24"/>
                <w:szCs w:val="24"/>
                <w:highlight w:val="none"/>
                <w:u w:val="none"/>
                <w14:textFill>
                  <w14:solidFill>
                    <w14:schemeClr w14:val="tx1"/>
                  </w14:solidFill>
                </w14:textFill>
              </w:rPr>
              <w:t>t/a</w:t>
            </w:r>
            <w:r>
              <w:rPr>
                <w:rFonts w:hint="eastAsia"/>
                <w:color w:val="000000" w:themeColor="text1"/>
                <w:sz w:val="24"/>
                <w:szCs w:val="24"/>
                <w:u w:val="none"/>
                <w14:textFill>
                  <w14:solidFill>
                    <w14:schemeClr w14:val="tx1"/>
                  </w14:solidFill>
                </w14:textFill>
              </w:rPr>
              <w:t>；筛分过程进料量为</w:t>
            </w:r>
            <w:r>
              <w:rPr>
                <w:rFonts w:hint="eastAsia"/>
                <w:color w:val="000000" w:themeColor="text1"/>
                <w:sz w:val="24"/>
                <w:szCs w:val="24"/>
                <w:highlight w:val="none"/>
                <w:u w:val="none"/>
                <w:lang w:val="en-US" w:eastAsia="zh-CN"/>
                <w14:textFill>
                  <w14:solidFill>
                    <w14:schemeClr w14:val="tx1"/>
                  </w14:solidFill>
                </w14:textFill>
              </w:rPr>
              <w:t>8524.76</w:t>
            </w:r>
            <w:r>
              <w:rPr>
                <w:rFonts w:hint="default"/>
                <w:color w:val="000000" w:themeColor="text1"/>
                <w:sz w:val="24"/>
                <w:szCs w:val="24"/>
                <w:highlight w:val="none"/>
                <w:u w:val="none"/>
                <w14:textFill>
                  <w14:solidFill>
                    <w14:schemeClr w14:val="tx1"/>
                  </w14:solidFill>
                </w14:textFill>
              </w:rPr>
              <w:t>t/a</w:t>
            </w:r>
            <w:r>
              <w:rPr>
                <w:rFonts w:hint="eastAsia"/>
                <w:color w:val="000000" w:themeColor="text1"/>
                <w:sz w:val="24"/>
                <w:szCs w:val="24"/>
                <w:highlight w:val="none"/>
                <w:u w:val="none"/>
                <w14:textFill>
                  <w14:solidFill>
                    <w14:schemeClr w14:val="tx1"/>
                  </w14:solidFill>
                </w14:textFill>
              </w:rPr>
              <w:t>，</w:t>
            </w:r>
            <w:r>
              <w:rPr>
                <w:rFonts w:hint="eastAsia"/>
                <w:color w:val="000000" w:themeColor="text1"/>
                <w:sz w:val="24"/>
                <w:szCs w:val="24"/>
                <w:u w:val="none"/>
                <w14:textFill>
                  <w14:solidFill>
                    <w14:schemeClr w14:val="tx1"/>
                  </w14:solidFill>
                </w14:textFill>
              </w:rPr>
              <w:t>则筛分过程粉尘产生量为</w:t>
            </w:r>
            <w:r>
              <w:rPr>
                <w:rFonts w:hint="eastAsia"/>
                <w:color w:val="000000" w:themeColor="text1"/>
                <w:sz w:val="24"/>
                <w:szCs w:val="24"/>
                <w:highlight w:val="none"/>
                <w:u w:val="none"/>
                <w:lang w:val="en-US" w:eastAsia="zh-CN"/>
                <w14:textFill>
                  <w14:solidFill>
                    <w14:schemeClr w14:val="tx1"/>
                  </w14:solidFill>
                </w14:textFill>
              </w:rPr>
              <w:t>7.76</w:t>
            </w:r>
            <w:r>
              <w:rPr>
                <w:rFonts w:hint="eastAsia"/>
                <w:color w:val="000000" w:themeColor="text1"/>
                <w:sz w:val="24"/>
                <w:szCs w:val="24"/>
                <w:highlight w:val="none"/>
                <w:u w:val="none"/>
                <w14:textFill>
                  <w14:solidFill>
                    <w14:schemeClr w14:val="tx1"/>
                  </w14:solidFill>
                </w14:textFill>
              </w:rPr>
              <w:t>t/a</w:t>
            </w:r>
            <w:r>
              <w:rPr>
                <w:rFonts w:hint="eastAsia"/>
                <w:color w:val="000000" w:themeColor="text1"/>
                <w:sz w:val="24"/>
                <w:szCs w:val="24"/>
                <w:u w:val="none"/>
                <w14:textFill>
                  <w14:solidFill>
                    <w14:schemeClr w14:val="tx1"/>
                  </w14:solidFill>
                </w14:textFill>
              </w:rPr>
              <w:t>；则</w:t>
            </w:r>
            <w:r>
              <w:rPr>
                <w:rFonts w:hint="eastAsia"/>
                <w:color w:val="000000" w:themeColor="text1"/>
                <w:sz w:val="24"/>
                <w:szCs w:val="24"/>
                <w:highlight w:val="none"/>
                <w:u w:val="none"/>
                <w:lang w:val="en-US" w:eastAsia="zh-CN"/>
                <w14:textFill>
                  <w14:solidFill>
                    <w14:schemeClr w14:val="tx1"/>
                  </w14:solidFill>
                </w14:textFill>
              </w:rPr>
              <w:t>破碎</w:t>
            </w:r>
            <w:r>
              <w:rPr>
                <w:rFonts w:hint="eastAsia"/>
                <w:color w:val="000000" w:themeColor="text1"/>
                <w:sz w:val="24"/>
                <w:szCs w:val="24"/>
                <w:u w:val="none"/>
                <w14:textFill>
                  <w14:solidFill>
                    <w14:schemeClr w14:val="tx1"/>
                  </w14:solidFill>
                </w14:textFill>
              </w:rPr>
              <w:t>、筛分工序粉尘产生量为</w:t>
            </w:r>
            <w:r>
              <w:rPr>
                <w:rFonts w:hint="eastAsia"/>
                <w:color w:val="000000" w:themeColor="text1"/>
                <w:sz w:val="24"/>
                <w:szCs w:val="24"/>
                <w:highlight w:val="none"/>
                <w:u w:val="none"/>
                <w:lang w:val="en-US" w:eastAsia="zh-CN"/>
                <w14:textFill>
                  <w14:solidFill>
                    <w14:schemeClr w14:val="tx1"/>
                  </w14:solidFill>
                </w14:textFill>
              </w:rPr>
              <w:t>15.52</w:t>
            </w:r>
            <w:r>
              <w:rPr>
                <w:rFonts w:hint="eastAsia"/>
                <w:color w:val="000000" w:themeColor="text1"/>
                <w:sz w:val="24"/>
                <w:szCs w:val="24"/>
                <w:highlight w:val="none"/>
                <w:u w:val="none"/>
                <w14:textFill>
                  <w14:solidFill>
                    <w14:schemeClr w14:val="tx1"/>
                  </w14:solidFill>
                </w14:textFill>
              </w:rPr>
              <w:t>t/a</w:t>
            </w:r>
            <w:r>
              <w:rPr>
                <w:rFonts w:hint="eastAsia"/>
                <w:color w:val="000000" w:themeColor="text1"/>
                <w:sz w:val="24"/>
                <w:szCs w:val="24"/>
                <w:u w:val="none"/>
                <w14:textFill>
                  <w14:solidFill>
                    <w14:schemeClr w14:val="tx1"/>
                  </w14:solidFill>
                </w14:textFill>
              </w:rPr>
              <w:t>。</w:t>
            </w:r>
            <w:r>
              <w:rPr>
                <w:rFonts w:hint="eastAsia"/>
                <w:color w:val="000000" w:themeColor="text1"/>
                <w:sz w:val="24"/>
                <w:szCs w:val="24"/>
                <w:highlight w:val="none"/>
                <w:u w:val="none"/>
                <w:lang w:val="en-US" w:eastAsia="zh-CN"/>
                <w14:textFill>
                  <w14:solidFill>
                    <w14:schemeClr w14:val="tx1"/>
                  </w14:solidFill>
                </w14:textFill>
              </w:rPr>
              <w:t>破碎</w:t>
            </w:r>
            <w:r>
              <w:rPr>
                <w:rFonts w:hint="eastAsia"/>
                <w:color w:val="000000" w:themeColor="text1"/>
                <w:sz w:val="24"/>
                <w:szCs w:val="24"/>
                <w:u w:val="none"/>
                <w14:textFill>
                  <w14:solidFill>
                    <w14:schemeClr w14:val="tx1"/>
                  </w14:solidFill>
                </w14:textFill>
              </w:rPr>
              <w:t>、筛分工序年工作时间</w:t>
            </w:r>
            <w:r>
              <w:rPr>
                <w:rFonts w:hint="eastAsia"/>
                <w:color w:val="000000" w:themeColor="text1"/>
                <w:sz w:val="24"/>
                <w:szCs w:val="24"/>
                <w:u w:val="none"/>
                <w:lang w:val="en-US" w:eastAsia="zh-CN"/>
                <w14:textFill>
                  <w14:solidFill>
                    <w14:schemeClr w14:val="tx1"/>
                  </w14:solidFill>
                </w14:textFill>
              </w:rPr>
              <w:t>均</w:t>
            </w:r>
            <w:r>
              <w:rPr>
                <w:rFonts w:hint="eastAsia"/>
                <w:color w:val="000000" w:themeColor="text1"/>
                <w:sz w:val="24"/>
                <w:szCs w:val="24"/>
                <w:u w:val="none"/>
                <w14:textFill>
                  <w14:solidFill>
                    <w14:schemeClr w14:val="tx1"/>
                  </w14:solidFill>
                </w14:textFill>
              </w:rPr>
              <w:t>为</w:t>
            </w:r>
            <w:r>
              <w:rPr>
                <w:rFonts w:hint="eastAsia"/>
                <w:color w:val="000000" w:themeColor="text1"/>
                <w:sz w:val="24"/>
                <w:szCs w:val="24"/>
                <w:u w:val="none"/>
                <w:lang w:val="en-US" w:eastAsia="zh-CN"/>
                <w14:textFill>
                  <w14:solidFill>
                    <w14:schemeClr w14:val="tx1"/>
                  </w14:solidFill>
                </w14:textFill>
              </w:rPr>
              <w:t>3600</w:t>
            </w:r>
            <w:r>
              <w:rPr>
                <w:rFonts w:hint="default"/>
                <w:color w:val="000000" w:themeColor="text1"/>
                <w:sz w:val="24"/>
                <w:szCs w:val="24"/>
                <w:u w:val="none"/>
                <w14:textFill>
                  <w14:solidFill>
                    <w14:schemeClr w14:val="tx1"/>
                  </w14:solidFill>
                </w14:textFill>
              </w:rPr>
              <w:t>h</w:t>
            </w:r>
            <w:r>
              <w:rPr>
                <w:rFonts w:hint="eastAsia"/>
                <w:color w:val="000000" w:themeColor="text1"/>
                <w:sz w:val="24"/>
                <w:szCs w:val="24"/>
                <w:u w:val="none"/>
                <w14:textFill>
                  <w14:solidFill>
                    <w14:schemeClr w14:val="tx1"/>
                  </w14:solidFill>
                </w14:textFill>
              </w:rPr>
              <w:t>。</w:t>
            </w:r>
            <w:r>
              <w:rPr>
                <w:rFonts w:hint="eastAsia"/>
                <w:color w:val="000000" w:themeColor="text1"/>
                <w:sz w:val="24"/>
                <w:szCs w:val="24"/>
                <w:highlight w:val="none"/>
                <w:u w:val="none"/>
                <w:lang w:val="en-US" w:eastAsia="zh-CN"/>
                <w14:textFill>
                  <w14:solidFill>
                    <w14:schemeClr w14:val="tx1"/>
                  </w14:solidFill>
                </w14:textFill>
              </w:rPr>
              <w:t>破碎</w:t>
            </w:r>
            <w:r>
              <w:rPr>
                <w:rFonts w:hint="eastAsia"/>
                <w:color w:val="000000" w:themeColor="text1"/>
                <w:sz w:val="24"/>
                <w:szCs w:val="24"/>
                <w:u w:val="none"/>
                <w:lang w:val="en-US" w:eastAsia="zh-CN"/>
                <w14:textFill>
                  <w14:solidFill>
                    <w14:schemeClr w14:val="tx1"/>
                  </w14:solidFill>
                </w14:textFill>
              </w:rPr>
              <w:t>和筛分工序设备进出口设置集气罩，</w:t>
            </w:r>
            <w:r>
              <w:rPr>
                <w:rFonts w:hint="eastAsia"/>
                <w:color w:val="000000" w:themeColor="text1"/>
                <w:sz w:val="24"/>
                <w:szCs w:val="24"/>
                <w:highlight w:val="none"/>
                <w:u w:val="none"/>
                <w:lang w:val="en-US" w:eastAsia="zh-CN"/>
                <w14:textFill>
                  <w14:solidFill>
                    <w14:schemeClr w14:val="tx1"/>
                  </w14:solidFill>
                </w14:textFill>
              </w:rPr>
              <w:t>破碎</w:t>
            </w:r>
            <w:r>
              <w:rPr>
                <w:rFonts w:hint="eastAsia"/>
                <w:color w:val="000000" w:themeColor="text1"/>
                <w:sz w:val="24"/>
                <w:szCs w:val="24"/>
                <w:u w:val="none"/>
                <w:lang w:val="en-US" w:eastAsia="zh-CN"/>
                <w14:textFill>
                  <w14:solidFill>
                    <w14:schemeClr w14:val="tx1"/>
                  </w14:solidFill>
                </w14:textFill>
              </w:rPr>
              <w:t>和筛分工序粉尘废气经各自集气罩收集后，与经各自集气罩收集的</w:t>
            </w:r>
            <w:r>
              <w:rPr>
                <w:rFonts w:hint="eastAsia"/>
                <w:color w:val="000000" w:themeColor="text1"/>
                <w:highlight w:val="none"/>
                <w:u w:val="none"/>
                <w:lang w:val="en-US" w:eastAsia="zh-CN"/>
                <w14:textFill>
                  <w14:solidFill>
                    <w14:schemeClr w14:val="tx1"/>
                  </w14:solidFill>
                </w14:textFill>
              </w:rPr>
              <w:t>出炭、</w:t>
            </w:r>
            <w:r>
              <w:rPr>
                <w:rFonts w:hint="eastAsia" w:ascii="宋体" w:hAnsi="宋体" w:cs="宋体"/>
                <w:b w:val="0"/>
                <w:bCs/>
                <w:color w:val="000000" w:themeColor="text1"/>
                <w:highlight w:val="none"/>
                <w:u w:val="none"/>
                <w:lang w:val="en-US" w:eastAsia="zh-CN"/>
                <w14:textFill>
                  <w14:solidFill>
                    <w14:schemeClr w14:val="tx1"/>
                  </w14:solidFill>
                </w14:textFill>
              </w:rPr>
              <w:t>冷却、</w:t>
            </w:r>
            <w:r>
              <w:rPr>
                <w:rFonts w:hint="eastAsia"/>
                <w:b w:val="0"/>
                <w:bCs/>
                <w:color w:val="000000" w:themeColor="text1"/>
                <w:highlight w:val="none"/>
                <w:u w:val="none"/>
                <w:lang w:val="en-US" w:eastAsia="zh-CN"/>
                <w14:textFill>
                  <w14:solidFill>
                    <w14:schemeClr w14:val="tx1"/>
                  </w14:solidFill>
                </w14:textFill>
              </w:rPr>
              <w:t>锯切粉尘废气一并</w:t>
            </w:r>
            <w:r>
              <w:rPr>
                <w:rFonts w:hint="eastAsia"/>
                <w:color w:val="000000" w:themeColor="text1"/>
                <w:sz w:val="24"/>
                <w:szCs w:val="24"/>
                <w:u w:val="none"/>
                <w:lang w:val="en-US" w:eastAsia="zh-CN"/>
                <w14:textFill>
                  <w14:solidFill>
                    <w14:schemeClr w14:val="tx1"/>
                  </w14:solidFill>
                </w14:textFill>
              </w:rPr>
              <w:t>引至袋式除尘器（TA001）处理后，经1根15m高排气筒排放（DA001）。集气罩</w:t>
            </w:r>
            <w:r>
              <w:rPr>
                <w:rFonts w:hint="eastAsia"/>
                <w:b w:val="0"/>
                <w:bCs/>
                <w:color w:val="000000" w:themeColor="text1"/>
                <w:highlight w:val="none"/>
                <w:u w:val="none"/>
                <w:lang w:val="en-US" w:eastAsia="zh-CN"/>
                <w14:textFill>
                  <w14:solidFill>
                    <w14:schemeClr w14:val="tx1"/>
                  </w14:solidFill>
                </w14:textFill>
              </w:rPr>
              <w:t>收集效率为90%、除尘器处理效率为99%，风机风量为6000m</w:t>
            </w:r>
            <w:r>
              <w:rPr>
                <w:rFonts w:hint="eastAsia"/>
                <w:b w:val="0"/>
                <w:bCs/>
                <w:color w:val="000000" w:themeColor="text1"/>
                <w:highlight w:val="none"/>
                <w:u w:val="none"/>
                <w:vertAlign w:val="superscript"/>
                <w:lang w:val="en-US" w:eastAsia="zh-CN"/>
                <w14:textFill>
                  <w14:solidFill>
                    <w14:schemeClr w14:val="tx1"/>
                  </w14:solidFill>
                </w14:textFill>
              </w:rPr>
              <w:t>3</w:t>
            </w:r>
            <w:r>
              <w:rPr>
                <w:rFonts w:hint="eastAsia"/>
                <w:b w:val="0"/>
                <w:bCs/>
                <w:color w:val="000000" w:themeColor="text1"/>
                <w:highlight w:val="none"/>
                <w:u w:val="none"/>
                <w:lang w:val="en-US" w:eastAsia="zh-CN"/>
                <w14:textFill>
                  <w14:solidFill>
                    <w14:schemeClr w14:val="tx1"/>
                  </w14:solidFill>
                </w14:textFill>
              </w:rPr>
              <w:t>/h。</w:t>
            </w:r>
          </w:p>
          <w:p w14:paraId="47196924">
            <w:pPr>
              <w:pStyle w:val="50"/>
              <w:keepNext w:val="0"/>
              <w:keepLines w:val="0"/>
              <w:suppressLineNumbers w:val="0"/>
              <w:spacing w:before="0" w:beforeAutospacing="0" w:after="0" w:afterAutospacing="0"/>
              <w:ind w:left="0" w:right="0" w:firstLine="480"/>
              <w:rPr>
                <w:rFonts w:hint="default" w:ascii="Times New Roman" w:hAnsi="Times New Roman" w:cs="Times New Roman"/>
                <w:color w:val="000000" w:themeColor="text1"/>
                <w:u w:val="none"/>
                <w:lang w:val="en-US" w:eastAsia="zh-CN"/>
                <w14:textFill>
                  <w14:solidFill>
                    <w14:schemeClr w14:val="tx1"/>
                  </w14:solidFill>
                </w14:textFill>
              </w:rPr>
            </w:pPr>
            <w:r>
              <w:rPr>
                <w:rFonts w:hint="eastAsia"/>
                <w:b w:val="0"/>
                <w:bCs w:val="0"/>
                <w:color w:val="000000" w:themeColor="text1"/>
                <w:sz w:val="24"/>
                <w:szCs w:val="24"/>
                <w:u w:val="none"/>
                <w14:textFill>
                  <w14:solidFill>
                    <w14:schemeClr w14:val="tx1"/>
                  </w14:solidFill>
                </w14:textFill>
              </w:rPr>
              <w:t>（</w:t>
            </w:r>
            <w:r>
              <w:rPr>
                <w:rFonts w:hint="eastAsia"/>
                <w:b w:val="0"/>
                <w:bCs w:val="0"/>
                <w:color w:val="000000" w:themeColor="text1"/>
                <w:sz w:val="24"/>
                <w:szCs w:val="24"/>
                <w:u w:val="none"/>
                <w:lang w:val="en-US" w:eastAsia="zh-CN"/>
                <w14:textFill>
                  <w14:solidFill>
                    <w14:schemeClr w14:val="tx1"/>
                  </w14:solidFill>
                </w14:textFill>
              </w:rPr>
              <w:t>3</w:t>
            </w:r>
            <w:r>
              <w:rPr>
                <w:rFonts w:hint="eastAsia"/>
                <w:b w:val="0"/>
                <w:bCs w:val="0"/>
                <w:color w:val="000000" w:themeColor="text1"/>
                <w:sz w:val="24"/>
                <w:szCs w:val="24"/>
                <w:u w:val="none"/>
                <w14:textFill>
                  <w14:solidFill>
                    <w14:schemeClr w14:val="tx1"/>
                  </w14:solidFill>
                </w14:textFill>
              </w:rPr>
              <w:t>）</w:t>
            </w:r>
            <w:r>
              <w:rPr>
                <w:rFonts w:hint="eastAsia" w:ascii="宋体" w:hAnsi="宋体" w:cs="宋体"/>
                <w:b w:val="0"/>
                <w:bCs/>
                <w:color w:val="000000" w:themeColor="text1"/>
                <w:highlight w:val="none"/>
                <w:u w:val="none"/>
                <w:lang w:val="en-US" w:eastAsia="zh-CN"/>
                <w14:textFill>
                  <w14:solidFill>
                    <w14:schemeClr w14:val="tx1"/>
                  </w14:solidFill>
                </w14:textFill>
              </w:rPr>
              <w:t>冷却、</w:t>
            </w:r>
            <w:r>
              <w:rPr>
                <w:rFonts w:hint="eastAsia"/>
                <w:b w:val="0"/>
                <w:bCs/>
                <w:color w:val="000000" w:themeColor="text1"/>
                <w:highlight w:val="none"/>
                <w:u w:val="none"/>
                <w:lang w:val="en-US" w:eastAsia="zh-CN"/>
                <w14:textFill>
                  <w14:solidFill>
                    <w14:schemeClr w14:val="tx1"/>
                  </w14:solidFill>
                </w14:textFill>
              </w:rPr>
              <w:t>锯切</w:t>
            </w:r>
            <w:r>
              <w:rPr>
                <w:rFonts w:hint="default" w:ascii="Times New Roman" w:hAnsi="Times New Roman" w:cs="Times New Roman"/>
                <w:color w:val="000000" w:themeColor="text1"/>
                <w:u w:val="none"/>
                <w:lang w:val="en-US" w:eastAsia="zh-CN"/>
                <w14:textFill>
                  <w14:solidFill>
                    <w14:schemeClr w14:val="tx1"/>
                  </w14:solidFill>
                </w14:textFill>
              </w:rPr>
              <w:t>工序产生的粉尘</w:t>
            </w:r>
          </w:p>
          <w:p w14:paraId="218C97BC">
            <w:pPr>
              <w:pStyle w:val="50"/>
              <w:keepNext w:val="0"/>
              <w:keepLines w:val="0"/>
              <w:suppressLineNumbers w:val="0"/>
              <w:spacing w:before="0" w:beforeAutospacing="0" w:after="0" w:afterAutospacing="0"/>
              <w:ind w:left="0" w:right="0" w:firstLine="480"/>
              <w:rPr>
                <w:rFonts w:hint="eastAsia"/>
                <w:b w:val="0"/>
                <w:bCs/>
                <w:color w:val="000000" w:themeColor="text1"/>
                <w:highlight w:val="none"/>
                <w:u w:val="none"/>
                <w:lang w:val="en-US" w:eastAsia="zh-CN"/>
                <w14:textFill>
                  <w14:solidFill>
                    <w14:schemeClr w14:val="tx1"/>
                  </w14:solidFill>
                </w14:textFill>
              </w:rPr>
            </w:pPr>
            <w:r>
              <w:rPr>
                <w:rFonts w:hint="eastAsia"/>
                <w:b w:val="0"/>
                <w:bCs/>
                <w:color w:val="000000" w:themeColor="text1"/>
                <w:highlight w:val="none"/>
                <w:u w:val="none"/>
                <w:lang w:val="en-US" w:eastAsia="zh-CN"/>
                <w14:textFill>
                  <w14:solidFill>
                    <w14:schemeClr w14:val="tx1"/>
                  </w14:solidFill>
                </w14:textFill>
              </w:rPr>
              <w:t>机制炭生产线炭化后为了方便装箱，需要进行锯切。项目切割采用锯切机来进行冷切割，在切割过程会产生粉尘。根据生态环境部2021年6月发布的《排放源统计调查产排污核算方法和系数手册》中的《2542生物质致密成型燃料加工行业系数手册》中的生物质致密成型燃料剪切工序颗粒物的产物系数6.69×10</w:t>
            </w:r>
            <w:r>
              <w:rPr>
                <w:rFonts w:hint="eastAsia"/>
                <w:b w:val="0"/>
                <w:bCs/>
                <w:color w:val="000000" w:themeColor="text1"/>
                <w:highlight w:val="none"/>
                <w:u w:val="none"/>
                <w:vertAlign w:val="superscript"/>
                <w:lang w:val="en-US" w:eastAsia="zh-CN"/>
                <w14:textFill>
                  <w14:solidFill>
                    <w14:schemeClr w14:val="tx1"/>
                  </w14:solidFill>
                </w14:textFill>
              </w:rPr>
              <w:t>-4</w:t>
            </w:r>
            <w:r>
              <w:rPr>
                <w:rFonts w:hint="eastAsia"/>
                <w:b w:val="0"/>
                <w:bCs/>
                <w:color w:val="000000" w:themeColor="text1"/>
                <w:highlight w:val="none"/>
                <w:u w:val="none"/>
                <w:lang w:val="en-US" w:eastAsia="zh-CN"/>
                <w14:textFill>
                  <w14:solidFill>
                    <w14:schemeClr w14:val="tx1"/>
                  </w14:solidFill>
                </w14:textFill>
              </w:rPr>
              <w:t>吨/吨-产品。该生产线产品量约为3000t/a，则项目锯切粉尘产生量为2.01t/a。</w:t>
            </w:r>
          </w:p>
          <w:p w14:paraId="710BE155">
            <w:pPr>
              <w:pStyle w:val="50"/>
              <w:keepNext w:val="0"/>
              <w:keepLines w:val="0"/>
              <w:suppressLineNumbers w:val="0"/>
              <w:spacing w:before="0" w:beforeAutospacing="0" w:after="0" w:afterAutospacing="0"/>
              <w:ind w:left="0" w:right="0" w:firstLine="480"/>
              <w:rPr>
                <w:rFonts w:hint="eastAsia"/>
                <w:b w:val="0"/>
                <w:bCs/>
                <w:color w:val="000000" w:themeColor="text1"/>
                <w:highlight w:val="none"/>
                <w:u w:val="none"/>
                <w:lang w:val="en-US" w:eastAsia="zh-CN"/>
                <w14:textFill>
                  <w14:solidFill>
                    <w14:schemeClr w14:val="tx1"/>
                  </w14:solidFill>
                </w14:textFill>
              </w:rPr>
            </w:pPr>
            <w:r>
              <w:rPr>
                <w:rFonts w:hint="eastAsia"/>
                <w:b w:val="0"/>
                <w:bCs/>
                <w:color w:val="000000" w:themeColor="text1"/>
                <w:sz w:val="24"/>
                <w:szCs w:val="24"/>
                <w:highlight w:val="none"/>
                <w:u w:val="none"/>
                <w:lang w:val="en-US" w:eastAsia="zh-CN"/>
                <w14:textFill>
                  <w14:solidFill>
                    <w14:schemeClr w14:val="tx1"/>
                  </w14:solidFill>
                </w14:textFill>
              </w:rPr>
              <w:t>锯切工序的粉尘产生量为2.01t/a，</w:t>
            </w:r>
            <w:r>
              <w:rPr>
                <w:rFonts w:hint="eastAsia"/>
                <w:color w:val="000000" w:themeColor="text1"/>
                <w:sz w:val="24"/>
                <w:szCs w:val="24"/>
                <w:u w:val="none"/>
                <w14:textFill>
                  <w14:solidFill>
                    <w14:schemeClr w14:val="tx1"/>
                  </w14:solidFill>
                </w14:textFill>
              </w:rPr>
              <w:t>年工作时间为</w:t>
            </w:r>
            <w:r>
              <w:rPr>
                <w:rFonts w:hint="eastAsia"/>
                <w:color w:val="000000" w:themeColor="text1"/>
                <w:sz w:val="24"/>
                <w:szCs w:val="24"/>
                <w:u w:val="none"/>
                <w:lang w:val="en-US" w:eastAsia="zh-CN"/>
                <w14:textFill>
                  <w14:solidFill>
                    <w14:schemeClr w14:val="tx1"/>
                  </w14:solidFill>
                </w14:textFill>
              </w:rPr>
              <w:t>3600</w:t>
            </w:r>
            <w:r>
              <w:rPr>
                <w:rFonts w:hint="default"/>
                <w:color w:val="000000" w:themeColor="text1"/>
                <w:sz w:val="24"/>
                <w:szCs w:val="24"/>
                <w:u w:val="none"/>
                <w14:textFill>
                  <w14:solidFill>
                    <w14:schemeClr w14:val="tx1"/>
                  </w14:solidFill>
                </w14:textFill>
              </w:rPr>
              <w:t>h</w:t>
            </w:r>
            <w:r>
              <w:rPr>
                <w:rFonts w:hint="eastAsia"/>
                <w:b w:val="0"/>
                <w:bCs/>
                <w:color w:val="000000" w:themeColor="text1"/>
                <w:sz w:val="24"/>
                <w:szCs w:val="24"/>
                <w:highlight w:val="none"/>
                <w:u w:val="none"/>
                <w:lang w:val="en-US" w:eastAsia="zh-CN"/>
                <w14:textFill>
                  <w14:solidFill>
                    <w14:schemeClr w14:val="tx1"/>
                  </w14:solidFill>
                </w14:textFill>
              </w:rPr>
              <w:t>。冷却区和锯切区均设置集气罩，各产尘点粉尘废气经各集气罩收集后引至一套</w:t>
            </w:r>
            <w:r>
              <w:rPr>
                <w:rFonts w:hint="eastAsia"/>
                <w:color w:val="000000" w:themeColor="text1"/>
                <w:sz w:val="24"/>
                <w:szCs w:val="24"/>
                <w:u w:val="none"/>
                <w:lang w:val="en-US" w:eastAsia="zh-CN"/>
                <w14:textFill>
                  <w14:solidFill>
                    <w14:schemeClr w14:val="tx1"/>
                  </w14:solidFill>
                </w14:textFill>
              </w:rPr>
              <w:t>袋式除尘器</w:t>
            </w:r>
            <w:r>
              <w:rPr>
                <w:rFonts w:hint="eastAsia"/>
                <w:b w:val="0"/>
                <w:bCs/>
                <w:color w:val="000000" w:themeColor="text1"/>
                <w:sz w:val="24"/>
                <w:szCs w:val="24"/>
                <w:highlight w:val="none"/>
                <w:u w:val="none"/>
                <w:lang w:val="en-US" w:eastAsia="zh-CN"/>
                <w14:textFill>
                  <w14:solidFill>
                    <w14:schemeClr w14:val="tx1"/>
                  </w14:solidFill>
                </w14:textFill>
              </w:rPr>
              <w:t>处理后，通过1根15m高排气筒（DA001）排放。</w:t>
            </w:r>
            <w:r>
              <w:rPr>
                <w:rFonts w:hint="eastAsia"/>
                <w:color w:val="000000" w:themeColor="text1"/>
                <w:sz w:val="24"/>
                <w:szCs w:val="24"/>
                <w:u w:val="none"/>
                <w:lang w:val="en-US" w:eastAsia="zh-CN"/>
                <w14:textFill>
                  <w14:solidFill>
                    <w14:schemeClr w14:val="tx1"/>
                  </w14:solidFill>
                </w14:textFill>
              </w:rPr>
              <w:t>集气罩</w:t>
            </w:r>
            <w:r>
              <w:rPr>
                <w:rFonts w:hint="eastAsia"/>
                <w:b w:val="0"/>
                <w:bCs/>
                <w:color w:val="000000" w:themeColor="text1"/>
                <w:highlight w:val="none"/>
                <w:u w:val="none"/>
                <w:lang w:val="en-US" w:eastAsia="zh-CN"/>
                <w14:textFill>
                  <w14:solidFill>
                    <w14:schemeClr w14:val="tx1"/>
                  </w14:solidFill>
                </w14:textFill>
              </w:rPr>
              <w:t>收集效率为90%、除尘器处理效率为99%，风机风量为6000m</w:t>
            </w:r>
            <w:r>
              <w:rPr>
                <w:rFonts w:hint="eastAsia"/>
                <w:b w:val="0"/>
                <w:bCs/>
                <w:color w:val="000000" w:themeColor="text1"/>
                <w:highlight w:val="none"/>
                <w:u w:val="none"/>
                <w:vertAlign w:val="superscript"/>
                <w:lang w:val="en-US" w:eastAsia="zh-CN"/>
                <w14:textFill>
                  <w14:solidFill>
                    <w14:schemeClr w14:val="tx1"/>
                  </w14:solidFill>
                </w14:textFill>
              </w:rPr>
              <w:t>3</w:t>
            </w:r>
            <w:r>
              <w:rPr>
                <w:rFonts w:hint="eastAsia"/>
                <w:b w:val="0"/>
                <w:bCs/>
                <w:color w:val="000000" w:themeColor="text1"/>
                <w:highlight w:val="none"/>
                <w:u w:val="none"/>
                <w:lang w:val="en-US" w:eastAsia="zh-CN"/>
                <w14:textFill>
                  <w14:solidFill>
                    <w14:schemeClr w14:val="tx1"/>
                  </w14:solidFill>
                </w14:textFill>
              </w:rPr>
              <w:t>/h。</w:t>
            </w:r>
          </w:p>
          <w:p w14:paraId="466D282A">
            <w:pPr>
              <w:pStyle w:val="50"/>
              <w:keepNext w:val="0"/>
              <w:keepLines w:val="0"/>
              <w:suppressLineNumbers w:val="0"/>
              <w:spacing w:before="0" w:beforeAutospacing="0" w:after="0" w:afterAutospacing="0"/>
              <w:ind w:left="0" w:right="0" w:firstLine="480"/>
              <w:rPr>
                <w:rFonts w:hint="default" w:ascii="Times New Roman" w:hAnsi="Times New Roman" w:cs="Times New Roman"/>
                <w:color w:val="000000" w:themeColor="text1"/>
                <w:u w:val="none"/>
                <w:lang w:val="en-US" w:eastAsia="zh-CN"/>
                <w14:textFill>
                  <w14:solidFill>
                    <w14:schemeClr w14:val="tx1"/>
                  </w14:solidFill>
                </w14:textFill>
              </w:rPr>
            </w:pPr>
            <w:r>
              <w:rPr>
                <w:rFonts w:hint="eastAsia"/>
                <w:b w:val="0"/>
                <w:bCs/>
                <w:color w:val="000000" w:themeColor="text1"/>
                <w:highlight w:val="none"/>
                <w:u w:val="none"/>
                <w:lang w:val="en-US" w:eastAsia="zh-CN"/>
                <w14:textFill>
                  <w14:solidFill>
                    <w14:schemeClr w14:val="tx1"/>
                  </w14:solidFill>
                </w14:textFill>
              </w:rPr>
              <w:t>（4）包装工序</w:t>
            </w:r>
            <w:r>
              <w:rPr>
                <w:rFonts w:hint="default" w:ascii="Times New Roman" w:hAnsi="Times New Roman" w:cs="Times New Roman"/>
                <w:color w:val="000000" w:themeColor="text1"/>
                <w:u w:val="none"/>
                <w:lang w:val="en-US" w:eastAsia="zh-CN"/>
                <w14:textFill>
                  <w14:solidFill>
                    <w14:schemeClr w14:val="tx1"/>
                  </w14:solidFill>
                </w14:textFill>
              </w:rPr>
              <w:t>产生的粉尘</w:t>
            </w:r>
          </w:p>
          <w:p w14:paraId="1D9DC7AC">
            <w:pPr>
              <w:pStyle w:val="50"/>
              <w:keepNext w:val="0"/>
              <w:keepLines w:val="0"/>
              <w:suppressLineNumbers w:val="0"/>
              <w:spacing w:before="0" w:beforeAutospacing="0" w:after="0" w:afterAutospacing="0"/>
              <w:ind w:left="0" w:right="0" w:firstLine="480"/>
              <w:rPr>
                <w:rFonts w:hint="eastAsia"/>
                <w:b w:val="0"/>
                <w:bCs/>
                <w:color w:val="000000" w:themeColor="text1"/>
                <w:highlight w:val="none"/>
                <w:u w:val="none"/>
                <w:lang w:val="en-US" w:eastAsia="zh-CN"/>
                <w14:textFill>
                  <w14:solidFill>
                    <w14:schemeClr w14:val="tx1"/>
                  </w14:solidFill>
                </w14:textFill>
              </w:rPr>
            </w:pPr>
            <w:r>
              <w:rPr>
                <w:rFonts w:hint="eastAsia"/>
                <w:b w:val="0"/>
                <w:bCs/>
                <w:color w:val="000000" w:themeColor="text1"/>
                <w:highlight w:val="none"/>
                <w:u w:val="none"/>
                <w:lang w:val="en-US" w:eastAsia="zh-CN"/>
                <w14:textFill>
                  <w14:solidFill>
                    <w14:schemeClr w14:val="tx1"/>
                  </w14:solidFill>
                </w14:textFill>
              </w:rPr>
              <w:t>包装过程会产生部分粉尘，经类比同类项目，粉尘产生量为0.1kg/t产品，产品量约为3000t/a，项目包装工序</w:t>
            </w:r>
            <w:r>
              <w:rPr>
                <w:rFonts w:hint="eastAsia"/>
                <w:color w:val="000000" w:themeColor="text1"/>
                <w:sz w:val="24"/>
                <w:szCs w:val="24"/>
                <w:u w:val="none"/>
                <w14:textFill>
                  <w14:solidFill>
                    <w14:schemeClr w14:val="tx1"/>
                  </w14:solidFill>
                </w14:textFill>
              </w:rPr>
              <w:t>年工作时间为</w:t>
            </w:r>
            <w:r>
              <w:rPr>
                <w:rFonts w:hint="eastAsia"/>
                <w:color w:val="000000" w:themeColor="text1"/>
                <w:sz w:val="24"/>
                <w:szCs w:val="24"/>
                <w:u w:val="none"/>
                <w:lang w:val="en-US" w:eastAsia="zh-CN"/>
                <w14:textFill>
                  <w14:solidFill>
                    <w14:schemeClr w14:val="tx1"/>
                  </w14:solidFill>
                </w14:textFill>
              </w:rPr>
              <w:t>3600</w:t>
            </w:r>
            <w:r>
              <w:rPr>
                <w:rFonts w:hint="default"/>
                <w:color w:val="000000" w:themeColor="text1"/>
                <w:sz w:val="24"/>
                <w:szCs w:val="24"/>
                <w:u w:val="none"/>
                <w14:textFill>
                  <w14:solidFill>
                    <w14:schemeClr w14:val="tx1"/>
                  </w14:solidFill>
                </w14:textFill>
              </w:rPr>
              <w:t>h</w:t>
            </w:r>
            <w:r>
              <w:rPr>
                <w:rFonts w:hint="eastAsia"/>
                <w:color w:val="000000" w:themeColor="text1"/>
                <w:sz w:val="24"/>
                <w:szCs w:val="24"/>
                <w:u w:val="none"/>
                <w:lang w:eastAsia="zh-CN"/>
                <w14:textFill>
                  <w14:solidFill>
                    <w14:schemeClr w14:val="tx1"/>
                  </w14:solidFill>
                </w14:textFill>
              </w:rPr>
              <w:t>，</w:t>
            </w:r>
            <w:r>
              <w:rPr>
                <w:rFonts w:hint="eastAsia"/>
                <w:b w:val="0"/>
                <w:bCs/>
                <w:color w:val="000000" w:themeColor="text1"/>
                <w:highlight w:val="none"/>
                <w:u w:val="none"/>
                <w:lang w:val="en-US" w:eastAsia="zh-CN"/>
                <w14:textFill>
                  <w14:solidFill>
                    <w14:schemeClr w14:val="tx1"/>
                  </w14:solidFill>
                </w14:textFill>
              </w:rPr>
              <w:t>则本项目包装工序粉尘量为0.3t/a。包装工序上方设置集气罩，包装工序废气经集气罩收集后通过管道袋式除尘器处理</w:t>
            </w:r>
            <w:r>
              <w:rPr>
                <w:rFonts w:hint="eastAsia"/>
                <w:b w:val="0"/>
                <w:bCs/>
                <w:color w:val="000000" w:themeColor="text1"/>
                <w:sz w:val="24"/>
                <w:szCs w:val="24"/>
                <w:highlight w:val="none"/>
                <w:u w:val="none"/>
                <w:lang w:val="en-US" w:eastAsia="zh-CN"/>
                <w14:textFill>
                  <w14:solidFill>
                    <w14:schemeClr w14:val="tx1"/>
                  </w14:solidFill>
                </w14:textFill>
              </w:rPr>
              <w:t>，通过1根15m高排气筒（DA001）排放。</w:t>
            </w:r>
            <w:r>
              <w:rPr>
                <w:rFonts w:hint="eastAsia"/>
                <w:color w:val="000000" w:themeColor="text1"/>
                <w:sz w:val="24"/>
                <w:szCs w:val="24"/>
                <w:u w:val="none"/>
                <w:lang w:val="en-US" w:eastAsia="zh-CN"/>
                <w14:textFill>
                  <w14:solidFill>
                    <w14:schemeClr w14:val="tx1"/>
                  </w14:solidFill>
                </w14:textFill>
              </w:rPr>
              <w:t>集气罩</w:t>
            </w:r>
            <w:r>
              <w:rPr>
                <w:rFonts w:hint="eastAsia"/>
                <w:b w:val="0"/>
                <w:bCs/>
                <w:color w:val="000000" w:themeColor="text1"/>
                <w:highlight w:val="none"/>
                <w:u w:val="none"/>
                <w:lang w:val="en-US" w:eastAsia="zh-CN"/>
                <w14:textFill>
                  <w14:solidFill>
                    <w14:schemeClr w14:val="tx1"/>
                  </w14:solidFill>
                </w14:textFill>
              </w:rPr>
              <w:t>收集效率为90%、除尘器处理效率为99%，风机风量为6000m</w:t>
            </w:r>
            <w:r>
              <w:rPr>
                <w:rFonts w:hint="eastAsia"/>
                <w:b w:val="0"/>
                <w:bCs/>
                <w:color w:val="000000" w:themeColor="text1"/>
                <w:highlight w:val="none"/>
                <w:u w:val="none"/>
                <w:vertAlign w:val="superscript"/>
                <w:lang w:val="en-US" w:eastAsia="zh-CN"/>
                <w14:textFill>
                  <w14:solidFill>
                    <w14:schemeClr w14:val="tx1"/>
                  </w14:solidFill>
                </w14:textFill>
              </w:rPr>
              <w:t>3</w:t>
            </w:r>
            <w:r>
              <w:rPr>
                <w:rFonts w:hint="eastAsia"/>
                <w:b w:val="0"/>
                <w:bCs/>
                <w:color w:val="000000" w:themeColor="text1"/>
                <w:highlight w:val="none"/>
                <w:u w:val="none"/>
                <w:lang w:val="en-US" w:eastAsia="zh-CN"/>
                <w14:textFill>
                  <w14:solidFill>
                    <w14:schemeClr w14:val="tx1"/>
                  </w14:solidFill>
                </w14:textFill>
              </w:rPr>
              <w:t>/h。</w:t>
            </w:r>
          </w:p>
          <w:p w14:paraId="6E724725">
            <w:pPr>
              <w:pStyle w:val="50"/>
              <w:keepNext w:val="0"/>
              <w:keepLines w:val="0"/>
              <w:suppressLineNumbers w:val="0"/>
              <w:spacing w:before="0" w:beforeAutospacing="0" w:after="0" w:afterAutospacing="0"/>
              <w:ind w:left="0" w:right="0" w:firstLine="480"/>
              <w:rPr>
                <w:rFonts w:hint="default" w:eastAsia="宋体"/>
                <w:color w:val="000000" w:themeColor="text1"/>
                <w:sz w:val="24"/>
                <w:szCs w:val="24"/>
                <w:u w:val="none"/>
                <w:lang w:val="en-US" w:eastAsia="zh-CN"/>
                <w14:textFill>
                  <w14:solidFill>
                    <w14:schemeClr w14:val="tx1"/>
                  </w14:solidFill>
                </w14:textFill>
              </w:rPr>
            </w:pPr>
            <w:r>
              <w:rPr>
                <w:rFonts w:hint="eastAsia"/>
                <w:color w:val="000000" w:themeColor="text1"/>
                <w:sz w:val="24"/>
                <w:szCs w:val="24"/>
                <w:u w:val="none"/>
                <w:lang w:val="en-US" w:eastAsia="zh-CN"/>
                <w14:textFill>
                  <w14:solidFill>
                    <w14:schemeClr w14:val="tx1"/>
                  </w14:solidFill>
                </w14:textFill>
              </w:rPr>
              <w:t>则废气产排情况如下：</w:t>
            </w:r>
          </w:p>
          <w:p w14:paraId="250D54BB">
            <w:pPr>
              <w:pStyle w:val="60"/>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Lines="0" w:beforeAutospacing="0" w:after="0" w:afterAutospacing="0" w:line="360" w:lineRule="auto"/>
              <w:ind w:left="0" w:leftChars="0" w:right="0" w:rightChars="0"/>
              <w:jc w:val="center"/>
              <w:textAlignment w:val="auto"/>
              <w:rPr>
                <w:rFonts w:hint="default"/>
                <w:color w:val="000000" w:themeColor="text1"/>
                <w:u w:val="none"/>
                <w:shd w:val="clear" w:color="auto" w:fill="FFFFFF"/>
                <w14:textFill>
                  <w14:solidFill>
                    <w14:schemeClr w14:val="tx1"/>
                  </w14:solidFill>
                </w14:textFill>
              </w:rPr>
            </w:pPr>
            <w:r>
              <w:rPr>
                <w:rFonts w:hint="eastAsia"/>
                <w:color w:val="000000" w:themeColor="text1"/>
                <w:u w:val="none"/>
                <w:shd w:val="clear" w:color="auto" w:fill="FFFFFF"/>
                <w:lang w:val="en-US" w:eastAsia="zh-CN"/>
                <w14:textFill>
                  <w14:solidFill>
                    <w14:schemeClr w14:val="tx1"/>
                  </w14:solidFill>
                </w14:textFill>
              </w:rPr>
              <w:t>表4-1  破碎</w:t>
            </w:r>
            <w:r>
              <w:rPr>
                <w:rFonts w:hint="eastAsia"/>
                <w:color w:val="000000" w:themeColor="text1"/>
                <w:u w:val="none"/>
                <w:shd w:val="clear" w:color="auto" w:fill="FFFFFF"/>
                <w:lang w:eastAsia="zh-CN"/>
                <w14:textFill>
                  <w14:solidFill>
                    <w14:schemeClr w14:val="tx1"/>
                  </w14:solidFill>
                </w14:textFill>
              </w:rPr>
              <w:t>、</w:t>
            </w:r>
            <w:r>
              <w:rPr>
                <w:rFonts w:hint="eastAsia"/>
                <w:color w:val="000000" w:themeColor="text1"/>
                <w:u w:val="none"/>
                <w:shd w:val="clear" w:color="auto" w:fill="FFFFFF"/>
                <w:lang w:val="en-US" w:eastAsia="zh-CN"/>
                <w14:textFill>
                  <w14:solidFill>
                    <w14:schemeClr w14:val="tx1"/>
                  </w14:solidFill>
                </w14:textFill>
              </w:rPr>
              <w:t>筛分、</w:t>
            </w:r>
            <w:r>
              <w:rPr>
                <w:rFonts w:hint="eastAsia" w:ascii="宋体" w:hAnsi="宋体" w:cs="宋体"/>
                <w:b/>
                <w:bCs w:val="0"/>
                <w:color w:val="000000" w:themeColor="text1"/>
                <w:highlight w:val="none"/>
                <w:u w:val="none"/>
                <w:lang w:val="en-US" w:eastAsia="zh-CN"/>
                <w14:textFill>
                  <w14:solidFill>
                    <w14:schemeClr w14:val="tx1"/>
                  </w14:solidFill>
                </w14:textFill>
              </w:rPr>
              <w:t>冷却、</w:t>
            </w:r>
            <w:r>
              <w:rPr>
                <w:rFonts w:hint="eastAsia"/>
                <w:b/>
                <w:bCs w:val="0"/>
                <w:color w:val="000000" w:themeColor="text1"/>
                <w:highlight w:val="none"/>
                <w:u w:val="none"/>
                <w:lang w:val="en-US" w:eastAsia="zh-CN"/>
                <w14:textFill>
                  <w14:solidFill>
                    <w14:schemeClr w14:val="tx1"/>
                  </w14:solidFill>
                </w14:textFill>
              </w:rPr>
              <w:t>锯切、包装过程</w:t>
            </w:r>
            <w:r>
              <w:rPr>
                <w:rFonts w:hint="eastAsia"/>
                <w:color w:val="000000" w:themeColor="text1"/>
                <w:u w:val="none"/>
                <w:shd w:val="clear" w:color="auto" w:fill="FFFFFF"/>
                <w14:textFill>
                  <w14:solidFill>
                    <w14:schemeClr w14:val="tx1"/>
                  </w14:solidFill>
                </w14:textFill>
              </w:rPr>
              <w:t>废气产排一览表</w:t>
            </w:r>
          </w:p>
          <w:tbl>
            <w:tblPr>
              <w:tblStyle w:val="62"/>
              <w:tblW w:w="9157"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553"/>
              <w:gridCol w:w="1198"/>
              <w:gridCol w:w="880"/>
              <w:gridCol w:w="880"/>
              <w:gridCol w:w="1063"/>
              <w:gridCol w:w="1063"/>
              <w:gridCol w:w="880"/>
              <w:gridCol w:w="880"/>
              <w:gridCol w:w="880"/>
              <w:gridCol w:w="880"/>
            </w:tblGrid>
            <w:tr w14:paraId="6C3A48D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956" w:type="pct"/>
                  <w:gridSpan w:val="2"/>
                  <w:tcBorders>
                    <w:top w:val="single" w:color="auto" w:sz="4" w:space="0"/>
                    <w:left w:val="single" w:color="auto" w:sz="0" w:space="0"/>
                    <w:bottom w:val="single" w:color="auto" w:sz="4" w:space="0"/>
                    <w:right w:val="single" w:color="auto" w:sz="4" w:space="0"/>
                  </w:tcBorders>
                  <w:vAlign w:val="center"/>
                </w:tcPr>
                <w:p w14:paraId="62A7ECF7">
                  <w:pPr>
                    <w:pStyle w:val="61"/>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default" w:ascii="Times New Roman" w:hAnsi="Times New Roman" w:cs="Times New Roman"/>
                      <w:color w:val="000000" w:themeColor="text1"/>
                      <w:sz w:val="21"/>
                      <w:szCs w:val="21"/>
                      <w:u w:val="none"/>
                      <w:lang w:val="en-US" w:eastAsia="zh-CN"/>
                      <w14:textFill>
                        <w14:solidFill>
                          <w14:schemeClr w14:val="tx1"/>
                        </w14:solidFill>
                      </w14:textFill>
                    </w:rPr>
                    <w:t>工序</w:t>
                  </w:r>
                </w:p>
              </w:tc>
              <w:tc>
                <w:tcPr>
                  <w:tcW w:w="480" w:type="pct"/>
                  <w:tcBorders>
                    <w:top w:val="single" w:color="auto" w:sz="4" w:space="0"/>
                    <w:left w:val="single" w:color="auto" w:sz="0" w:space="0"/>
                    <w:bottom w:val="single" w:color="auto" w:sz="4" w:space="0"/>
                    <w:right w:val="single" w:color="auto" w:sz="4" w:space="0"/>
                  </w:tcBorders>
                  <w:vAlign w:val="center"/>
                </w:tcPr>
                <w:p w14:paraId="63DCF805">
                  <w:pPr>
                    <w:pStyle w:val="61"/>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default" w:ascii="Times New Roman" w:hAnsi="Times New Roman" w:cs="Times New Roman"/>
                      <w:color w:val="000000" w:themeColor="text1"/>
                      <w:sz w:val="21"/>
                      <w:szCs w:val="21"/>
                      <w:u w:val="none"/>
                      <w:lang w:val="en-US" w:eastAsia="zh-CN"/>
                      <w14:textFill>
                        <w14:solidFill>
                          <w14:schemeClr w14:val="tx1"/>
                        </w14:solidFill>
                      </w14:textFill>
                    </w:rPr>
                    <w:t>类型</w:t>
                  </w:r>
                </w:p>
              </w:tc>
              <w:tc>
                <w:tcPr>
                  <w:tcW w:w="480" w:type="pct"/>
                  <w:tcBorders>
                    <w:top w:val="single" w:color="auto" w:sz="4" w:space="0"/>
                    <w:left w:val="single" w:color="auto" w:sz="4" w:space="0"/>
                    <w:bottom w:val="single" w:color="auto" w:sz="4" w:space="0"/>
                    <w:right w:val="single" w:color="auto" w:sz="4" w:space="0"/>
                  </w:tcBorders>
                  <w:vAlign w:val="center"/>
                </w:tcPr>
                <w:p w14:paraId="2F3D5B60">
                  <w:pPr>
                    <w:pStyle w:val="61"/>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sz w:val="21"/>
                      <w:szCs w:val="21"/>
                      <w:u w:val="none"/>
                      <w14:textFill>
                        <w14:solidFill>
                          <w14:schemeClr w14:val="tx1"/>
                        </w14:solidFill>
                      </w14:textFill>
                    </w:rPr>
                  </w:pPr>
                  <w:r>
                    <w:rPr>
                      <w:rFonts w:hint="default" w:ascii="Times New Roman" w:hAnsi="Times New Roman" w:cs="Times New Roman"/>
                      <w:color w:val="000000" w:themeColor="text1"/>
                      <w:sz w:val="21"/>
                      <w:szCs w:val="21"/>
                      <w:u w:val="none"/>
                      <w14:textFill>
                        <w14:solidFill>
                          <w14:schemeClr w14:val="tx1"/>
                        </w14:solidFill>
                      </w14:textFill>
                    </w:rPr>
                    <w:t>产生量</w:t>
                  </w:r>
                </w:p>
                <w:p w14:paraId="145A39DC">
                  <w:pPr>
                    <w:pStyle w:val="61"/>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sz w:val="21"/>
                      <w:szCs w:val="21"/>
                      <w:u w:val="none"/>
                      <w14:textFill>
                        <w14:solidFill>
                          <w14:schemeClr w14:val="tx1"/>
                        </w14:solidFill>
                      </w14:textFill>
                    </w:rPr>
                  </w:pPr>
                  <w:r>
                    <w:rPr>
                      <w:rFonts w:hint="default" w:ascii="Times New Roman" w:hAnsi="Times New Roman" w:cs="Times New Roman"/>
                      <w:color w:val="000000" w:themeColor="text1"/>
                      <w:sz w:val="21"/>
                      <w:szCs w:val="21"/>
                      <w:u w:val="none"/>
                      <w:lang w:val="en-US" w:eastAsia="zh-CN"/>
                      <w14:textFill>
                        <w14:solidFill>
                          <w14:schemeClr w14:val="tx1"/>
                        </w14:solidFill>
                      </w14:textFill>
                    </w:rPr>
                    <w:t>t/a</w:t>
                  </w:r>
                </w:p>
              </w:tc>
              <w:tc>
                <w:tcPr>
                  <w:tcW w:w="580" w:type="pct"/>
                  <w:tcBorders>
                    <w:top w:val="single" w:color="auto" w:sz="4" w:space="0"/>
                    <w:left w:val="single" w:color="auto" w:sz="4" w:space="0"/>
                    <w:bottom w:val="single" w:color="auto" w:sz="4" w:space="0"/>
                    <w:right w:val="single" w:color="auto" w:sz="4" w:space="0"/>
                  </w:tcBorders>
                  <w:vAlign w:val="center"/>
                </w:tcPr>
                <w:p w14:paraId="61D2142E">
                  <w:pPr>
                    <w:pStyle w:val="61"/>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sz w:val="21"/>
                      <w:szCs w:val="21"/>
                      <w:u w:val="none"/>
                      <w:lang w:val="en-US" w:eastAsia="zh-CN"/>
                      <w14:textFill>
                        <w14:solidFill>
                          <w14:schemeClr w14:val="tx1"/>
                        </w14:solidFill>
                      </w14:textFill>
                    </w:rPr>
                  </w:pPr>
                  <w:r>
                    <w:rPr>
                      <w:rFonts w:hint="default" w:ascii="Times New Roman" w:hAnsi="Times New Roman" w:cs="Times New Roman"/>
                      <w:color w:val="000000" w:themeColor="text1"/>
                      <w:sz w:val="21"/>
                      <w:szCs w:val="21"/>
                      <w:u w:val="none"/>
                      <w:lang w:val="en-US" w:eastAsia="zh-CN"/>
                      <w14:textFill>
                        <w14:solidFill>
                          <w14:schemeClr w14:val="tx1"/>
                        </w14:solidFill>
                      </w14:textFill>
                    </w:rPr>
                    <w:t>产生速率kg/h</w:t>
                  </w:r>
                </w:p>
              </w:tc>
              <w:tc>
                <w:tcPr>
                  <w:tcW w:w="580" w:type="pct"/>
                  <w:tcBorders>
                    <w:top w:val="single" w:color="auto" w:sz="4" w:space="0"/>
                    <w:left w:val="single" w:color="auto" w:sz="4" w:space="0"/>
                    <w:bottom w:val="single" w:color="auto" w:sz="4" w:space="0"/>
                    <w:right w:val="single" w:color="auto" w:sz="4" w:space="0"/>
                  </w:tcBorders>
                  <w:vAlign w:val="center"/>
                </w:tcPr>
                <w:p w14:paraId="62343252">
                  <w:pPr>
                    <w:pStyle w:val="61"/>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sz w:val="21"/>
                      <w:szCs w:val="21"/>
                      <w:u w:val="none"/>
                      <w14:textFill>
                        <w14:solidFill>
                          <w14:schemeClr w14:val="tx1"/>
                        </w14:solidFill>
                      </w14:textFill>
                    </w:rPr>
                  </w:pPr>
                  <w:r>
                    <w:rPr>
                      <w:rFonts w:hint="default" w:ascii="Times New Roman" w:hAnsi="Times New Roman" w:cs="Times New Roman"/>
                      <w:color w:val="000000" w:themeColor="text1"/>
                      <w:sz w:val="21"/>
                      <w:szCs w:val="21"/>
                      <w:u w:val="none"/>
                      <w14:textFill>
                        <w14:solidFill>
                          <w14:schemeClr w14:val="tx1"/>
                        </w14:solidFill>
                      </w14:textFill>
                    </w:rPr>
                    <w:t>产生浓度</w:t>
                  </w:r>
                  <w:r>
                    <w:rPr>
                      <w:rFonts w:hint="default" w:ascii="Times New Roman" w:hAnsi="Times New Roman" w:eastAsia="等线" w:cs="Times New Roman"/>
                      <w:color w:val="000000" w:themeColor="text1"/>
                      <w:sz w:val="21"/>
                      <w:szCs w:val="21"/>
                      <w:u w:val="none"/>
                      <w14:textFill>
                        <w14:solidFill>
                          <w14:schemeClr w14:val="tx1"/>
                        </w14:solidFill>
                      </w14:textFill>
                    </w:rPr>
                    <w:t>mg/m</w:t>
                  </w:r>
                  <w:r>
                    <w:rPr>
                      <w:rFonts w:hint="default" w:ascii="Times New Roman" w:hAnsi="Times New Roman" w:eastAsia="等线" w:cs="Times New Roman"/>
                      <w:color w:val="000000" w:themeColor="text1"/>
                      <w:sz w:val="21"/>
                      <w:szCs w:val="21"/>
                      <w:u w:val="none"/>
                      <w:vertAlign w:val="superscript"/>
                      <w14:textFill>
                        <w14:solidFill>
                          <w14:schemeClr w14:val="tx1"/>
                        </w14:solidFill>
                      </w14:textFill>
                    </w:rPr>
                    <w:t>3</w:t>
                  </w:r>
                </w:p>
              </w:tc>
              <w:tc>
                <w:tcPr>
                  <w:tcW w:w="480" w:type="pct"/>
                  <w:tcBorders>
                    <w:top w:val="single" w:color="auto" w:sz="4" w:space="0"/>
                    <w:left w:val="single" w:color="auto" w:sz="4" w:space="0"/>
                    <w:bottom w:val="single" w:color="auto" w:sz="4" w:space="0"/>
                    <w:right w:val="single" w:color="auto" w:sz="4" w:space="0"/>
                  </w:tcBorders>
                  <w:vAlign w:val="center"/>
                </w:tcPr>
                <w:p w14:paraId="5A05E813">
                  <w:pPr>
                    <w:pStyle w:val="61"/>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default" w:ascii="Times New Roman" w:hAnsi="Times New Roman" w:cs="Times New Roman"/>
                      <w:color w:val="000000" w:themeColor="text1"/>
                      <w:sz w:val="21"/>
                      <w:szCs w:val="21"/>
                      <w:u w:val="none"/>
                      <w:lang w:val="en-US" w:eastAsia="zh-CN"/>
                      <w14:textFill>
                        <w14:solidFill>
                          <w14:schemeClr w14:val="tx1"/>
                        </w14:solidFill>
                      </w14:textFill>
                    </w:rPr>
                    <w:t>处理措施</w:t>
                  </w:r>
                </w:p>
              </w:tc>
              <w:tc>
                <w:tcPr>
                  <w:tcW w:w="480" w:type="pct"/>
                  <w:tcBorders>
                    <w:top w:val="single" w:color="auto" w:sz="4" w:space="0"/>
                    <w:left w:val="single" w:color="auto" w:sz="4" w:space="0"/>
                    <w:bottom w:val="single" w:color="auto" w:sz="4" w:space="0"/>
                    <w:right w:val="single" w:color="auto" w:sz="4" w:space="0"/>
                  </w:tcBorders>
                  <w:vAlign w:val="center"/>
                </w:tcPr>
                <w:p w14:paraId="14B1FE84">
                  <w:pPr>
                    <w:pStyle w:val="61"/>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sz w:val="21"/>
                      <w:szCs w:val="21"/>
                      <w:u w:val="none"/>
                      <w14:textFill>
                        <w14:solidFill>
                          <w14:schemeClr w14:val="tx1"/>
                        </w14:solidFill>
                      </w14:textFill>
                    </w:rPr>
                  </w:pPr>
                  <w:r>
                    <w:rPr>
                      <w:rFonts w:hint="default" w:ascii="Times New Roman" w:hAnsi="Times New Roman" w:cs="Times New Roman"/>
                      <w:color w:val="000000" w:themeColor="text1"/>
                      <w:sz w:val="21"/>
                      <w:szCs w:val="21"/>
                      <w:u w:val="none"/>
                      <w14:textFill>
                        <w14:solidFill>
                          <w14:schemeClr w14:val="tx1"/>
                        </w14:solidFill>
                      </w14:textFill>
                    </w:rPr>
                    <w:t>排放量</w:t>
                  </w:r>
                  <w:r>
                    <w:rPr>
                      <w:rFonts w:hint="default" w:ascii="Times New Roman" w:hAnsi="Times New Roman" w:cs="Times New Roman"/>
                      <w:color w:val="000000" w:themeColor="text1"/>
                      <w:sz w:val="21"/>
                      <w:szCs w:val="21"/>
                      <w:u w:val="none"/>
                      <w:lang w:val="en-US" w:eastAsia="zh-CN"/>
                      <w14:textFill>
                        <w14:solidFill>
                          <w14:schemeClr w14:val="tx1"/>
                        </w14:solidFill>
                      </w14:textFill>
                    </w:rPr>
                    <w:t>t/a</w:t>
                  </w:r>
                </w:p>
              </w:tc>
              <w:tc>
                <w:tcPr>
                  <w:tcW w:w="480" w:type="pct"/>
                  <w:tcBorders>
                    <w:top w:val="single" w:color="auto" w:sz="4" w:space="0"/>
                    <w:left w:val="single" w:color="auto" w:sz="4" w:space="0"/>
                    <w:bottom w:val="single" w:color="auto" w:sz="4" w:space="0"/>
                    <w:right w:val="single" w:color="auto" w:sz="4" w:space="0"/>
                  </w:tcBorders>
                  <w:vAlign w:val="center"/>
                </w:tcPr>
                <w:p w14:paraId="563CB388">
                  <w:pPr>
                    <w:pStyle w:val="61"/>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sz w:val="21"/>
                      <w:szCs w:val="21"/>
                      <w:u w:val="none"/>
                      <w14:textFill>
                        <w14:solidFill>
                          <w14:schemeClr w14:val="tx1"/>
                        </w14:solidFill>
                      </w14:textFill>
                    </w:rPr>
                  </w:pPr>
                  <w:r>
                    <w:rPr>
                      <w:rFonts w:hint="default" w:ascii="Times New Roman" w:hAnsi="Times New Roman" w:cs="Times New Roman"/>
                      <w:color w:val="000000" w:themeColor="text1"/>
                      <w:sz w:val="21"/>
                      <w:szCs w:val="21"/>
                      <w:u w:val="none"/>
                      <w:lang w:val="en-US" w:eastAsia="zh-CN"/>
                      <w14:textFill>
                        <w14:solidFill>
                          <w14:schemeClr w14:val="tx1"/>
                        </w14:solidFill>
                      </w14:textFill>
                    </w:rPr>
                    <w:t>排放速率kg/h</w:t>
                  </w:r>
                </w:p>
              </w:tc>
              <w:tc>
                <w:tcPr>
                  <w:tcW w:w="480" w:type="pct"/>
                  <w:tcBorders>
                    <w:top w:val="single" w:color="auto" w:sz="4" w:space="0"/>
                    <w:left w:val="single" w:color="auto" w:sz="4" w:space="0"/>
                    <w:bottom w:val="single" w:color="auto" w:sz="4" w:space="0"/>
                    <w:right w:val="single" w:color="auto" w:sz="4" w:space="0"/>
                  </w:tcBorders>
                  <w:vAlign w:val="center"/>
                </w:tcPr>
                <w:p w14:paraId="4A72618A">
                  <w:pPr>
                    <w:pStyle w:val="61"/>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sz w:val="21"/>
                      <w:szCs w:val="21"/>
                      <w:u w:val="none"/>
                      <w14:textFill>
                        <w14:solidFill>
                          <w14:schemeClr w14:val="tx1"/>
                        </w14:solidFill>
                      </w14:textFill>
                    </w:rPr>
                  </w:pPr>
                  <w:r>
                    <w:rPr>
                      <w:rFonts w:hint="default" w:ascii="Times New Roman" w:hAnsi="Times New Roman" w:cs="Times New Roman"/>
                      <w:color w:val="000000" w:themeColor="text1"/>
                      <w:sz w:val="21"/>
                      <w:szCs w:val="21"/>
                      <w:u w:val="none"/>
                      <w14:textFill>
                        <w14:solidFill>
                          <w14:schemeClr w14:val="tx1"/>
                        </w14:solidFill>
                      </w14:textFill>
                    </w:rPr>
                    <w:t>排放浓度</w:t>
                  </w:r>
                  <w:r>
                    <w:rPr>
                      <w:rFonts w:hint="default" w:ascii="Times New Roman" w:hAnsi="Times New Roman" w:eastAsia="等线" w:cs="Times New Roman"/>
                      <w:color w:val="000000" w:themeColor="text1"/>
                      <w:sz w:val="21"/>
                      <w:szCs w:val="21"/>
                      <w:u w:val="none"/>
                      <w14:textFill>
                        <w14:solidFill>
                          <w14:schemeClr w14:val="tx1"/>
                        </w14:solidFill>
                      </w14:textFill>
                    </w:rPr>
                    <w:t>mg/m</w:t>
                  </w:r>
                  <w:r>
                    <w:rPr>
                      <w:rFonts w:hint="default" w:ascii="Times New Roman" w:hAnsi="Times New Roman" w:eastAsia="等线" w:cs="Times New Roman"/>
                      <w:color w:val="000000" w:themeColor="text1"/>
                      <w:sz w:val="21"/>
                      <w:szCs w:val="21"/>
                      <w:u w:val="none"/>
                      <w:vertAlign w:val="superscript"/>
                      <w14:textFill>
                        <w14:solidFill>
                          <w14:schemeClr w14:val="tx1"/>
                        </w14:solidFill>
                      </w14:textFill>
                    </w:rPr>
                    <w:t>3</w:t>
                  </w:r>
                </w:p>
              </w:tc>
            </w:tr>
            <w:tr w14:paraId="412CB28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302" w:type="pct"/>
                  <w:vMerge w:val="restart"/>
                  <w:tcBorders>
                    <w:top w:val="single" w:color="auto" w:sz="4" w:space="0"/>
                    <w:left w:val="single" w:color="auto" w:sz="0" w:space="0"/>
                    <w:right w:val="single" w:color="auto" w:sz="4" w:space="0"/>
                  </w:tcBorders>
                  <w:shd w:val="clear" w:color="auto" w:fill="auto"/>
                  <w:vAlign w:val="center"/>
                </w:tcPr>
                <w:p w14:paraId="15775556">
                  <w:pPr>
                    <w:pStyle w:val="61"/>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cs="Times New Roman"/>
                      <w:color w:val="000000" w:themeColor="text1"/>
                      <w:sz w:val="21"/>
                      <w:szCs w:val="21"/>
                      <w:u w:val="none"/>
                      <w:lang w:val="en-US" w:eastAsia="zh-CN"/>
                      <w14:textFill>
                        <w14:solidFill>
                          <w14:schemeClr w14:val="tx1"/>
                        </w14:solidFill>
                      </w14:textFill>
                    </w:rPr>
                  </w:pPr>
                  <w:r>
                    <w:rPr>
                      <w:rFonts w:hint="default" w:ascii="Times New Roman" w:hAnsi="Times New Roman" w:cs="Times New Roman"/>
                      <w:color w:val="000000" w:themeColor="text1"/>
                      <w:sz w:val="21"/>
                      <w:szCs w:val="21"/>
                      <w:u w:val="none"/>
                      <w:lang w:val="en-US" w:eastAsia="zh-CN"/>
                      <w14:textFill>
                        <w14:solidFill>
                          <w14:schemeClr w14:val="tx1"/>
                        </w14:solidFill>
                      </w14:textFill>
                    </w:rPr>
                    <w:t>有组织</w:t>
                  </w:r>
                </w:p>
              </w:tc>
              <w:tc>
                <w:tcPr>
                  <w:tcW w:w="653" w:type="pct"/>
                  <w:tcBorders>
                    <w:top w:val="single" w:color="auto" w:sz="4" w:space="0"/>
                    <w:left w:val="single" w:color="auto" w:sz="0" w:space="0"/>
                    <w:bottom w:val="single" w:color="auto" w:sz="4" w:space="0"/>
                    <w:right w:val="single" w:color="auto" w:sz="4" w:space="0"/>
                  </w:tcBorders>
                  <w:shd w:val="clear" w:color="auto" w:fill="auto"/>
                  <w:vAlign w:val="center"/>
                </w:tcPr>
                <w:p w14:paraId="5B03CFD9">
                  <w:pPr>
                    <w:pStyle w:val="61"/>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color w:val="000000" w:themeColor="text1"/>
                      <w:kern w:val="0"/>
                      <w:sz w:val="21"/>
                      <w:szCs w:val="21"/>
                      <w:u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u w:val="none"/>
                      <w:lang w:val="en-US" w:eastAsia="zh-CN"/>
                      <w14:textFill>
                        <w14:solidFill>
                          <w14:schemeClr w14:val="tx1"/>
                        </w14:solidFill>
                      </w14:textFill>
                    </w:rPr>
                    <w:t>破碎工序</w:t>
                  </w:r>
                </w:p>
              </w:tc>
              <w:tc>
                <w:tcPr>
                  <w:tcW w:w="480" w:type="pct"/>
                  <w:tcBorders>
                    <w:top w:val="single" w:color="auto" w:sz="4" w:space="0"/>
                    <w:left w:val="single" w:color="auto" w:sz="0" w:space="0"/>
                    <w:bottom w:val="single" w:color="auto" w:sz="4" w:space="0"/>
                    <w:right w:val="single" w:color="auto" w:sz="4" w:space="0"/>
                  </w:tcBorders>
                  <w:shd w:val="clear" w:color="auto" w:fill="auto"/>
                  <w:vAlign w:val="center"/>
                </w:tcPr>
                <w:p w14:paraId="5E2643EF">
                  <w:pPr>
                    <w:pStyle w:val="61"/>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color w:val="000000" w:themeColor="text1"/>
                      <w:kern w:val="0"/>
                      <w:sz w:val="21"/>
                      <w:szCs w:val="21"/>
                      <w:u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bidi="ar-SA"/>
                      <w14:textFill>
                        <w14:solidFill>
                          <w14:schemeClr w14:val="tx1"/>
                        </w14:solidFill>
                      </w14:textFill>
                    </w:rPr>
                    <w:t>颗粒物</w:t>
                  </w:r>
                </w:p>
              </w:tc>
              <w:tc>
                <w:tcPr>
                  <w:tcW w:w="480" w:type="pct"/>
                  <w:tcBorders>
                    <w:top w:val="single" w:color="auto" w:sz="4" w:space="0"/>
                    <w:left w:val="single" w:color="auto" w:sz="4" w:space="0"/>
                    <w:bottom w:val="single" w:color="auto" w:sz="4" w:space="0"/>
                    <w:right w:val="single" w:color="auto" w:sz="4" w:space="0"/>
                  </w:tcBorders>
                  <w:shd w:val="clear" w:color="auto" w:fill="auto"/>
                  <w:vAlign w:val="center"/>
                </w:tcPr>
                <w:p w14:paraId="5E80DF6D">
                  <w:pPr>
                    <w:keepNext w:val="0"/>
                    <w:keepLines w:val="0"/>
                    <w:widowControl/>
                    <w:suppressLineNumbers w:val="0"/>
                    <w:jc w:val="center"/>
                    <w:textAlignment w:val="center"/>
                    <w:rPr>
                      <w:rFonts w:hint="default" w:ascii="Times New Roman" w:hAnsi="Times New Roman" w:eastAsia="等线" w:cs="Times New Roman"/>
                      <w:color w:val="000000" w:themeColor="text1"/>
                      <w:kern w:val="0"/>
                      <w:sz w:val="21"/>
                      <w:szCs w:val="21"/>
                      <w:u w:val="none"/>
                      <w:lang w:val="en-US" w:eastAsia="zh-CN" w:bidi="ar-SA"/>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7.372</w:t>
                  </w:r>
                </w:p>
              </w:tc>
              <w:tc>
                <w:tcPr>
                  <w:tcW w:w="580" w:type="pct"/>
                  <w:tcBorders>
                    <w:top w:val="single" w:color="auto" w:sz="4" w:space="0"/>
                    <w:left w:val="single" w:color="auto" w:sz="4" w:space="0"/>
                    <w:bottom w:val="single" w:color="auto" w:sz="4" w:space="0"/>
                    <w:right w:val="single" w:color="auto" w:sz="4" w:space="0"/>
                  </w:tcBorders>
                  <w:shd w:val="clear" w:color="auto" w:fill="auto"/>
                  <w:vAlign w:val="center"/>
                </w:tcPr>
                <w:p w14:paraId="3E710FD9">
                  <w:pPr>
                    <w:keepNext w:val="0"/>
                    <w:keepLines w:val="0"/>
                    <w:widowControl/>
                    <w:suppressLineNumbers w:val="0"/>
                    <w:jc w:val="center"/>
                    <w:textAlignment w:val="center"/>
                    <w:rPr>
                      <w:rFonts w:hint="default" w:ascii="Times New Roman" w:hAnsi="Times New Roman" w:eastAsia="等线" w:cs="Times New Roman"/>
                      <w:color w:val="000000" w:themeColor="text1"/>
                      <w:kern w:val="0"/>
                      <w:sz w:val="21"/>
                      <w:szCs w:val="21"/>
                      <w:u w:val="none"/>
                      <w:lang w:val="en-US" w:eastAsia="zh-CN" w:bidi="ar-SA"/>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2.048</w:t>
                  </w:r>
                </w:p>
              </w:tc>
              <w:tc>
                <w:tcPr>
                  <w:tcW w:w="580" w:type="pct"/>
                  <w:tcBorders>
                    <w:top w:val="single" w:color="auto" w:sz="4" w:space="0"/>
                    <w:left w:val="single" w:color="auto" w:sz="4" w:space="0"/>
                    <w:bottom w:val="single" w:color="auto" w:sz="4" w:space="0"/>
                    <w:right w:val="single" w:color="auto" w:sz="4" w:space="0"/>
                  </w:tcBorders>
                  <w:shd w:val="clear" w:color="auto" w:fill="auto"/>
                  <w:vAlign w:val="center"/>
                </w:tcPr>
                <w:p w14:paraId="0F6EF793">
                  <w:pPr>
                    <w:keepNext w:val="0"/>
                    <w:keepLines w:val="0"/>
                    <w:widowControl/>
                    <w:suppressLineNumbers w:val="0"/>
                    <w:jc w:val="center"/>
                    <w:textAlignment w:val="center"/>
                    <w:rPr>
                      <w:rFonts w:hint="default" w:ascii="Times New Roman" w:hAnsi="Times New Roman" w:eastAsia="等线" w:cs="Times New Roman"/>
                      <w:color w:val="000000" w:themeColor="text1"/>
                      <w:kern w:val="0"/>
                      <w:sz w:val="21"/>
                      <w:szCs w:val="21"/>
                      <w:u w:val="none"/>
                      <w:lang w:val="en-US" w:eastAsia="zh-CN" w:bidi="ar-SA"/>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341.30</w:t>
                  </w:r>
                </w:p>
              </w:tc>
              <w:tc>
                <w:tcPr>
                  <w:tcW w:w="480" w:type="pct"/>
                  <w:vMerge w:val="restart"/>
                  <w:tcBorders>
                    <w:top w:val="single" w:color="auto" w:sz="4" w:space="0"/>
                    <w:left w:val="single" w:color="auto" w:sz="4" w:space="0"/>
                    <w:right w:val="single" w:color="auto" w:sz="4" w:space="0"/>
                  </w:tcBorders>
                  <w:shd w:val="clear" w:color="auto" w:fill="auto"/>
                  <w:vAlign w:val="center"/>
                </w:tcPr>
                <w:p w14:paraId="31D6DCE3">
                  <w:pPr>
                    <w:pStyle w:val="61"/>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sz w:val="21"/>
                      <w:szCs w:val="21"/>
                      <w:u w:val="none"/>
                      <w:lang w:val="en-US" w:eastAsia="zh-CN"/>
                      <w14:textFill>
                        <w14:solidFill>
                          <w14:schemeClr w14:val="tx1"/>
                        </w14:solidFill>
                      </w14:textFill>
                    </w:rPr>
                  </w:pPr>
                  <w:r>
                    <w:rPr>
                      <w:rFonts w:hint="default" w:ascii="Times New Roman" w:hAnsi="Times New Roman" w:cs="Times New Roman"/>
                      <w:color w:val="000000" w:themeColor="text1"/>
                      <w:sz w:val="21"/>
                      <w:szCs w:val="21"/>
                      <w:u w:val="none"/>
                      <w:lang w:val="en-US" w:eastAsia="zh-CN"/>
                      <w14:textFill>
                        <w14:solidFill>
                          <w14:schemeClr w14:val="tx1"/>
                        </w14:solidFill>
                      </w14:textFill>
                    </w:rPr>
                    <w:t>袋式除尘器</w:t>
                  </w:r>
                </w:p>
              </w:tc>
              <w:tc>
                <w:tcPr>
                  <w:tcW w:w="480" w:type="pct"/>
                  <w:vMerge w:val="restart"/>
                  <w:tcBorders>
                    <w:top w:val="single" w:color="auto" w:sz="4" w:space="0"/>
                    <w:left w:val="single" w:color="auto" w:sz="4" w:space="0"/>
                    <w:right w:val="single" w:color="auto" w:sz="4" w:space="0"/>
                  </w:tcBorders>
                  <w:shd w:val="clear" w:color="auto" w:fill="auto"/>
                  <w:vAlign w:val="center"/>
                </w:tcPr>
                <w:p w14:paraId="05A15357">
                  <w:pPr>
                    <w:pStyle w:val="61"/>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eastAsia="等线" w:cs="Times New Roman"/>
                      <w:color w:val="000000" w:themeColor="text1"/>
                      <w:kern w:val="0"/>
                      <w:sz w:val="21"/>
                      <w:szCs w:val="21"/>
                      <w:u w:val="none"/>
                      <w:lang w:val="en-US" w:eastAsia="zh-CN" w:bidi="ar-SA"/>
                      <w14:textFill>
                        <w14:solidFill>
                          <w14:schemeClr w14:val="tx1"/>
                        </w14:solidFill>
                      </w14:textFill>
                    </w:rPr>
                  </w:pPr>
                  <w:r>
                    <w:rPr>
                      <w:rFonts w:hint="default" w:ascii="Times New Roman" w:hAnsi="Times New Roman" w:eastAsia="等线" w:cs="Times New Roman"/>
                      <w:color w:val="000000" w:themeColor="text1"/>
                      <w:kern w:val="0"/>
                      <w:sz w:val="21"/>
                      <w:szCs w:val="21"/>
                      <w:u w:val="none"/>
                      <w:lang w:val="en-US" w:eastAsia="zh-CN" w:bidi="ar-SA"/>
                      <w14:textFill>
                        <w14:solidFill>
                          <w14:schemeClr w14:val="tx1"/>
                        </w14:solidFill>
                      </w14:textFill>
                    </w:rPr>
                    <w:t>0.167</w:t>
                  </w:r>
                </w:p>
              </w:tc>
              <w:tc>
                <w:tcPr>
                  <w:tcW w:w="480" w:type="pct"/>
                  <w:vMerge w:val="restart"/>
                  <w:tcBorders>
                    <w:top w:val="single" w:color="auto" w:sz="4" w:space="0"/>
                    <w:left w:val="single" w:color="auto" w:sz="4" w:space="0"/>
                    <w:right w:val="single" w:color="auto" w:sz="4" w:space="0"/>
                  </w:tcBorders>
                  <w:shd w:val="clear" w:color="auto" w:fill="auto"/>
                  <w:vAlign w:val="center"/>
                </w:tcPr>
                <w:p w14:paraId="06E90122">
                  <w:pPr>
                    <w:pStyle w:val="61"/>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eastAsia="等线" w:cs="Times New Roman"/>
                      <w:color w:val="000000" w:themeColor="text1"/>
                      <w:kern w:val="0"/>
                      <w:sz w:val="21"/>
                      <w:szCs w:val="21"/>
                      <w:u w:val="none"/>
                      <w:lang w:val="en-US" w:eastAsia="zh-CN" w:bidi="ar-SA"/>
                      <w14:textFill>
                        <w14:solidFill>
                          <w14:schemeClr w14:val="tx1"/>
                        </w14:solidFill>
                      </w14:textFill>
                    </w:rPr>
                  </w:pPr>
                  <w:r>
                    <w:rPr>
                      <w:rFonts w:hint="default" w:ascii="Times New Roman" w:hAnsi="Times New Roman" w:eastAsia="等线" w:cs="Times New Roman"/>
                      <w:color w:val="000000" w:themeColor="text1"/>
                      <w:kern w:val="0"/>
                      <w:sz w:val="21"/>
                      <w:szCs w:val="21"/>
                      <w:u w:val="none"/>
                      <w:lang w:val="en-US" w:eastAsia="zh-CN" w:bidi="ar-SA"/>
                      <w14:textFill>
                        <w14:solidFill>
                          <w14:schemeClr w14:val="tx1"/>
                        </w14:solidFill>
                      </w14:textFill>
                    </w:rPr>
                    <w:t>0.047</w:t>
                  </w:r>
                </w:p>
              </w:tc>
              <w:tc>
                <w:tcPr>
                  <w:tcW w:w="480" w:type="pct"/>
                  <w:vMerge w:val="restart"/>
                  <w:tcBorders>
                    <w:top w:val="single" w:color="auto" w:sz="4" w:space="0"/>
                    <w:left w:val="single" w:color="auto" w:sz="4" w:space="0"/>
                    <w:right w:val="single" w:color="auto" w:sz="4" w:space="0"/>
                  </w:tcBorders>
                  <w:shd w:val="clear" w:color="auto" w:fill="auto"/>
                  <w:vAlign w:val="center"/>
                </w:tcPr>
                <w:p w14:paraId="052B9866">
                  <w:pPr>
                    <w:pStyle w:val="61"/>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eastAsia="等线" w:cs="Times New Roman"/>
                      <w:color w:val="000000" w:themeColor="text1"/>
                      <w:kern w:val="0"/>
                      <w:sz w:val="21"/>
                      <w:szCs w:val="21"/>
                      <w:u w:val="none"/>
                      <w:lang w:val="en-US" w:eastAsia="zh-CN" w:bidi="ar-SA"/>
                      <w14:textFill>
                        <w14:solidFill>
                          <w14:schemeClr w14:val="tx1"/>
                        </w14:solidFill>
                      </w14:textFill>
                    </w:rPr>
                  </w:pPr>
                  <w:r>
                    <w:rPr>
                      <w:rFonts w:hint="default" w:ascii="Times New Roman" w:hAnsi="Times New Roman" w:eastAsia="等线" w:cs="Times New Roman"/>
                      <w:color w:val="000000" w:themeColor="text1"/>
                      <w:kern w:val="0"/>
                      <w:sz w:val="21"/>
                      <w:szCs w:val="21"/>
                      <w:u w:val="none"/>
                      <w:lang w:val="en-US" w:eastAsia="zh-CN" w:bidi="ar-SA"/>
                      <w14:textFill>
                        <w14:solidFill>
                          <w14:schemeClr w14:val="tx1"/>
                        </w14:solidFill>
                      </w14:textFill>
                    </w:rPr>
                    <w:t>7.75</w:t>
                  </w:r>
                </w:p>
              </w:tc>
            </w:tr>
            <w:tr w14:paraId="575D6E6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302" w:type="pct"/>
                  <w:vMerge w:val="continue"/>
                  <w:tcBorders>
                    <w:left w:val="single" w:color="auto" w:sz="0" w:space="0"/>
                    <w:right w:val="single" w:color="auto" w:sz="4" w:space="0"/>
                  </w:tcBorders>
                  <w:shd w:val="clear" w:color="auto" w:fill="auto"/>
                  <w:vAlign w:val="center"/>
                </w:tcPr>
                <w:p w14:paraId="3518D806">
                  <w:pPr>
                    <w:pStyle w:val="61"/>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cs="Times New Roman"/>
                      <w:color w:val="000000" w:themeColor="text1"/>
                      <w:sz w:val="21"/>
                      <w:szCs w:val="21"/>
                      <w:u w:val="none"/>
                      <w:lang w:val="en-US" w:eastAsia="zh-CN"/>
                      <w14:textFill>
                        <w14:solidFill>
                          <w14:schemeClr w14:val="tx1"/>
                        </w14:solidFill>
                      </w14:textFill>
                    </w:rPr>
                  </w:pPr>
                </w:p>
              </w:tc>
              <w:tc>
                <w:tcPr>
                  <w:tcW w:w="653" w:type="pct"/>
                  <w:tcBorders>
                    <w:top w:val="single" w:color="auto" w:sz="4" w:space="0"/>
                    <w:left w:val="single" w:color="auto" w:sz="0" w:space="0"/>
                    <w:bottom w:val="single" w:color="auto" w:sz="4" w:space="0"/>
                    <w:right w:val="single" w:color="auto" w:sz="4" w:space="0"/>
                  </w:tcBorders>
                  <w:shd w:val="clear" w:color="auto" w:fill="auto"/>
                  <w:vAlign w:val="center"/>
                </w:tcPr>
                <w:p w14:paraId="261F059F">
                  <w:pPr>
                    <w:pStyle w:val="61"/>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color w:val="000000" w:themeColor="text1"/>
                      <w:kern w:val="0"/>
                      <w:sz w:val="21"/>
                      <w:szCs w:val="21"/>
                      <w:u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u w:val="none"/>
                      <w:lang w:val="en-US" w:eastAsia="zh-CN"/>
                      <w14:textFill>
                        <w14:solidFill>
                          <w14:schemeClr w14:val="tx1"/>
                        </w14:solidFill>
                      </w14:textFill>
                    </w:rPr>
                    <w:t>筛分工序</w:t>
                  </w:r>
                </w:p>
              </w:tc>
              <w:tc>
                <w:tcPr>
                  <w:tcW w:w="480" w:type="pct"/>
                  <w:tcBorders>
                    <w:top w:val="single" w:color="auto" w:sz="4" w:space="0"/>
                    <w:left w:val="single" w:color="auto" w:sz="0" w:space="0"/>
                    <w:bottom w:val="single" w:color="auto" w:sz="4" w:space="0"/>
                    <w:right w:val="single" w:color="auto" w:sz="4" w:space="0"/>
                  </w:tcBorders>
                  <w:shd w:val="clear" w:color="auto" w:fill="auto"/>
                  <w:vAlign w:val="center"/>
                </w:tcPr>
                <w:p w14:paraId="48646095">
                  <w:pPr>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color w:val="000000" w:themeColor="text1"/>
                      <w:kern w:val="0"/>
                      <w:sz w:val="21"/>
                      <w:szCs w:val="21"/>
                      <w:u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bidi="ar-SA"/>
                      <w14:textFill>
                        <w14:solidFill>
                          <w14:schemeClr w14:val="tx1"/>
                        </w14:solidFill>
                      </w14:textFill>
                    </w:rPr>
                    <w:t>颗粒物</w:t>
                  </w:r>
                </w:p>
              </w:tc>
              <w:tc>
                <w:tcPr>
                  <w:tcW w:w="480" w:type="pct"/>
                  <w:tcBorders>
                    <w:top w:val="single" w:color="auto" w:sz="4" w:space="0"/>
                    <w:left w:val="single" w:color="auto" w:sz="4" w:space="0"/>
                    <w:bottom w:val="single" w:color="auto" w:sz="4" w:space="0"/>
                    <w:right w:val="single" w:color="auto" w:sz="4" w:space="0"/>
                  </w:tcBorders>
                  <w:shd w:val="clear" w:color="auto" w:fill="auto"/>
                  <w:vAlign w:val="center"/>
                </w:tcPr>
                <w:p w14:paraId="77BE1A20">
                  <w:pPr>
                    <w:keepNext w:val="0"/>
                    <w:keepLines w:val="0"/>
                    <w:widowControl/>
                    <w:suppressLineNumbers w:val="0"/>
                    <w:jc w:val="center"/>
                    <w:textAlignment w:val="center"/>
                    <w:rPr>
                      <w:rFonts w:hint="default" w:ascii="Times New Roman" w:hAnsi="Times New Roman" w:eastAsia="等线" w:cs="Times New Roman"/>
                      <w:color w:val="000000" w:themeColor="text1"/>
                      <w:kern w:val="0"/>
                      <w:sz w:val="21"/>
                      <w:szCs w:val="21"/>
                      <w:u w:val="none"/>
                      <w:lang w:val="en-US" w:eastAsia="zh-CN" w:bidi="ar-SA"/>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7.372</w:t>
                  </w:r>
                </w:p>
              </w:tc>
              <w:tc>
                <w:tcPr>
                  <w:tcW w:w="580" w:type="pct"/>
                  <w:tcBorders>
                    <w:top w:val="single" w:color="auto" w:sz="4" w:space="0"/>
                    <w:left w:val="single" w:color="auto" w:sz="4" w:space="0"/>
                    <w:bottom w:val="single" w:color="auto" w:sz="4" w:space="0"/>
                    <w:right w:val="single" w:color="auto" w:sz="4" w:space="0"/>
                  </w:tcBorders>
                  <w:shd w:val="clear" w:color="auto" w:fill="auto"/>
                  <w:vAlign w:val="center"/>
                </w:tcPr>
                <w:p w14:paraId="57DA6BC0">
                  <w:pPr>
                    <w:keepNext w:val="0"/>
                    <w:keepLines w:val="0"/>
                    <w:widowControl/>
                    <w:suppressLineNumbers w:val="0"/>
                    <w:jc w:val="center"/>
                    <w:textAlignment w:val="center"/>
                    <w:rPr>
                      <w:rFonts w:hint="default" w:ascii="Times New Roman" w:hAnsi="Times New Roman" w:eastAsia="等线" w:cs="Times New Roman"/>
                      <w:color w:val="000000" w:themeColor="text1"/>
                      <w:kern w:val="0"/>
                      <w:sz w:val="21"/>
                      <w:szCs w:val="21"/>
                      <w:u w:val="none"/>
                      <w:lang w:val="en-US" w:eastAsia="zh-CN" w:bidi="ar-SA"/>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2.048</w:t>
                  </w:r>
                </w:p>
              </w:tc>
              <w:tc>
                <w:tcPr>
                  <w:tcW w:w="580" w:type="pct"/>
                  <w:tcBorders>
                    <w:top w:val="single" w:color="auto" w:sz="4" w:space="0"/>
                    <w:left w:val="single" w:color="auto" w:sz="4" w:space="0"/>
                    <w:bottom w:val="single" w:color="auto" w:sz="4" w:space="0"/>
                    <w:right w:val="single" w:color="auto" w:sz="4" w:space="0"/>
                  </w:tcBorders>
                  <w:shd w:val="clear" w:color="auto" w:fill="auto"/>
                  <w:vAlign w:val="center"/>
                </w:tcPr>
                <w:p w14:paraId="602494E8">
                  <w:pPr>
                    <w:keepNext w:val="0"/>
                    <w:keepLines w:val="0"/>
                    <w:widowControl/>
                    <w:suppressLineNumbers w:val="0"/>
                    <w:jc w:val="center"/>
                    <w:textAlignment w:val="center"/>
                    <w:rPr>
                      <w:rFonts w:hint="default" w:ascii="Times New Roman" w:hAnsi="Times New Roman" w:eastAsia="等线" w:cs="Times New Roman"/>
                      <w:color w:val="000000" w:themeColor="text1"/>
                      <w:kern w:val="0"/>
                      <w:sz w:val="21"/>
                      <w:szCs w:val="21"/>
                      <w:u w:val="none"/>
                      <w:lang w:val="en-US" w:eastAsia="zh-CN" w:bidi="ar-SA"/>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341.30</w:t>
                  </w:r>
                </w:p>
              </w:tc>
              <w:tc>
                <w:tcPr>
                  <w:tcW w:w="480" w:type="pct"/>
                  <w:vMerge w:val="continue"/>
                  <w:tcBorders>
                    <w:left w:val="single" w:color="auto" w:sz="4" w:space="0"/>
                    <w:right w:val="single" w:color="auto" w:sz="4" w:space="0"/>
                  </w:tcBorders>
                  <w:shd w:val="clear" w:color="auto" w:fill="auto"/>
                  <w:vAlign w:val="center"/>
                </w:tcPr>
                <w:p w14:paraId="61B30500">
                  <w:pPr>
                    <w:pStyle w:val="61"/>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sz w:val="21"/>
                      <w:szCs w:val="21"/>
                      <w:u w:val="none"/>
                      <w:lang w:val="en-US" w:eastAsia="zh-CN"/>
                      <w14:textFill>
                        <w14:solidFill>
                          <w14:schemeClr w14:val="tx1"/>
                        </w14:solidFill>
                      </w14:textFill>
                    </w:rPr>
                  </w:pPr>
                </w:p>
              </w:tc>
              <w:tc>
                <w:tcPr>
                  <w:tcW w:w="480" w:type="pct"/>
                  <w:vMerge w:val="continue"/>
                  <w:tcBorders>
                    <w:left w:val="single" w:color="auto" w:sz="4" w:space="0"/>
                    <w:right w:val="single" w:color="auto" w:sz="4" w:space="0"/>
                  </w:tcBorders>
                  <w:shd w:val="clear" w:color="auto" w:fill="auto"/>
                  <w:vAlign w:val="center"/>
                </w:tcPr>
                <w:p w14:paraId="76B33F2E">
                  <w:pPr>
                    <w:pStyle w:val="61"/>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eastAsia="等线" w:cs="Times New Roman"/>
                      <w:color w:val="000000" w:themeColor="text1"/>
                      <w:kern w:val="0"/>
                      <w:sz w:val="21"/>
                      <w:szCs w:val="21"/>
                      <w:u w:val="none"/>
                      <w:lang w:val="en-US" w:eastAsia="zh-CN" w:bidi="ar-SA"/>
                      <w14:textFill>
                        <w14:solidFill>
                          <w14:schemeClr w14:val="tx1"/>
                        </w14:solidFill>
                      </w14:textFill>
                    </w:rPr>
                  </w:pPr>
                </w:p>
              </w:tc>
              <w:tc>
                <w:tcPr>
                  <w:tcW w:w="480" w:type="pct"/>
                  <w:vMerge w:val="continue"/>
                  <w:tcBorders>
                    <w:left w:val="single" w:color="auto" w:sz="4" w:space="0"/>
                    <w:right w:val="single" w:color="auto" w:sz="4" w:space="0"/>
                  </w:tcBorders>
                  <w:shd w:val="clear" w:color="auto" w:fill="auto"/>
                  <w:vAlign w:val="center"/>
                </w:tcPr>
                <w:p w14:paraId="4F1D2ACD">
                  <w:pPr>
                    <w:pStyle w:val="61"/>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eastAsia="等线" w:cs="Times New Roman"/>
                      <w:color w:val="000000" w:themeColor="text1"/>
                      <w:kern w:val="0"/>
                      <w:sz w:val="21"/>
                      <w:szCs w:val="21"/>
                      <w:u w:val="none"/>
                      <w:lang w:val="en-US" w:eastAsia="zh-CN" w:bidi="ar-SA"/>
                      <w14:textFill>
                        <w14:solidFill>
                          <w14:schemeClr w14:val="tx1"/>
                        </w14:solidFill>
                      </w14:textFill>
                    </w:rPr>
                  </w:pPr>
                </w:p>
              </w:tc>
              <w:tc>
                <w:tcPr>
                  <w:tcW w:w="480" w:type="pct"/>
                  <w:vMerge w:val="continue"/>
                  <w:tcBorders>
                    <w:left w:val="single" w:color="auto" w:sz="4" w:space="0"/>
                    <w:right w:val="single" w:color="auto" w:sz="4" w:space="0"/>
                  </w:tcBorders>
                  <w:shd w:val="clear" w:color="auto" w:fill="auto"/>
                  <w:vAlign w:val="center"/>
                </w:tcPr>
                <w:p w14:paraId="42B17958">
                  <w:pPr>
                    <w:pStyle w:val="61"/>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eastAsia="等线" w:cs="Times New Roman"/>
                      <w:color w:val="000000" w:themeColor="text1"/>
                      <w:kern w:val="0"/>
                      <w:sz w:val="21"/>
                      <w:szCs w:val="21"/>
                      <w:u w:val="none"/>
                      <w:lang w:val="en-US" w:eastAsia="zh-CN" w:bidi="ar-SA"/>
                      <w14:textFill>
                        <w14:solidFill>
                          <w14:schemeClr w14:val="tx1"/>
                        </w14:solidFill>
                      </w14:textFill>
                    </w:rPr>
                  </w:pPr>
                </w:p>
              </w:tc>
            </w:tr>
            <w:tr w14:paraId="5866BC2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302" w:type="pct"/>
                  <w:vMerge w:val="continue"/>
                  <w:tcBorders>
                    <w:left w:val="single" w:color="auto" w:sz="0" w:space="0"/>
                    <w:right w:val="single" w:color="auto" w:sz="4" w:space="0"/>
                  </w:tcBorders>
                  <w:shd w:val="clear" w:color="auto" w:fill="auto"/>
                  <w:vAlign w:val="center"/>
                </w:tcPr>
                <w:p w14:paraId="2592E957">
                  <w:pPr>
                    <w:pStyle w:val="61"/>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cs="Times New Roman"/>
                      <w:b w:val="0"/>
                      <w:bCs/>
                      <w:color w:val="000000" w:themeColor="text1"/>
                      <w:sz w:val="21"/>
                      <w:szCs w:val="21"/>
                      <w:highlight w:val="none"/>
                      <w:u w:val="none"/>
                      <w:lang w:val="en-US" w:eastAsia="zh-CN"/>
                      <w14:textFill>
                        <w14:solidFill>
                          <w14:schemeClr w14:val="tx1"/>
                        </w14:solidFill>
                      </w14:textFill>
                    </w:rPr>
                  </w:pPr>
                </w:p>
              </w:tc>
              <w:tc>
                <w:tcPr>
                  <w:tcW w:w="653" w:type="pct"/>
                  <w:tcBorders>
                    <w:top w:val="single" w:color="auto" w:sz="4" w:space="0"/>
                    <w:left w:val="single" w:color="auto" w:sz="0" w:space="0"/>
                    <w:bottom w:val="single" w:color="auto" w:sz="4" w:space="0"/>
                    <w:right w:val="single" w:color="auto" w:sz="4" w:space="0"/>
                  </w:tcBorders>
                  <w:shd w:val="clear" w:color="auto" w:fill="auto"/>
                  <w:vAlign w:val="center"/>
                </w:tcPr>
                <w:p w14:paraId="60243F0A">
                  <w:pPr>
                    <w:pStyle w:val="61"/>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cs="Times New Roman"/>
                      <w:color w:val="000000" w:themeColor="text1"/>
                      <w:sz w:val="21"/>
                      <w:szCs w:val="21"/>
                      <w:u w:val="none"/>
                      <w:lang w:val="en-US" w:eastAsia="zh-CN"/>
                      <w14:textFill>
                        <w14:solidFill>
                          <w14:schemeClr w14:val="tx1"/>
                        </w14:solidFill>
                      </w14:textFill>
                    </w:rPr>
                  </w:pPr>
                  <w:r>
                    <w:rPr>
                      <w:rFonts w:hint="default" w:ascii="Times New Roman" w:hAnsi="Times New Roman" w:cs="Times New Roman"/>
                      <w:b w:val="0"/>
                      <w:bCs/>
                      <w:color w:val="000000" w:themeColor="text1"/>
                      <w:sz w:val="21"/>
                      <w:szCs w:val="21"/>
                      <w:highlight w:val="none"/>
                      <w:u w:val="none"/>
                      <w:lang w:val="en-US" w:eastAsia="zh-CN"/>
                      <w14:textFill>
                        <w14:solidFill>
                          <w14:schemeClr w14:val="tx1"/>
                        </w14:solidFill>
                      </w14:textFill>
                    </w:rPr>
                    <w:t>冷却、锯切工序</w:t>
                  </w:r>
                </w:p>
              </w:tc>
              <w:tc>
                <w:tcPr>
                  <w:tcW w:w="480" w:type="pct"/>
                  <w:tcBorders>
                    <w:top w:val="single" w:color="auto" w:sz="4" w:space="0"/>
                    <w:left w:val="single" w:color="auto" w:sz="0" w:space="0"/>
                    <w:bottom w:val="single" w:color="auto" w:sz="4" w:space="0"/>
                    <w:right w:val="single" w:color="auto" w:sz="4" w:space="0"/>
                  </w:tcBorders>
                  <w:shd w:val="clear" w:color="auto" w:fill="auto"/>
                  <w:vAlign w:val="center"/>
                </w:tcPr>
                <w:p w14:paraId="00E833B3">
                  <w:pPr>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color w:val="000000" w:themeColor="text1"/>
                      <w:kern w:val="0"/>
                      <w:sz w:val="21"/>
                      <w:szCs w:val="21"/>
                      <w:u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bidi="ar-SA"/>
                      <w14:textFill>
                        <w14:solidFill>
                          <w14:schemeClr w14:val="tx1"/>
                        </w14:solidFill>
                      </w14:textFill>
                    </w:rPr>
                    <w:t>颗粒物</w:t>
                  </w:r>
                </w:p>
              </w:tc>
              <w:tc>
                <w:tcPr>
                  <w:tcW w:w="480" w:type="pct"/>
                  <w:tcBorders>
                    <w:top w:val="single" w:color="auto" w:sz="4" w:space="0"/>
                    <w:left w:val="single" w:color="auto" w:sz="4" w:space="0"/>
                    <w:bottom w:val="single" w:color="auto" w:sz="4" w:space="0"/>
                    <w:right w:val="single" w:color="auto" w:sz="4" w:space="0"/>
                  </w:tcBorders>
                  <w:shd w:val="clear" w:color="auto" w:fill="auto"/>
                  <w:vAlign w:val="center"/>
                </w:tcPr>
                <w:p w14:paraId="341DFDB4">
                  <w:pPr>
                    <w:keepNext w:val="0"/>
                    <w:keepLines w:val="0"/>
                    <w:widowControl/>
                    <w:suppressLineNumbers w:val="0"/>
                    <w:jc w:val="center"/>
                    <w:textAlignment w:val="center"/>
                    <w:rPr>
                      <w:rFonts w:hint="default" w:ascii="Times New Roman" w:hAnsi="Times New Roman" w:eastAsia="等线" w:cs="Times New Roman"/>
                      <w:color w:val="000000" w:themeColor="text1"/>
                      <w:kern w:val="0"/>
                      <w:sz w:val="21"/>
                      <w:szCs w:val="21"/>
                      <w:u w:val="none"/>
                      <w:lang w:val="en-US" w:eastAsia="zh-CN" w:bidi="ar-SA"/>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1.720</w:t>
                  </w:r>
                </w:p>
              </w:tc>
              <w:tc>
                <w:tcPr>
                  <w:tcW w:w="580" w:type="pct"/>
                  <w:tcBorders>
                    <w:top w:val="single" w:color="auto" w:sz="4" w:space="0"/>
                    <w:left w:val="single" w:color="auto" w:sz="4" w:space="0"/>
                    <w:bottom w:val="single" w:color="auto" w:sz="4" w:space="0"/>
                    <w:right w:val="single" w:color="auto" w:sz="4" w:space="0"/>
                  </w:tcBorders>
                  <w:shd w:val="clear" w:color="auto" w:fill="auto"/>
                  <w:vAlign w:val="center"/>
                </w:tcPr>
                <w:p w14:paraId="7E78AB43">
                  <w:pPr>
                    <w:keepNext w:val="0"/>
                    <w:keepLines w:val="0"/>
                    <w:widowControl/>
                    <w:suppressLineNumbers w:val="0"/>
                    <w:jc w:val="center"/>
                    <w:textAlignment w:val="center"/>
                    <w:rPr>
                      <w:rFonts w:hint="default" w:ascii="Times New Roman" w:hAnsi="Times New Roman" w:eastAsia="等线" w:cs="Times New Roman"/>
                      <w:color w:val="000000" w:themeColor="text1"/>
                      <w:kern w:val="0"/>
                      <w:sz w:val="21"/>
                      <w:szCs w:val="21"/>
                      <w:u w:val="none"/>
                      <w:lang w:val="en-US" w:eastAsia="zh-CN" w:bidi="ar-SA"/>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0.478</w:t>
                  </w:r>
                </w:p>
              </w:tc>
              <w:tc>
                <w:tcPr>
                  <w:tcW w:w="580" w:type="pct"/>
                  <w:tcBorders>
                    <w:top w:val="single" w:color="auto" w:sz="4" w:space="0"/>
                    <w:left w:val="single" w:color="auto" w:sz="4" w:space="0"/>
                    <w:bottom w:val="single" w:color="auto" w:sz="4" w:space="0"/>
                    <w:right w:val="single" w:color="auto" w:sz="4" w:space="0"/>
                  </w:tcBorders>
                  <w:shd w:val="clear" w:color="auto" w:fill="auto"/>
                  <w:vAlign w:val="center"/>
                </w:tcPr>
                <w:p w14:paraId="31FDBE49">
                  <w:pPr>
                    <w:keepNext w:val="0"/>
                    <w:keepLines w:val="0"/>
                    <w:widowControl/>
                    <w:suppressLineNumbers w:val="0"/>
                    <w:jc w:val="center"/>
                    <w:textAlignment w:val="center"/>
                    <w:rPr>
                      <w:rFonts w:hint="default" w:ascii="Times New Roman" w:hAnsi="Times New Roman" w:eastAsia="等线" w:cs="Times New Roman"/>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79.61</w:t>
                  </w:r>
                </w:p>
              </w:tc>
              <w:tc>
                <w:tcPr>
                  <w:tcW w:w="480" w:type="pct"/>
                  <w:vMerge w:val="continue"/>
                  <w:tcBorders>
                    <w:left w:val="single" w:color="auto" w:sz="4" w:space="0"/>
                    <w:right w:val="single" w:color="auto" w:sz="4" w:space="0"/>
                  </w:tcBorders>
                  <w:shd w:val="clear" w:color="auto" w:fill="auto"/>
                  <w:vAlign w:val="center"/>
                </w:tcPr>
                <w:p w14:paraId="094842FC">
                  <w:pPr>
                    <w:pStyle w:val="61"/>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sz w:val="21"/>
                      <w:szCs w:val="21"/>
                      <w:u w:val="none"/>
                      <w:lang w:val="en-US" w:eastAsia="zh-CN"/>
                      <w14:textFill>
                        <w14:solidFill>
                          <w14:schemeClr w14:val="tx1"/>
                        </w14:solidFill>
                      </w14:textFill>
                    </w:rPr>
                  </w:pPr>
                </w:p>
              </w:tc>
              <w:tc>
                <w:tcPr>
                  <w:tcW w:w="480" w:type="pct"/>
                  <w:vMerge w:val="continue"/>
                  <w:tcBorders>
                    <w:left w:val="single" w:color="auto" w:sz="4" w:space="0"/>
                    <w:right w:val="single" w:color="auto" w:sz="4" w:space="0"/>
                  </w:tcBorders>
                  <w:shd w:val="clear" w:color="auto" w:fill="auto"/>
                  <w:vAlign w:val="center"/>
                </w:tcPr>
                <w:p w14:paraId="2A8D7148">
                  <w:pPr>
                    <w:pStyle w:val="61"/>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eastAsia="等线" w:cs="Times New Roman"/>
                      <w:color w:val="000000" w:themeColor="text1"/>
                      <w:kern w:val="0"/>
                      <w:sz w:val="21"/>
                      <w:szCs w:val="21"/>
                      <w:u w:val="none"/>
                      <w:lang w:val="en-US" w:eastAsia="zh-CN" w:bidi="ar-SA"/>
                      <w14:textFill>
                        <w14:solidFill>
                          <w14:schemeClr w14:val="tx1"/>
                        </w14:solidFill>
                      </w14:textFill>
                    </w:rPr>
                  </w:pPr>
                </w:p>
              </w:tc>
              <w:tc>
                <w:tcPr>
                  <w:tcW w:w="480" w:type="pct"/>
                  <w:vMerge w:val="continue"/>
                  <w:tcBorders>
                    <w:left w:val="single" w:color="auto" w:sz="4" w:space="0"/>
                    <w:right w:val="single" w:color="auto" w:sz="4" w:space="0"/>
                  </w:tcBorders>
                  <w:shd w:val="clear" w:color="auto" w:fill="auto"/>
                  <w:vAlign w:val="center"/>
                </w:tcPr>
                <w:p w14:paraId="24C903D3">
                  <w:pPr>
                    <w:pStyle w:val="61"/>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eastAsia="等线" w:cs="Times New Roman"/>
                      <w:color w:val="000000" w:themeColor="text1"/>
                      <w:kern w:val="0"/>
                      <w:sz w:val="21"/>
                      <w:szCs w:val="21"/>
                      <w:u w:val="none"/>
                      <w:lang w:val="en-US" w:eastAsia="zh-CN" w:bidi="ar-SA"/>
                      <w14:textFill>
                        <w14:solidFill>
                          <w14:schemeClr w14:val="tx1"/>
                        </w14:solidFill>
                      </w14:textFill>
                    </w:rPr>
                  </w:pPr>
                </w:p>
              </w:tc>
              <w:tc>
                <w:tcPr>
                  <w:tcW w:w="480" w:type="pct"/>
                  <w:vMerge w:val="continue"/>
                  <w:tcBorders>
                    <w:left w:val="single" w:color="auto" w:sz="4" w:space="0"/>
                    <w:right w:val="single" w:color="auto" w:sz="4" w:space="0"/>
                  </w:tcBorders>
                  <w:shd w:val="clear" w:color="auto" w:fill="auto"/>
                  <w:vAlign w:val="center"/>
                </w:tcPr>
                <w:p w14:paraId="13465269">
                  <w:pPr>
                    <w:pStyle w:val="61"/>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eastAsia="等线" w:cs="Times New Roman"/>
                      <w:color w:val="000000" w:themeColor="text1"/>
                      <w:kern w:val="0"/>
                      <w:sz w:val="21"/>
                      <w:szCs w:val="21"/>
                      <w:u w:val="none"/>
                      <w:lang w:val="en-US" w:eastAsia="zh-CN" w:bidi="ar-SA"/>
                      <w14:textFill>
                        <w14:solidFill>
                          <w14:schemeClr w14:val="tx1"/>
                        </w14:solidFill>
                      </w14:textFill>
                    </w:rPr>
                  </w:pPr>
                </w:p>
              </w:tc>
            </w:tr>
            <w:tr w14:paraId="7D23917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454" w:hRule="atLeast"/>
                <w:jc w:val="center"/>
              </w:trPr>
              <w:tc>
                <w:tcPr>
                  <w:tcW w:w="302" w:type="pct"/>
                  <w:vMerge w:val="continue"/>
                  <w:tcBorders>
                    <w:left w:val="single" w:color="auto" w:sz="0" w:space="0"/>
                    <w:bottom w:val="single" w:color="auto" w:sz="4" w:space="0"/>
                    <w:right w:val="single" w:color="auto" w:sz="4" w:space="0"/>
                  </w:tcBorders>
                  <w:shd w:val="clear" w:color="auto" w:fill="auto"/>
                  <w:vAlign w:val="center"/>
                </w:tcPr>
                <w:p w14:paraId="68CA7862">
                  <w:pPr>
                    <w:pStyle w:val="61"/>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cs="Times New Roman"/>
                      <w:b w:val="0"/>
                      <w:bCs/>
                      <w:color w:val="000000" w:themeColor="text1"/>
                      <w:sz w:val="21"/>
                      <w:szCs w:val="21"/>
                      <w:highlight w:val="none"/>
                      <w:u w:val="none"/>
                      <w:lang w:val="en-US" w:eastAsia="zh-CN"/>
                      <w14:textFill>
                        <w14:solidFill>
                          <w14:schemeClr w14:val="tx1"/>
                        </w14:solidFill>
                      </w14:textFill>
                    </w:rPr>
                  </w:pPr>
                </w:p>
              </w:tc>
              <w:tc>
                <w:tcPr>
                  <w:tcW w:w="653" w:type="pct"/>
                  <w:tcBorders>
                    <w:top w:val="single" w:color="auto" w:sz="4" w:space="0"/>
                    <w:left w:val="single" w:color="auto" w:sz="0" w:space="0"/>
                    <w:bottom w:val="single" w:color="auto" w:sz="4" w:space="0"/>
                    <w:right w:val="single" w:color="auto" w:sz="4" w:space="0"/>
                  </w:tcBorders>
                  <w:shd w:val="clear" w:color="auto" w:fill="auto"/>
                  <w:vAlign w:val="center"/>
                </w:tcPr>
                <w:p w14:paraId="3B136AB0">
                  <w:pPr>
                    <w:pStyle w:val="61"/>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cs="Times New Roman"/>
                      <w:b w:val="0"/>
                      <w:bCs/>
                      <w:color w:val="000000" w:themeColor="text1"/>
                      <w:sz w:val="21"/>
                      <w:szCs w:val="21"/>
                      <w:highlight w:val="none"/>
                      <w:u w:val="none"/>
                      <w:lang w:val="en-US" w:eastAsia="zh-CN"/>
                      <w14:textFill>
                        <w14:solidFill>
                          <w14:schemeClr w14:val="tx1"/>
                        </w14:solidFill>
                      </w14:textFill>
                    </w:rPr>
                  </w:pPr>
                  <w:r>
                    <w:rPr>
                      <w:rFonts w:hint="default" w:ascii="Times New Roman" w:hAnsi="Times New Roman" w:cs="Times New Roman"/>
                      <w:b w:val="0"/>
                      <w:bCs/>
                      <w:color w:val="000000" w:themeColor="text1"/>
                      <w:sz w:val="21"/>
                      <w:szCs w:val="21"/>
                      <w:highlight w:val="none"/>
                      <w:u w:val="none"/>
                      <w:lang w:val="en-US" w:eastAsia="zh-CN"/>
                      <w14:textFill>
                        <w14:solidFill>
                          <w14:schemeClr w14:val="tx1"/>
                        </w14:solidFill>
                      </w14:textFill>
                    </w:rPr>
                    <w:t>包装工序</w:t>
                  </w:r>
                </w:p>
              </w:tc>
              <w:tc>
                <w:tcPr>
                  <w:tcW w:w="480" w:type="pct"/>
                  <w:tcBorders>
                    <w:top w:val="single" w:color="auto" w:sz="4" w:space="0"/>
                    <w:left w:val="single" w:color="auto" w:sz="0" w:space="0"/>
                    <w:bottom w:val="single" w:color="auto" w:sz="4" w:space="0"/>
                    <w:right w:val="single" w:color="auto" w:sz="4" w:space="0"/>
                  </w:tcBorders>
                  <w:shd w:val="clear" w:color="auto" w:fill="auto"/>
                  <w:vAlign w:val="center"/>
                </w:tcPr>
                <w:p w14:paraId="2540BBD7">
                  <w:pPr>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color w:val="000000" w:themeColor="text1"/>
                      <w:kern w:val="0"/>
                      <w:sz w:val="21"/>
                      <w:szCs w:val="21"/>
                      <w:u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bidi="ar-SA"/>
                      <w14:textFill>
                        <w14:solidFill>
                          <w14:schemeClr w14:val="tx1"/>
                        </w14:solidFill>
                      </w14:textFill>
                    </w:rPr>
                    <w:t>颗粒物</w:t>
                  </w:r>
                </w:p>
              </w:tc>
              <w:tc>
                <w:tcPr>
                  <w:tcW w:w="480" w:type="pct"/>
                  <w:tcBorders>
                    <w:top w:val="single" w:color="auto" w:sz="4" w:space="0"/>
                    <w:left w:val="single" w:color="auto" w:sz="4" w:space="0"/>
                    <w:bottom w:val="single" w:color="auto" w:sz="4" w:space="0"/>
                    <w:right w:val="single" w:color="auto" w:sz="4" w:space="0"/>
                  </w:tcBorders>
                  <w:shd w:val="clear" w:color="auto" w:fill="auto"/>
                  <w:vAlign w:val="center"/>
                </w:tcPr>
                <w:p w14:paraId="64F85659">
                  <w:pPr>
                    <w:keepNext w:val="0"/>
                    <w:keepLines w:val="0"/>
                    <w:widowControl/>
                    <w:suppressLineNumbers w:val="0"/>
                    <w:jc w:val="center"/>
                    <w:textAlignment w:val="center"/>
                    <w:rPr>
                      <w:rFonts w:hint="default" w:ascii="Times New Roman" w:hAnsi="Times New Roman" w:eastAsia="等线" w:cs="Times New Roman"/>
                      <w:color w:val="000000" w:themeColor="text1"/>
                      <w:kern w:val="0"/>
                      <w:sz w:val="21"/>
                      <w:szCs w:val="21"/>
                      <w:u w:val="none"/>
                      <w:lang w:val="en-US" w:eastAsia="zh-CN" w:bidi="ar-SA"/>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0.285</w:t>
                  </w:r>
                </w:p>
              </w:tc>
              <w:tc>
                <w:tcPr>
                  <w:tcW w:w="580" w:type="pct"/>
                  <w:tcBorders>
                    <w:top w:val="single" w:color="auto" w:sz="4" w:space="0"/>
                    <w:left w:val="single" w:color="auto" w:sz="4" w:space="0"/>
                    <w:bottom w:val="single" w:color="auto" w:sz="4" w:space="0"/>
                    <w:right w:val="single" w:color="auto" w:sz="4" w:space="0"/>
                  </w:tcBorders>
                  <w:shd w:val="clear" w:color="auto" w:fill="auto"/>
                  <w:vAlign w:val="center"/>
                </w:tcPr>
                <w:p w14:paraId="2D28CABB">
                  <w:pPr>
                    <w:keepNext w:val="0"/>
                    <w:keepLines w:val="0"/>
                    <w:widowControl/>
                    <w:suppressLineNumbers w:val="0"/>
                    <w:jc w:val="center"/>
                    <w:textAlignment w:val="center"/>
                    <w:rPr>
                      <w:rFonts w:hint="default" w:ascii="Times New Roman" w:hAnsi="Times New Roman" w:eastAsia="等线" w:cs="Times New Roman"/>
                      <w:color w:val="000000" w:themeColor="text1"/>
                      <w:kern w:val="0"/>
                      <w:sz w:val="21"/>
                      <w:szCs w:val="21"/>
                      <w:u w:val="none"/>
                      <w:lang w:val="en-US" w:eastAsia="zh-CN" w:bidi="ar-SA"/>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0.079</w:t>
                  </w:r>
                </w:p>
              </w:tc>
              <w:tc>
                <w:tcPr>
                  <w:tcW w:w="580" w:type="pct"/>
                  <w:tcBorders>
                    <w:top w:val="single" w:color="auto" w:sz="4" w:space="0"/>
                    <w:left w:val="single" w:color="auto" w:sz="4" w:space="0"/>
                    <w:bottom w:val="single" w:color="auto" w:sz="4" w:space="0"/>
                    <w:right w:val="single" w:color="auto" w:sz="4" w:space="0"/>
                  </w:tcBorders>
                  <w:shd w:val="clear" w:color="auto" w:fill="auto"/>
                  <w:vAlign w:val="center"/>
                </w:tcPr>
                <w:p w14:paraId="05D590F5">
                  <w:pPr>
                    <w:keepNext w:val="0"/>
                    <w:keepLines w:val="0"/>
                    <w:widowControl/>
                    <w:suppressLineNumbers w:val="0"/>
                    <w:jc w:val="center"/>
                    <w:textAlignment w:val="center"/>
                    <w:rPr>
                      <w:rFonts w:hint="default" w:ascii="Times New Roman" w:hAnsi="Times New Roman" w:eastAsia="等线" w:cs="Times New Roman"/>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13.19</w:t>
                  </w:r>
                </w:p>
              </w:tc>
              <w:tc>
                <w:tcPr>
                  <w:tcW w:w="480" w:type="pct"/>
                  <w:vMerge w:val="continue"/>
                  <w:tcBorders>
                    <w:left w:val="single" w:color="auto" w:sz="4" w:space="0"/>
                    <w:bottom w:val="single" w:color="auto" w:sz="4" w:space="0"/>
                    <w:right w:val="single" w:color="auto" w:sz="4" w:space="0"/>
                  </w:tcBorders>
                  <w:shd w:val="clear" w:color="auto" w:fill="auto"/>
                  <w:vAlign w:val="center"/>
                </w:tcPr>
                <w:p w14:paraId="7AB3E3D1">
                  <w:pPr>
                    <w:pStyle w:val="61"/>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sz w:val="21"/>
                      <w:szCs w:val="21"/>
                      <w:u w:val="none"/>
                      <w:lang w:val="en-US" w:eastAsia="zh-CN"/>
                      <w14:textFill>
                        <w14:solidFill>
                          <w14:schemeClr w14:val="tx1"/>
                        </w14:solidFill>
                      </w14:textFill>
                    </w:rPr>
                  </w:pPr>
                </w:p>
              </w:tc>
              <w:tc>
                <w:tcPr>
                  <w:tcW w:w="480" w:type="pct"/>
                  <w:vMerge w:val="continue"/>
                  <w:tcBorders>
                    <w:left w:val="single" w:color="auto" w:sz="4" w:space="0"/>
                    <w:bottom w:val="single" w:color="auto" w:sz="4" w:space="0"/>
                    <w:right w:val="single" w:color="auto" w:sz="4" w:space="0"/>
                  </w:tcBorders>
                  <w:shd w:val="clear" w:color="auto" w:fill="auto"/>
                  <w:vAlign w:val="center"/>
                </w:tcPr>
                <w:p w14:paraId="7C4A6D3B">
                  <w:pPr>
                    <w:pStyle w:val="61"/>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eastAsia="等线" w:cs="Times New Roman"/>
                      <w:color w:val="000000" w:themeColor="text1"/>
                      <w:kern w:val="0"/>
                      <w:sz w:val="21"/>
                      <w:szCs w:val="21"/>
                      <w:u w:val="none"/>
                      <w:lang w:val="en-US" w:eastAsia="zh-CN" w:bidi="ar-SA"/>
                      <w14:textFill>
                        <w14:solidFill>
                          <w14:schemeClr w14:val="tx1"/>
                        </w14:solidFill>
                      </w14:textFill>
                    </w:rPr>
                  </w:pPr>
                </w:p>
              </w:tc>
              <w:tc>
                <w:tcPr>
                  <w:tcW w:w="480" w:type="pct"/>
                  <w:vMerge w:val="continue"/>
                  <w:tcBorders>
                    <w:left w:val="single" w:color="auto" w:sz="4" w:space="0"/>
                    <w:bottom w:val="single" w:color="auto" w:sz="4" w:space="0"/>
                    <w:right w:val="single" w:color="auto" w:sz="4" w:space="0"/>
                  </w:tcBorders>
                  <w:shd w:val="clear" w:color="auto" w:fill="auto"/>
                  <w:vAlign w:val="center"/>
                </w:tcPr>
                <w:p w14:paraId="593F6C3A">
                  <w:pPr>
                    <w:pStyle w:val="61"/>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eastAsia="等线" w:cs="Times New Roman"/>
                      <w:color w:val="000000" w:themeColor="text1"/>
                      <w:kern w:val="0"/>
                      <w:sz w:val="21"/>
                      <w:szCs w:val="21"/>
                      <w:u w:val="none"/>
                      <w:lang w:val="en-US" w:eastAsia="zh-CN" w:bidi="ar-SA"/>
                      <w14:textFill>
                        <w14:solidFill>
                          <w14:schemeClr w14:val="tx1"/>
                        </w14:solidFill>
                      </w14:textFill>
                    </w:rPr>
                  </w:pPr>
                </w:p>
              </w:tc>
              <w:tc>
                <w:tcPr>
                  <w:tcW w:w="480" w:type="pct"/>
                  <w:vMerge w:val="continue"/>
                  <w:tcBorders>
                    <w:left w:val="single" w:color="auto" w:sz="4" w:space="0"/>
                    <w:bottom w:val="single" w:color="auto" w:sz="4" w:space="0"/>
                    <w:right w:val="single" w:color="auto" w:sz="4" w:space="0"/>
                  </w:tcBorders>
                  <w:shd w:val="clear" w:color="auto" w:fill="auto"/>
                  <w:vAlign w:val="center"/>
                </w:tcPr>
                <w:p w14:paraId="291EDAFA">
                  <w:pPr>
                    <w:pStyle w:val="61"/>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eastAsia="等线" w:cs="Times New Roman"/>
                      <w:color w:val="000000" w:themeColor="text1"/>
                      <w:kern w:val="0"/>
                      <w:sz w:val="21"/>
                      <w:szCs w:val="21"/>
                      <w:u w:val="none"/>
                      <w:lang w:val="en-US" w:eastAsia="zh-CN" w:bidi="ar-SA"/>
                      <w14:textFill>
                        <w14:solidFill>
                          <w14:schemeClr w14:val="tx1"/>
                        </w14:solidFill>
                      </w14:textFill>
                    </w:rPr>
                  </w:pPr>
                </w:p>
              </w:tc>
            </w:tr>
            <w:tr w14:paraId="3696EFE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436" w:type="pct"/>
                  <w:gridSpan w:val="3"/>
                  <w:tcBorders>
                    <w:top w:val="single" w:color="auto" w:sz="4" w:space="0"/>
                    <w:left w:val="single" w:color="auto" w:sz="0" w:space="0"/>
                    <w:bottom w:val="single" w:color="auto" w:sz="4" w:space="0"/>
                    <w:right w:val="single" w:color="auto" w:sz="4" w:space="0"/>
                  </w:tcBorders>
                  <w:shd w:val="clear" w:color="auto" w:fill="auto"/>
                  <w:vAlign w:val="center"/>
                </w:tcPr>
                <w:p w14:paraId="65896CF8">
                  <w:pPr>
                    <w:pStyle w:val="61"/>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default" w:ascii="Times New Roman" w:hAnsi="Times New Roman" w:cs="Times New Roman"/>
                      <w:color w:val="000000" w:themeColor="text1"/>
                      <w:sz w:val="21"/>
                      <w:szCs w:val="21"/>
                      <w:u w:val="none"/>
                      <w:lang w:val="en-US" w:eastAsia="zh-CN"/>
                      <w14:textFill>
                        <w14:solidFill>
                          <w14:schemeClr w14:val="tx1"/>
                        </w14:solidFill>
                      </w14:textFill>
                    </w:rPr>
                    <w:t>合计</w:t>
                  </w:r>
                </w:p>
              </w:tc>
              <w:tc>
                <w:tcPr>
                  <w:tcW w:w="480" w:type="pct"/>
                  <w:tcBorders>
                    <w:top w:val="single" w:color="auto" w:sz="4" w:space="0"/>
                    <w:left w:val="single" w:color="auto" w:sz="4" w:space="0"/>
                    <w:bottom w:val="single" w:color="auto" w:sz="4" w:space="0"/>
                    <w:right w:val="single" w:color="auto" w:sz="4" w:space="0"/>
                  </w:tcBorders>
                  <w:shd w:val="clear" w:color="auto" w:fill="auto"/>
                  <w:vAlign w:val="center"/>
                </w:tcPr>
                <w:p w14:paraId="1DC18F5B">
                  <w:pPr>
                    <w:keepNext w:val="0"/>
                    <w:keepLines w:val="0"/>
                    <w:widowControl/>
                    <w:suppressLineNumbers w:val="0"/>
                    <w:jc w:val="center"/>
                    <w:textAlignment w:val="center"/>
                    <w:rPr>
                      <w:rFonts w:hint="default" w:ascii="Times New Roman" w:hAnsi="Times New Roman" w:eastAsia="等线" w:cs="Times New Roman"/>
                      <w:color w:val="000000" w:themeColor="text1"/>
                      <w:sz w:val="21"/>
                      <w:szCs w:val="21"/>
                      <w:highlight w:val="none"/>
                      <w:u w:val="none"/>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16.749</w:t>
                  </w:r>
                </w:p>
              </w:tc>
              <w:tc>
                <w:tcPr>
                  <w:tcW w:w="580" w:type="pct"/>
                  <w:tcBorders>
                    <w:top w:val="single" w:color="auto" w:sz="4" w:space="0"/>
                    <w:left w:val="single" w:color="auto" w:sz="4" w:space="0"/>
                    <w:bottom w:val="single" w:color="auto" w:sz="4" w:space="0"/>
                    <w:right w:val="single" w:color="auto" w:sz="4" w:space="0"/>
                  </w:tcBorders>
                  <w:shd w:val="clear" w:color="auto" w:fill="auto"/>
                  <w:vAlign w:val="center"/>
                </w:tcPr>
                <w:p w14:paraId="7FE755C1">
                  <w:pPr>
                    <w:keepNext w:val="0"/>
                    <w:keepLines w:val="0"/>
                    <w:widowControl/>
                    <w:suppressLineNumbers w:val="0"/>
                    <w:jc w:val="center"/>
                    <w:textAlignment w:val="center"/>
                    <w:rPr>
                      <w:rFonts w:hint="default" w:ascii="Times New Roman" w:hAnsi="Times New Roman" w:eastAsia="等线" w:cs="Times New Roman"/>
                      <w:color w:val="000000" w:themeColor="text1"/>
                      <w:kern w:val="0"/>
                      <w:sz w:val="21"/>
                      <w:szCs w:val="21"/>
                      <w:highlight w:val="none"/>
                      <w:u w:val="none"/>
                      <w:lang w:val="en-US" w:eastAsia="zh-CN" w:bidi="ar-SA"/>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4.653</w:t>
                  </w:r>
                </w:p>
              </w:tc>
              <w:tc>
                <w:tcPr>
                  <w:tcW w:w="580" w:type="pct"/>
                  <w:tcBorders>
                    <w:top w:val="single" w:color="auto" w:sz="4" w:space="0"/>
                    <w:left w:val="single" w:color="auto" w:sz="4" w:space="0"/>
                    <w:bottom w:val="single" w:color="auto" w:sz="4" w:space="0"/>
                    <w:right w:val="single" w:color="auto" w:sz="4" w:space="0"/>
                  </w:tcBorders>
                  <w:shd w:val="clear" w:color="auto" w:fill="auto"/>
                  <w:vAlign w:val="center"/>
                </w:tcPr>
                <w:p w14:paraId="7333D346">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775.50</w:t>
                  </w:r>
                </w:p>
              </w:tc>
              <w:tc>
                <w:tcPr>
                  <w:tcW w:w="480" w:type="pct"/>
                  <w:tcBorders>
                    <w:top w:val="single" w:color="auto" w:sz="4" w:space="0"/>
                    <w:left w:val="single" w:color="auto" w:sz="4" w:space="0"/>
                    <w:bottom w:val="single" w:color="auto" w:sz="4" w:space="0"/>
                    <w:right w:val="single" w:color="auto" w:sz="4" w:space="0"/>
                  </w:tcBorders>
                  <w:shd w:val="clear" w:color="auto" w:fill="auto"/>
                  <w:vAlign w:val="center"/>
                </w:tcPr>
                <w:p w14:paraId="288E64E6">
                  <w:pPr>
                    <w:pStyle w:val="61"/>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cs="Times New Roman"/>
                      <w:color w:val="000000" w:themeColor="text1"/>
                      <w:sz w:val="21"/>
                      <w:szCs w:val="21"/>
                      <w:u w:val="none"/>
                      <w:lang w:val="en-US" w:eastAsia="zh-CN"/>
                      <w14:textFill>
                        <w14:solidFill>
                          <w14:schemeClr w14:val="tx1"/>
                        </w14:solidFill>
                      </w14:textFill>
                    </w:rPr>
                  </w:pPr>
                  <w:r>
                    <w:rPr>
                      <w:rFonts w:hint="default" w:ascii="Times New Roman" w:hAnsi="Times New Roman" w:eastAsia="等线" w:cs="Times New Roman"/>
                      <w:color w:val="000000" w:themeColor="text1"/>
                      <w:sz w:val="21"/>
                      <w:szCs w:val="21"/>
                      <w:u w:val="none"/>
                      <w14:textFill>
                        <w14:solidFill>
                          <w14:schemeClr w14:val="tx1"/>
                        </w14:solidFill>
                      </w14:textFill>
                    </w:rPr>
                    <w:t>/</w:t>
                  </w:r>
                </w:p>
              </w:tc>
              <w:tc>
                <w:tcPr>
                  <w:tcW w:w="480" w:type="pct"/>
                  <w:tcBorders>
                    <w:top w:val="single" w:color="auto" w:sz="4" w:space="0"/>
                    <w:left w:val="single" w:color="auto" w:sz="4" w:space="0"/>
                    <w:bottom w:val="single" w:color="auto" w:sz="4" w:space="0"/>
                    <w:right w:val="single" w:color="auto" w:sz="4" w:space="0"/>
                  </w:tcBorders>
                  <w:shd w:val="clear" w:color="auto" w:fill="auto"/>
                  <w:vAlign w:val="center"/>
                </w:tcPr>
                <w:p w14:paraId="50C2FBA2">
                  <w:pPr>
                    <w:pStyle w:val="61"/>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eastAsia="等线" w:cs="Times New Roman"/>
                      <w:color w:val="000000" w:themeColor="text1"/>
                      <w:kern w:val="0"/>
                      <w:sz w:val="21"/>
                      <w:szCs w:val="21"/>
                      <w:u w:val="none"/>
                      <w:lang w:val="en-US" w:eastAsia="zh-CN" w:bidi="ar-SA"/>
                      <w14:textFill>
                        <w14:solidFill>
                          <w14:schemeClr w14:val="tx1"/>
                        </w14:solidFill>
                      </w14:textFill>
                    </w:rPr>
                  </w:pPr>
                  <w:r>
                    <w:rPr>
                      <w:rFonts w:hint="default" w:ascii="Times New Roman" w:hAnsi="Times New Roman" w:eastAsia="等线" w:cs="Times New Roman"/>
                      <w:color w:val="000000" w:themeColor="text1"/>
                      <w:kern w:val="0"/>
                      <w:sz w:val="21"/>
                      <w:szCs w:val="21"/>
                      <w:u w:val="none"/>
                      <w:lang w:val="en-US" w:eastAsia="zh-CN" w:bidi="ar-SA"/>
                      <w14:textFill>
                        <w14:solidFill>
                          <w14:schemeClr w14:val="tx1"/>
                        </w14:solidFill>
                      </w14:textFill>
                    </w:rPr>
                    <w:t>0.167</w:t>
                  </w:r>
                </w:p>
              </w:tc>
              <w:tc>
                <w:tcPr>
                  <w:tcW w:w="480" w:type="pct"/>
                  <w:tcBorders>
                    <w:top w:val="single" w:color="auto" w:sz="4" w:space="0"/>
                    <w:left w:val="single" w:color="auto" w:sz="4" w:space="0"/>
                    <w:bottom w:val="single" w:color="auto" w:sz="4" w:space="0"/>
                    <w:right w:val="single" w:color="auto" w:sz="4" w:space="0"/>
                  </w:tcBorders>
                  <w:shd w:val="clear" w:color="auto" w:fill="auto"/>
                  <w:vAlign w:val="center"/>
                </w:tcPr>
                <w:p w14:paraId="2F31BCA3">
                  <w:pPr>
                    <w:pStyle w:val="61"/>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eastAsia="等线" w:cs="Times New Roman"/>
                      <w:color w:val="000000" w:themeColor="text1"/>
                      <w:kern w:val="0"/>
                      <w:sz w:val="21"/>
                      <w:szCs w:val="21"/>
                      <w:u w:val="none"/>
                      <w:lang w:val="en-US" w:eastAsia="zh-CN" w:bidi="ar-SA"/>
                      <w14:textFill>
                        <w14:solidFill>
                          <w14:schemeClr w14:val="tx1"/>
                        </w14:solidFill>
                      </w14:textFill>
                    </w:rPr>
                  </w:pPr>
                  <w:r>
                    <w:rPr>
                      <w:rFonts w:hint="default" w:ascii="Times New Roman" w:hAnsi="Times New Roman" w:eastAsia="等线" w:cs="Times New Roman"/>
                      <w:color w:val="000000" w:themeColor="text1"/>
                      <w:kern w:val="0"/>
                      <w:sz w:val="21"/>
                      <w:szCs w:val="21"/>
                      <w:u w:val="none"/>
                      <w:lang w:val="en-US" w:eastAsia="zh-CN" w:bidi="ar-SA"/>
                      <w14:textFill>
                        <w14:solidFill>
                          <w14:schemeClr w14:val="tx1"/>
                        </w14:solidFill>
                      </w14:textFill>
                    </w:rPr>
                    <w:t>0.047</w:t>
                  </w:r>
                </w:p>
              </w:tc>
              <w:tc>
                <w:tcPr>
                  <w:tcW w:w="480" w:type="pct"/>
                  <w:tcBorders>
                    <w:top w:val="single" w:color="auto" w:sz="4" w:space="0"/>
                    <w:left w:val="single" w:color="auto" w:sz="4" w:space="0"/>
                    <w:bottom w:val="single" w:color="auto" w:sz="4" w:space="0"/>
                    <w:right w:val="single" w:color="auto" w:sz="4" w:space="0"/>
                  </w:tcBorders>
                  <w:shd w:val="clear" w:color="auto" w:fill="auto"/>
                  <w:vAlign w:val="center"/>
                </w:tcPr>
                <w:p w14:paraId="4E17A9CD">
                  <w:pPr>
                    <w:pStyle w:val="61"/>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eastAsia="等线" w:cs="Times New Roman"/>
                      <w:color w:val="000000" w:themeColor="text1"/>
                      <w:kern w:val="0"/>
                      <w:sz w:val="21"/>
                      <w:szCs w:val="21"/>
                      <w:u w:val="none"/>
                      <w:lang w:val="en-US" w:eastAsia="zh-CN" w:bidi="ar-SA"/>
                      <w14:textFill>
                        <w14:solidFill>
                          <w14:schemeClr w14:val="tx1"/>
                        </w14:solidFill>
                      </w14:textFill>
                    </w:rPr>
                  </w:pPr>
                  <w:r>
                    <w:rPr>
                      <w:rFonts w:hint="default" w:ascii="Times New Roman" w:hAnsi="Times New Roman" w:eastAsia="等线" w:cs="Times New Roman"/>
                      <w:color w:val="000000" w:themeColor="text1"/>
                      <w:kern w:val="0"/>
                      <w:sz w:val="21"/>
                      <w:szCs w:val="21"/>
                      <w:u w:val="none"/>
                      <w:lang w:val="en-US" w:eastAsia="zh-CN" w:bidi="ar-SA"/>
                      <w14:textFill>
                        <w14:solidFill>
                          <w14:schemeClr w14:val="tx1"/>
                        </w14:solidFill>
                      </w14:textFill>
                    </w:rPr>
                    <w:t>7.75</w:t>
                  </w:r>
                </w:p>
              </w:tc>
            </w:tr>
            <w:tr w14:paraId="38B95BD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302" w:type="pct"/>
                  <w:vMerge w:val="restart"/>
                  <w:tcBorders>
                    <w:top w:val="single" w:color="auto" w:sz="4" w:space="0"/>
                    <w:left w:val="single" w:color="auto" w:sz="0" w:space="0"/>
                    <w:right w:val="single" w:color="auto" w:sz="4" w:space="0"/>
                  </w:tcBorders>
                  <w:shd w:val="clear" w:color="auto" w:fill="auto"/>
                  <w:vAlign w:val="center"/>
                </w:tcPr>
                <w:p w14:paraId="4F0C8FF5">
                  <w:pPr>
                    <w:pStyle w:val="61"/>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cs="Times New Roman"/>
                      <w:color w:val="000000" w:themeColor="text1"/>
                      <w:sz w:val="21"/>
                      <w:szCs w:val="21"/>
                      <w:u w:val="none"/>
                      <w:lang w:val="en-US" w:eastAsia="zh-CN"/>
                      <w14:textFill>
                        <w14:solidFill>
                          <w14:schemeClr w14:val="tx1"/>
                        </w14:solidFill>
                      </w14:textFill>
                    </w:rPr>
                  </w:pPr>
                  <w:r>
                    <w:rPr>
                      <w:rFonts w:hint="default" w:ascii="Times New Roman" w:hAnsi="Times New Roman" w:cs="Times New Roman"/>
                      <w:color w:val="000000" w:themeColor="text1"/>
                      <w:sz w:val="21"/>
                      <w:szCs w:val="21"/>
                      <w:u w:val="none"/>
                      <w:lang w:val="en-US" w:eastAsia="zh-CN"/>
                      <w14:textFill>
                        <w14:solidFill>
                          <w14:schemeClr w14:val="tx1"/>
                        </w14:solidFill>
                      </w14:textFill>
                    </w:rPr>
                    <w:t>无组织</w:t>
                  </w:r>
                </w:p>
              </w:tc>
              <w:tc>
                <w:tcPr>
                  <w:tcW w:w="653" w:type="pct"/>
                  <w:tcBorders>
                    <w:top w:val="single" w:color="auto" w:sz="4" w:space="0"/>
                    <w:left w:val="single" w:color="auto" w:sz="0" w:space="0"/>
                    <w:bottom w:val="single" w:color="auto" w:sz="4" w:space="0"/>
                    <w:right w:val="single" w:color="auto" w:sz="4" w:space="0"/>
                  </w:tcBorders>
                  <w:shd w:val="clear" w:color="auto" w:fill="auto"/>
                  <w:vAlign w:val="center"/>
                </w:tcPr>
                <w:p w14:paraId="012A96B7">
                  <w:pPr>
                    <w:pStyle w:val="61"/>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color w:val="000000" w:themeColor="text1"/>
                      <w:kern w:val="0"/>
                      <w:sz w:val="21"/>
                      <w:szCs w:val="21"/>
                      <w:u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u w:val="none"/>
                      <w:lang w:val="en-US" w:eastAsia="zh-CN"/>
                      <w14:textFill>
                        <w14:solidFill>
                          <w14:schemeClr w14:val="tx1"/>
                        </w14:solidFill>
                      </w14:textFill>
                    </w:rPr>
                    <w:t>破碎工序</w:t>
                  </w:r>
                </w:p>
              </w:tc>
              <w:tc>
                <w:tcPr>
                  <w:tcW w:w="480" w:type="pct"/>
                  <w:tcBorders>
                    <w:top w:val="single" w:color="auto" w:sz="4" w:space="0"/>
                    <w:left w:val="single" w:color="auto" w:sz="0" w:space="0"/>
                    <w:bottom w:val="single" w:color="auto" w:sz="4" w:space="0"/>
                    <w:right w:val="single" w:color="auto" w:sz="4" w:space="0"/>
                  </w:tcBorders>
                  <w:shd w:val="clear" w:color="auto" w:fill="auto"/>
                  <w:vAlign w:val="center"/>
                </w:tcPr>
                <w:p w14:paraId="08013DEB">
                  <w:pPr>
                    <w:pStyle w:val="61"/>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color w:val="000000" w:themeColor="text1"/>
                      <w:kern w:val="0"/>
                      <w:sz w:val="21"/>
                      <w:szCs w:val="21"/>
                      <w:u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bidi="ar-SA"/>
                      <w14:textFill>
                        <w14:solidFill>
                          <w14:schemeClr w14:val="tx1"/>
                        </w14:solidFill>
                      </w14:textFill>
                    </w:rPr>
                    <w:t>颗粒物</w:t>
                  </w:r>
                </w:p>
              </w:tc>
              <w:tc>
                <w:tcPr>
                  <w:tcW w:w="480" w:type="pct"/>
                  <w:tcBorders>
                    <w:top w:val="single" w:color="auto" w:sz="4" w:space="0"/>
                    <w:left w:val="single" w:color="auto" w:sz="4" w:space="0"/>
                    <w:bottom w:val="single" w:color="auto" w:sz="4" w:space="0"/>
                    <w:right w:val="single" w:color="auto" w:sz="4" w:space="0"/>
                  </w:tcBorders>
                  <w:shd w:val="clear" w:color="auto" w:fill="auto"/>
                  <w:vAlign w:val="center"/>
                </w:tcPr>
                <w:p w14:paraId="4AE4FB5F">
                  <w:pPr>
                    <w:keepNext w:val="0"/>
                    <w:keepLines w:val="0"/>
                    <w:widowControl/>
                    <w:suppressLineNumbers w:val="0"/>
                    <w:jc w:val="center"/>
                    <w:textAlignment w:val="center"/>
                    <w:rPr>
                      <w:rFonts w:hint="default" w:ascii="Times New Roman" w:hAnsi="Times New Roman" w:eastAsia="等线" w:cs="Times New Roman"/>
                      <w:color w:val="000000" w:themeColor="text1"/>
                      <w:kern w:val="0"/>
                      <w:sz w:val="21"/>
                      <w:szCs w:val="21"/>
                      <w:u w:val="none"/>
                      <w:lang w:val="en-US" w:eastAsia="zh-CN" w:bidi="ar-SA"/>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0.388</w:t>
                  </w:r>
                </w:p>
              </w:tc>
              <w:tc>
                <w:tcPr>
                  <w:tcW w:w="580" w:type="pct"/>
                  <w:tcBorders>
                    <w:top w:val="single" w:color="auto" w:sz="4" w:space="0"/>
                    <w:left w:val="single" w:color="auto" w:sz="4" w:space="0"/>
                    <w:bottom w:val="single" w:color="auto" w:sz="4" w:space="0"/>
                    <w:right w:val="single" w:color="auto" w:sz="4" w:space="0"/>
                  </w:tcBorders>
                  <w:shd w:val="clear" w:color="auto" w:fill="auto"/>
                  <w:vAlign w:val="center"/>
                </w:tcPr>
                <w:p w14:paraId="609B48D6">
                  <w:pPr>
                    <w:keepNext w:val="0"/>
                    <w:keepLines w:val="0"/>
                    <w:widowControl/>
                    <w:suppressLineNumbers w:val="0"/>
                    <w:jc w:val="center"/>
                    <w:textAlignment w:val="center"/>
                    <w:rPr>
                      <w:rFonts w:hint="default" w:ascii="Times New Roman" w:hAnsi="Times New Roman" w:eastAsia="等线" w:cs="Times New Roman"/>
                      <w:color w:val="000000" w:themeColor="text1"/>
                      <w:kern w:val="0"/>
                      <w:sz w:val="21"/>
                      <w:szCs w:val="21"/>
                      <w:u w:val="none"/>
                      <w:lang w:val="en-US" w:eastAsia="zh-CN" w:bidi="ar-SA"/>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0.108</w:t>
                  </w:r>
                </w:p>
              </w:tc>
              <w:tc>
                <w:tcPr>
                  <w:tcW w:w="580" w:type="pct"/>
                  <w:tcBorders>
                    <w:top w:val="single" w:color="auto" w:sz="4" w:space="0"/>
                    <w:left w:val="single" w:color="auto" w:sz="4" w:space="0"/>
                    <w:bottom w:val="single" w:color="auto" w:sz="4" w:space="0"/>
                    <w:right w:val="single" w:color="auto" w:sz="4" w:space="0"/>
                  </w:tcBorders>
                  <w:shd w:val="clear" w:color="auto" w:fill="auto"/>
                  <w:vAlign w:val="center"/>
                </w:tcPr>
                <w:p w14:paraId="39BCAEAE">
                  <w:pPr>
                    <w:pStyle w:val="61"/>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eastAsia="等线" w:cs="Times New Roman"/>
                      <w:color w:val="000000" w:themeColor="text1"/>
                      <w:kern w:val="0"/>
                      <w:sz w:val="21"/>
                      <w:szCs w:val="21"/>
                      <w:u w:val="none"/>
                      <w:lang w:val="en-US" w:eastAsia="zh-CN" w:bidi="ar-SA"/>
                      <w14:textFill>
                        <w14:solidFill>
                          <w14:schemeClr w14:val="tx1"/>
                        </w14:solidFill>
                      </w14:textFill>
                    </w:rPr>
                  </w:pPr>
                  <w:r>
                    <w:rPr>
                      <w:rFonts w:hint="default" w:ascii="Times New Roman" w:hAnsi="Times New Roman" w:eastAsia="等线" w:cs="Times New Roman"/>
                      <w:color w:val="000000" w:themeColor="text1"/>
                      <w:sz w:val="21"/>
                      <w:szCs w:val="21"/>
                      <w:u w:val="none"/>
                      <w14:textFill>
                        <w14:solidFill>
                          <w14:schemeClr w14:val="tx1"/>
                        </w14:solidFill>
                      </w14:textFill>
                    </w:rPr>
                    <w:t>/</w:t>
                  </w:r>
                </w:p>
              </w:tc>
              <w:tc>
                <w:tcPr>
                  <w:tcW w:w="480" w:type="pct"/>
                  <w:tcBorders>
                    <w:top w:val="single" w:color="auto" w:sz="4" w:space="0"/>
                    <w:left w:val="single" w:color="auto" w:sz="4" w:space="0"/>
                    <w:bottom w:val="single" w:color="auto" w:sz="4" w:space="0"/>
                    <w:right w:val="single" w:color="auto" w:sz="4" w:space="0"/>
                  </w:tcBorders>
                  <w:shd w:val="clear" w:color="auto" w:fill="auto"/>
                  <w:vAlign w:val="center"/>
                </w:tcPr>
                <w:p w14:paraId="28B5CB8A">
                  <w:pPr>
                    <w:pStyle w:val="61"/>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eastAsia="等线" w:cs="Times New Roman"/>
                      <w:color w:val="000000" w:themeColor="text1"/>
                      <w:kern w:val="0"/>
                      <w:sz w:val="21"/>
                      <w:szCs w:val="21"/>
                      <w:u w:val="none"/>
                      <w:lang w:val="en-US" w:eastAsia="zh-CN" w:bidi="ar-SA"/>
                      <w14:textFill>
                        <w14:solidFill>
                          <w14:schemeClr w14:val="tx1"/>
                        </w14:solidFill>
                      </w14:textFill>
                    </w:rPr>
                  </w:pPr>
                  <w:r>
                    <w:rPr>
                      <w:rFonts w:hint="default" w:ascii="Times New Roman" w:hAnsi="Times New Roman" w:eastAsia="等线" w:cs="Times New Roman"/>
                      <w:color w:val="000000" w:themeColor="text1"/>
                      <w:sz w:val="21"/>
                      <w:szCs w:val="21"/>
                      <w:u w:val="none"/>
                      <w14:textFill>
                        <w14:solidFill>
                          <w14:schemeClr w14:val="tx1"/>
                        </w14:solidFill>
                      </w14:textFill>
                    </w:rPr>
                    <w:t>/</w:t>
                  </w:r>
                </w:p>
              </w:tc>
              <w:tc>
                <w:tcPr>
                  <w:tcW w:w="480" w:type="pct"/>
                  <w:tcBorders>
                    <w:top w:val="single" w:color="auto" w:sz="4" w:space="0"/>
                    <w:left w:val="single" w:color="auto" w:sz="4" w:space="0"/>
                    <w:bottom w:val="single" w:color="auto" w:sz="4" w:space="0"/>
                    <w:right w:val="single" w:color="auto" w:sz="4" w:space="0"/>
                  </w:tcBorders>
                  <w:shd w:val="clear" w:color="auto" w:fill="auto"/>
                  <w:vAlign w:val="center"/>
                </w:tcPr>
                <w:p w14:paraId="634BB844">
                  <w:pPr>
                    <w:keepNext w:val="0"/>
                    <w:keepLines w:val="0"/>
                    <w:widowControl/>
                    <w:suppressLineNumbers w:val="0"/>
                    <w:jc w:val="center"/>
                    <w:textAlignment w:val="center"/>
                    <w:rPr>
                      <w:rFonts w:hint="default" w:ascii="Times New Roman" w:hAnsi="Times New Roman" w:eastAsia="等线" w:cs="Times New Roman"/>
                      <w:color w:val="000000" w:themeColor="text1"/>
                      <w:kern w:val="0"/>
                      <w:sz w:val="21"/>
                      <w:szCs w:val="21"/>
                      <w:u w:val="none"/>
                      <w:lang w:val="en-US" w:eastAsia="zh-CN" w:bidi="ar-SA"/>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0.388</w:t>
                  </w:r>
                </w:p>
              </w:tc>
              <w:tc>
                <w:tcPr>
                  <w:tcW w:w="480" w:type="pct"/>
                  <w:tcBorders>
                    <w:top w:val="single" w:color="auto" w:sz="4" w:space="0"/>
                    <w:left w:val="single" w:color="auto" w:sz="4" w:space="0"/>
                    <w:bottom w:val="single" w:color="auto" w:sz="4" w:space="0"/>
                    <w:right w:val="single" w:color="auto" w:sz="4" w:space="0"/>
                  </w:tcBorders>
                  <w:shd w:val="clear" w:color="auto" w:fill="auto"/>
                  <w:vAlign w:val="center"/>
                </w:tcPr>
                <w:p w14:paraId="3BE28C40">
                  <w:pPr>
                    <w:keepNext w:val="0"/>
                    <w:keepLines w:val="0"/>
                    <w:widowControl/>
                    <w:suppressLineNumbers w:val="0"/>
                    <w:jc w:val="center"/>
                    <w:textAlignment w:val="center"/>
                    <w:rPr>
                      <w:rFonts w:hint="default" w:ascii="Times New Roman" w:hAnsi="Times New Roman" w:eastAsia="等线" w:cs="Times New Roman"/>
                      <w:color w:val="000000" w:themeColor="text1"/>
                      <w:kern w:val="0"/>
                      <w:sz w:val="21"/>
                      <w:szCs w:val="21"/>
                      <w:u w:val="none"/>
                      <w:lang w:val="en-US" w:eastAsia="zh-CN" w:bidi="ar-SA"/>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0.108</w:t>
                  </w:r>
                </w:p>
              </w:tc>
              <w:tc>
                <w:tcPr>
                  <w:tcW w:w="480" w:type="pct"/>
                  <w:tcBorders>
                    <w:top w:val="single" w:color="auto" w:sz="4" w:space="0"/>
                    <w:left w:val="single" w:color="auto" w:sz="4" w:space="0"/>
                    <w:bottom w:val="single" w:color="auto" w:sz="4" w:space="0"/>
                    <w:right w:val="single" w:color="auto" w:sz="4" w:space="0"/>
                  </w:tcBorders>
                  <w:shd w:val="clear" w:color="auto" w:fill="auto"/>
                  <w:vAlign w:val="center"/>
                </w:tcPr>
                <w:p w14:paraId="6DE9539D">
                  <w:pPr>
                    <w:pStyle w:val="61"/>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eastAsia="等线" w:cs="Times New Roman"/>
                      <w:color w:val="000000" w:themeColor="text1"/>
                      <w:kern w:val="0"/>
                      <w:sz w:val="21"/>
                      <w:szCs w:val="21"/>
                      <w:u w:val="none"/>
                      <w:lang w:val="en-US" w:eastAsia="zh-CN" w:bidi="ar-SA"/>
                      <w14:textFill>
                        <w14:solidFill>
                          <w14:schemeClr w14:val="tx1"/>
                        </w14:solidFill>
                      </w14:textFill>
                    </w:rPr>
                  </w:pPr>
                  <w:r>
                    <w:rPr>
                      <w:rFonts w:hint="default" w:ascii="Times New Roman" w:hAnsi="Times New Roman" w:eastAsia="等线" w:cs="Times New Roman"/>
                      <w:color w:val="000000" w:themeColor="text1"/>
                      <w:sz w:val="21"/>
                      <w:szCs w:val="21"/>
                      <w:u w:val="none"/>
                      <w14:textFill>
                        <w14:solidFill>
                          <w14:schemeClr w14:val="tx1"/>
                        </w14:solidFill>
                      </w14:textFill>
                    </w:rPr>
                    <w:t>/</w:t>
                  </w:r>
                </w:p>
              </w:tc>
            </w:tr>
            <w:tr w14:paraId="3E4E675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302" w:type="pct"/>
                  <w:vMerge w:val="continue"/>
                  <w:tcBorders>
                    <w:left w:val="single" w:color="auto" w:sz="0" w:space="0"/>
                    <w:right w:val="single" w:color="auto" w:sz="4" w:space="0"/>
                  </w:tcBorders>
                  <w:shd w:val="clear" w:color="auto" w:fill="auto"/>
                  <w:vAlign w:val="center"/>
                </w:tcPr>
                <w:p w14:paraId="7794F10C">
                  <w:pPr>
                    <w:pStyle w:val="61"/>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cs="Times New Roman"/>
                      <w:color w:val="000000" w:themeColor="text1"/>
                      <w:sz w:val="21"/>
                      <w:szCs w:val="21"/>
                      <w:u w:val="none"/>
                      <w:lang w:val="en-US" w:eastAsia="zh-CN"/>
                      <w14:textFill>
                        <w14:solidFill>
                          <w14:schemeClr w14:val="tx1"/>
                        </w14:solidFill>
                      </w14:textFill>
                    </w:rPr>
                  </w:pPr>
                </w:p>
              </w:tc>
              <w:tc>
                <w:tcPr>
                  <w:tcW w:w="653" w:type="pct"/>
                  <w:tcBorders>
                    <w:top w:val="single" w:color="auto" w:sz="4" w:space="0"/>
                    <w:left w:val="single" w:color="auto" w:sz="0" w:space="0"/>
                    <w:bottom w:val="single" w:color="auto" w:sz="4" w:space="0"/>
                    <w:right w:val="single" w:color="auto" w:sz="4" w:space="0"/>
                  </w:tcBorders>
                  <w:shd w:val="clear" w:color="auto" w:fill="auto"/>
                  <w:vAlign w:val="center"/>
                </w:tcPr>
                <w:p w14:paraId="429C3A4A">
                  <w:pPr>
                    <w:pStyle w:val="61"/>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color w:val="000000" w:themeColor="text1"/>
                      <w:kern w:val="0"/>
                      <w:sz w:val="21"/>
                      <w:szCs w:val="21"/>
                      <w:u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u w:val="none"/>
                      <w:lang w:val="en-US" w:eastAsia="zh-CN"/>
                      <w14:textFill>
                        <w14:solidFill>
                          <w14:schemeClr w14:val="tx1"/>
                        </w14:solidFill>
                      </w14:textFill>
                    </w:rPr>
                    <w:t>筛分工序</w:t>
                  </w:r>
                </w:p>
              </w:tc>
              <w:tc>
                <w:tcPr>
                  <w:tcW w:w="480" w:type="pct"/>
                  <w:tcBorders>
                    <w:top w:val="single" w:color="auto" w:sz="4" w:space="0"/>
                    <w:left w:val="single" w:color="auto" w:sz="0" w:space="0"/>
                    <w:bottom w:val="single" w:color="auto" w:sz="4" w:space="0"/>
                    <w:right w:val="single" w:color="auto" w:sz="4" w:space="0"/>
                  </w:tcBorders>
                  <w:shd w:val="clear" w:color="auto" w:fill="auto"/>
                  <w:vAlign w:val="center"/>
                </w:tcPr>
                <w:p w14:paraId="00B7A932">
                  <w:pPr>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color w:val="000000" w:themeColor="text1"/>
                      <w:kern w:val="0"/>
                      <w:sz w:val="21"/>
                      <w:szCs w:val="21"/>
                      <w:u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bidi="ar-SA"/>
                      <w14:textFill>
                        <w14:solidFill>
                          <w14:schemeClr w14:val="tx1"/>
                        </w14:solidFill>
                      </w14:textFill>
                    </w:rPr>
                    <w:t>颗粒物</w:t>
                  </w:r>
                </w:p>
              </w:tc>
              <w:tc>
                <w:tcPr>
                  <w:tcW w:w="480" w:type="pct"/>
                  <w:tcBorders>
                    <w:top w:val="single" w:color="auto" w:sz="4" w:space="0"/>
                    <w:left w:val="single" w:color="auto" w:sz="4" w:space="0"/>
                    <w:bottom w:val="single" w:color="auto" w:sz="4" w:space="0"/>
                    <w:right w:val="single" w:color="auto" w:sz="4" w:space="0"/>
                  </w:tcBorders>
                  <w:shd w:val="clear" w:color="auto" w:fill="auto"/>
                  <w:vAlign w:val="center"/>
                </w:tcPr>
                <w:p w14:paraId="7A1B0EA4">
                  <w:pPr>
                    <w:keepNext w:val="0"/>
                    <w:keepLines w:val="0"/>
                    <w:widowControl/>
                    <w:suppressLineNumbers w:val="0"/>
                    <w:jc w:val="center"/>
                    <w:textAlignment w:val="center"/>
                    <w:rPr>
                      <w:rFonts w:hint="default" w:ascii="Times New Roman" w:hAnsi="Times New Roman" w:eastAsia="等线" w:cs="Times New Roman"/>
                      <w:color w:val="000000" w:themeColor="text1"/>
                      <w:kern w:val="0"/>
                      <w:sz w:val="21"/>
                      <w:szCs w:val="21"/>
                      <w:u w:val="none"/>
                      <w:lang w:val="en-US" w:eastAsia="zh-CN" w:bidi="ar-SA"/>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0.388</w:t>
                  </w:r>
                </w:p>
              </w:tc>
              <w:tc>
                <w:tcPr>
                  <w:tcW w:w="580" w:type="pct"/>
                  <w:tcBorders>
                    <w:top w:val="single" w:color="auto" w:sz="4" w:space="0"/>
                    <w:left w:val="single" w:color="auto" w:sz="4" w:space="0"/>
                    <w:bottom w:val="single" w:color="auto" w:sz="4" w:space="0"/>
                    <w:right w:val="single" w:color="auto" w:sz="4" w:space="0"/>
                  </w:tcBorders>
                  <w:shd w:val="clear" w:color="auto" w:fill="auto"/>
                  <w:vAlign w:val="center"/>
                </w:tcPr>
                <w:p w14:paraId="443BF5A9">
                  <w:pPr>
                    <w:keepNext w:val="0"/>
                    <w:keepLines w:val="0"/>
                    <w:widowControl/>
                    <w:suppressLineNumbers w:val="0"/>
                    <w:jc w:val="center"/>
                    <w:textAlignment w:val="center"/>
                    <w:rPr>
                      <w:rFonts w:hint="default" w:ascii="Times New Roman" w:hAnsi="Times New Roman" w:eastAsia="等线" w:cs="Times New Roman"/>
                      <w:color w:val="000000" w:themeColor="text1"/>
                      <w:kern w:val="0"/>
                      <w:sz w:val="21"/>
                      <w:szCs w:val="21"/>
                      <w:u w:val="none"/>
                      <w:lang w:val="en-US" w:eastAsia="zh-CN" w:bidi="ar-SA"/>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0.108</w:t>
                  </w:r>
                </w:p>
              </w:tc>
              <w:tc>
                <w:tcPr>
                  <w:tcW w:w="580" w:type="pct"/>
                  <w:tcBorders>
                    <w:top w:val="single" w:color="auto" w:sz="4" w:space="0"/>
                    <w:left w:val="single" w:color="auto" w:sz="4" w:space="0"/>
                    <w:bottom w:val="single" w:color="auto" w:sz="4" w:space="0"/>
                    <w:right w:val="single" w:color="auto" w:sz="4" w:space="0"/>
                  </w:tcBorders>
                  <w:shd w:val="clear" w:color="auto" w:fill="auto"/>
                  <w:vAlign w:val="center"/>
                </w:tcPr>
                <w:p w14:paraId="09B435AC">
                  <w:pPr>
                    <w:pStyle w:val="61"/>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eastAsia="等线" w:cs="Times New Roman"/>
                      <w:color w:val="000000" w:themeColor="text1"/>
                      <w:kern w:val="0"/>
                      <w:sz w:val="21"/>
                      <w:szCs w:val="21"/>
                      <w:u w:val="none"/>
                      <w:lang w:val="en-US" w:eastAsia="zh-CN" w:bidi="ar-SA"/>
                      <w14:textFill>
                        <w14:solidFill>
                          <w14:schemeClr w14:val="tx1"/>
                        </w14:solidFill>
                      </w14:textFill>
                    </w:rPr>
                  </w:pPr>
                  <w:r>
                    <w:rPr>
                      <w:rFonts w:hint="default" w:ascii="Times New Roman" w:hAnsi="Times New Roman" w:eastAsia="等线" w:cs="Times New Roman"/>
                      <w:color w:val="000000" w:themeColor="text1"/>
                      <w:sz w:val="21"/>
                      <w:szCs w:val="21"/>
                      <w:u w:val="none"/>
                      <w14:textFill>
                        <w14:solidFill>
                          <w14:schemeClr w14:val="tx1"/>
                        </w14:solidFill>
                      </w14:textFill>
                    </w:rPr>
                    <w:t>/</w:t>
                  </w:r>
                </w:p>
              </w:tc>
              <w:tc>
                <w:tcPr>
                  <w:tcW w:w="480" w:type="pct"/>
                  <w:tcBorders>
                    <w:top w:val="single" w:color="auto" w:sz="4" w:space="0"/>
                    <w:left w:val="single" w:color="auto" w:sz="4" w:space="0"/>
                    <w:bottom w:val="single" w:color="auto" w:sz="4" w:space="0"/>
                    <w:right w:val="single" w:color="auto" w:sz="4" w:space="0"/>
                  </w:tcBorders>
                  <w:shd w:val="clear" w:color="auto" w:fill="auto"/>
                  <w:vAlign w:val="center"/>
                </w:tcPr>
                <w:p w14:paraId="5E7839F8">
                  <w:pPr>
                    <w:pStyle w:val="61"/>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eastAsia="等线" w:cs="Times New Roman"/>
                      <w:color w:val="000000" w:themeColor="text1"/>
                      <w:kern w:val="0"/>
                      <w:sz w:val="21"/>
                      <w:szCs w:val="21"/>
                      <w:u w:val="none"/>
                      <w:lang w:val="en-US" w:eastAsia="zh-CN" w:bidi="ar-SA"/>
                      <w14:textFill>
                        <w14:solidFill>
                          <w14:schemeClr w14:val="tx1"/>
                        </w14:solidFill>
                      </w14:textFill>
                    </w:rPr>
                  </w:pPr>
                  <w:r>
                    <w:rPr>
                      <w:rFonts w:hint="default" w:ascii="Times New Roman" w:hAnsi="Times New Roman" w:eastAsia="等线" w:cs="Times New Roman"/>
                      <w:color w:val="000000" w:themeColor="text1"/>
                      <w:sz w:val="21"/>
                      <w:szCs w:val="21"/>
                      <w:u w:val="none"/>
                      <w14:textFill>
                        <w14:solidFill>
                          <w14:schemeClr w14:val="tx1"/>
                        </w14:solidFill>
                      </w14:textFill>
                    </w:rPr>
                    <w:t>/</w:t>
                  </w:r>
                </w:p>
              </w:tc>
              <w:tc>
                <w:tcPr>
                  <w:tcW w:w="480" w:type="pct"/>
                  <w:tcBorders>
                    <w:top w:val="single" w:color="auto" w:sz="4" w:space="0"/>
                    <w:left w:val="single" w:color="auto" w:sz="4" w:space="0"/>
                    <w:bottom w:val="single" w:color="auto" w:sz="4" w:space="0"/>
                    <w:right w:val="single" w:color="auto" w:sz="4" w:space="0"/>
                  </w:tcBorders>
                  <w:shd w:val="clear" w:color="auto" w:fill="auto"/>
                  <w:vAlign w:val="center"/>
                </w:tcPr>
                <w:p w14:paraId="4289750D">
                  <w:pPr>
                    <w:keepNext w:val="0"/>
                    <w:keepLines w:val="0"/>
                    <w:widowControl/>
                    <w:suppressLineNumbers w:val="0"/>
                    <w:jc w:val="center"/>
                    <w:textAlignment w:val="center"/>
                    <w:rPr>
                      <w:rFonts w:hint="default" w:ascii="Times New Roman" w:hAnsi="Times New Roman" w:eastAsia="等线" w:cs="Times New Roman"/>
                      <w:color w:val="000000" w:themeColor="text1"/>
                      <w:kern w:val="0"/>
                      <w:sz w:val="21"/>
                      <w:szCs w:val="21"/>
                      <w:u w:val="none"/>
                      <w:lang w:val="en-US" w:eastAsia="zh-CN" w:bidi="ar-SA"/>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0.388</w:t>
                  </w:r>
                </w:p>
              </w:tc>
              <w:tc>
                <w:tcPr>
                  <w:tcW w:w="480" w:type="pct"/>
                  <w:tcBorders>
                    <w:top w:val="single" w:color="auto" w:sz="4" w:space="0"/>
                    <w:left w:val="single" w:color="auto" w:sz="4" w:space="0"/>
                    <w:bottom w:val="single" w:color="auto" w:sz="4" w:space="0"/>
                    <w:right w:val="single" w:color="auto" w:sz="4" w:space="0"/>
                  </w:tcBorders>
                  <w:shd w:val="clear" w:color="auto" w:fill="auto"/>
                  <w:vAlign w:val="center"/>
                </w:tcPr>
                <w:p w14:paraId="36CF3537">
                  <w:pPr>
                    <w:keepNext w:val="0"/>
                    <w:keepLines w:val="0"/>
                    <w:widowControl/>
                    <w:suppressLineNumbers w:val="0"/>
                    <w:jc w:val="center"/>
                    <w:textAlignment w:val="center"/>
                    <w:rPr>
                      <w:rFonts w:hint="default" w:ascii="Times New Roman" w:hAnsi="Times New Roman" w:eastAsia="等线" w:cs="Times New Roman"/>
                      <w:color w:val="000000" w:themeColor="text1"/>
                      <w:kern w:val="0"/>
                      <w:sz w:val="21"/>
                      <w:szCs w:val="21"/>
                      <w:u w:val="none"/>
                      <w:lang w:val="en-US" w:eastAsia="zh-CN" w:bidi="ar-SA"/>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0.108</w:t>
                  </w:r>
                </w:p>
              </w:tc>
              <w:tc>
                <w:tcPr>
                  <w:tcW w:w="480" w:type="pct"/>
                  <w:tcBorders>
                    <w:top w:val="single" w:color="auto" w:sz="4" w:space="0"/>
                    <w:left w:val="single" w:color="auto" w:sz="4" w:space="0"/>
                    <w:bottom w:val="single" w:color="auto" w:sz="4" w:space="0"/>
                    <w:right w:val="single" w:color="auto" w:sz="4" w:space="0"/>
                  </w:tcBorders>
                  <w:shd w:val="clear" w:color="auto" w:fill="auto"/>
                  <w:vAlign w:val="center"/>
                </w:tcPr>
                <w:p w14:paraId="5BB98802">
                  <w:pPr>
                    <w:pStyle w:val="61"/>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eastAsia="等线" w:cs="Times New Roman"/>
                      <w:color w:val="000000" w:themeColor="text1"/>
                      <w:kern w:val="0"/>
                      <w:sz w:val="21"/>
                      <w:szCs w:val="21"/>
                      <w:u w:val="none"/>
                      <w:lang w:val="en-US" w:eastAsia="zh-CN" w:bidi="ar-SA"/>
                      <w14:textFill>
                        <w14:solidFill>
                          <w14:schemeClr w14:val="tx1"/>
                        </w14:solidFill>
                      </w14:textFill>
                    </w:rPr>
                  </w:pPr>
                  <w:r>
                    <w:rPr>
                      <w:rFonts w:hint="default" w:ascii="Times New Roman" w:hAnsi="Times New Roman" w:eastAsia="等线" w:cs="Times New Roman"/>
                      <w:color w:val="000000" w:themeColor="text1"/>
                      <w:sz w:val="21"/>
                      <w:szCs w:val="21"/>
                      <w:u w:val="none"/>
                      <w14:textFill>
                        <w14:solidFill>
                          <w14:schemeClr w14:val="tx1"/>
                        </w14:solidFill>
                      </w14:textFill>
                    </w:rPr>
                    <w:t>/</w:t>
                  </w:r>
                </w:p>
              </w:tc>
            </w:tr>
            <w:tr w14:paraId="751C258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302" w:type="pct"/>
                  <w:vMerge w:val="continue"/>
                  <w:tcBorders>
                    <w:left w:val="single" w:color="auto" w:sz="0" w:space="0"/>
                    <w:right w:val="single" w:color="auto" w:sz="4" w:space="0"/>
                  </w:tcBorders>
                  <w:shd w:val="clear" w:color="auto" w:fill="auto"/>
                  <w:vAlign w:val="center"/>
                </w:tcPr>
                <w:p w14:paraId="794B5C84">
                  <w:pPr>
                    <w:pStyle w:val="61"/>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cs="Times New Roman"/>
                      <w:b w:val="0"/>
                      <w:bCs/>
                      <w:color w:val="000000" w:themeColor="text1"/>
                      <w:sz w:val="21"/>
                      <w:szCs w:val="21"/>
                      <w:highlight w:val="none"/>
                      <w:u w:val="none"/>
                      <w:lang w:val="en-US" w:eastAsia="zh-CN"/>
                      <w14:textFill>
                        <w14:solidFill>
                          <w14:schemeClr w14:val="tx1"/>
                        </w14:solidFill>
                      </w14:textFill>
                    </w:rPr>
                  </w:pPr>
                </w:p>
              </w:tc>
              <w:tc>
                <w:tcPr>
                  <w:tcW w:w="653" w:type="pct"/>
                  <w:tcBorders>
                    <w:top w:val="single" w:color="auto" w:sz="4" w:space="0"/>
                    <w:left w:val="single" w:color="auto" w:sz="0" w:space="0"/>
                    <w:bottom w:val="single" w:color="auto" w:sz="4" w:space="0"/>
                    <w:right w:val="single" w:color="auto" w:sz="4" w:space="0"/>
                  </w:tcBorders>
                  <w:shd w:val="clear" w:color="auto" w:fill="auto"/>
                  <w:vAlign w:val="center"/>
                </w:tcPr>
                <w:p w14:paraId="3CBB6FCE">
                  <w:pPr>
                    <w:pStyle w:val="61"/>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cs="Times New Roman"/>
                      <w:color w:val="000000" w:themeColor="text1"/>
                      <w:sz w:val="21"/>
                      <w:szCs w:val="21"/>
                      <w:u w:val="none"/>
                      <w:lang w:val="en-US" w:eastAsia="zh-CN"/>
                      <w14:textFill>
                        <w14:solidFill>
                          <w14:schemeClr w14:val="tx1"/>
                        </w14:solidFill>
                      </w14:textFill>
                    </w:rPr>
                  </w:pPr>
                  <w:r>
                    <w:rPr>
                      <w:rFonts w:hint="default" w:ascii="Times New Roman" w:hAnsi="Times New Roman" w:cs="Times New Roman"/>
                      <w:b w:val="0"/>
                      <w:bCs/>
                      <w:color w:val="000000" w:themeColor="text1"/>
                      <w:sz w:val="21"/>
                      <w:szCs w:val="21"/>
                      <w:highlight w:val="none"/>
                      <w:u w:val="none"/>
                      <w:lang w:val="en-US" w:eastAsia="zh-CN"/>
                      <w14:textFill>
                        <w14:solidFill>
                          <w14:schemeClr w14:val="tx1"/>
                        </w14:solidFill>
                      </w14:textFill>
                    </w:rPr>
                    <w:t>冷却、锯切工序</w:t>
                  </w:r>
                </w:p>
              </w:tc>
              <w:tc>
                <w:tcPr>
                  <w:tcW w:w="480" w:type="pct"/>
                  <w:tcBorders>
                    <w:top w:val="single" w:color="auto" w:sz="4" w:space="0"/>
                    <w:left w:val="single" w:color="auto" w:sz="0" w:space="0"/>
                    <w:bottom w:val="single" w:color="auto" w:sz="4" w:space="0"/>
                    <w:right w:val="single" w:color="auto" w:sz="4" w:space="0"/>
                  </w:tcBorders>
                  <w:shd w:val="clear" w:color="auto" w:fill="auto"/>
                  <w:vAlign w:val="center"/>
                </w:tcPr>
                <w:p w14:paraId="7DA45E43">
                  <w:pPr>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cs="Times New Roman"/>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bidi="ar-SA"/>
                      <w14:textFill>
                        <w14:solidFill>
                          <w14:schemeClr w14:val="tx1"/>
                        </w14:solidFill>
                      </w14:textFill>
                    </w:rPr>
                    <w:t>颗粒物</w:t>
                  </w:r>
                </w:p>
              </w:tc>
              <w:tc>
                <w:tcPr>
                  <w:tcW w:w="480" w:type="pct"/>
                  <w:tcBorders>
                    <w:top w:val="single" w:color="auto" w:sz="4" w:space="0"/>
                    <w:left w:val="single" w:color="auto" w:sz="4" w:space="0"/>
                    <w:bottom w:val="single" w:color="auto" w:sz="4" w:space="0"/>
                    <w:right w:val="single" w:color="auto" w:sz="4" w:space="0"/>
                  </w:tcBorders>
                  <w:shd w:val="clear" w:color="auto" w:fill="auto"/>
                  <w:vAlign w:val="center"/>
                </w:tcPr>
                <w:p w14:paraId="56A57C2B">
                  <w:pPr>
                    <w:keepNext w:val="0"/>
                    <w:keepLines w:val="0"/>
                    <w:widowControl/>
                    <w:suppressLineNumbers w:val="0"/>
                    <w:jc w:val="center"/>
                    <w:textAlignment w:val="center"/>
                    <w:rPr>
                      <w:rFonts w:hint="default" w:ascii="Times New Roman" w:hAnsi="Times New Roman" w:eastAsia="等线" w:cs="Times New Roman"/>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0.090</w:t>
                  </w:r>
                </w:p>
              </w:tc>
              <w:tc>
                <w:tcPr>
                  <w:tcW w:w="580" w:type="pct"/>
                  <w:tcBorders>
                    <w:top w:val="single" w:color="auto" w:sz="4" w:space="0"/>
                    <w:left w:val="single" w:color="auto" w:sz="4" w:space="0"/>
                    <w:bottom w:val="single" w:color="auto" w:sz="4" w:space="0"/>
                    <w:right w:val="single" w:color="auto" w:sz="4" w:space="0"/>
                  </w:tcBorders>
                  <w:shd w:val="clear" w:color="auto" w:fill="auto"/>
                  <w:vAlign w:val="center"/>
                </w:tcPr>
                <w:p w14:paraId="45C15EA9">
                  <w:pPr>
                    <w:keepNext w:val="0"/>
                    <w:keepLines w:val="0"/>
                    <w:widowControl/>
                    <w:suppressLineNumbers w:val="0"/>
                    <w:jc w:val="center"/>
                    <w:textAlignment w:val="center"/>
                    <w:rPr>
                      <w:rFonts w:hint="default" w:ascii="Times New Roman" w:hAnsi="Times New Roman" w:eastAsia="等线" w:cs="Times New Roman"/>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0.025</w:t>
                  </w:r>
                </w:p>
              </w:tc>
              <w:tc>
                <w:tcPr>
                  <w:tcW w:w="580" w:type="pct"/>
                  <w:tcBorders>
                    <w:top w:val="single" w:color="auto" w:sz="4" w:space="0"/>
                    <w:left w:val="single" w:color="auto" w:sz="4" w:space="0"/>
                    <w:bottom w:val="single" w:color="auto" w:sz="4" w:space="0"/>
                    <w:right w:val="single" w:color="auto" w:sz="4" w:space="0"/>
                  </w:tcBorders>
                  <w:shd w:val="clear" w:color="auto" w:fill="auto"/>
                  <w:vAlign w:val="center"/>
                </w:tcPr>
                <w:p w14:paraId="3F2D5CFC">
                  <w:pPr>
                    <w:pStyle w:val="61"/>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eastAsia="等线" w:cs="Times New Roman"/>
                      <w:color w:val="000000" w:themeColor="text1"/>
                      <w:sz w:val="21"/>
                      <w:szCs w:val="21"/>
                      <w:u w:val="none"/>
                      <w:lang w:val="en-US" w:eastAsia="zh-CN"/>
                      <w14:textFill>
                        <w14:solidFill>
                          <w14:schemeClr w14:val="tx1"/>
                        </w14:solidFill>
                      </w14:textFill>
                    </w:rPr>
                  </w:pPr>
                  <w:r>
                    <w:rPr>
                      <w:rFonts w:hint="default" w:ascii="Times New Roman" w:hAnsi="Times New Roman" w:eastAsia="等线" w:cs="Times New Roman"/>
                      <w:color w:val="000000" w:themeColor="text1"/>
                      <w:sz w:val="21"/>
                      <w:szCs w:val="21"/>
                      <w:u w:val="none"/>
                      <w14:textFill>
                        <w14:solidFill>
                          <w14:schemeClr w14:val="tx1"/>
                        </w14:solidFill>
                      </w14:textFill>
                    </w:rPr>
                    <w:t>/</w:t>
                  </w:r>
                </w:p>
              </w:tc>
              <w:tc>
                <w:tcPr>
                  <w:tcW w:w="480" w:type="pct"/>
                  <w:tcBorders>
                    <w:top w:val="single" w:color="auto" w:sz="4" w:space="0"/>
                    <w:left w:val="single" w:color="auto" w:sz="4" w:space="0"/>
                    <w:bottom w:val="single" w:color="auto" w:sz="4" w:space="0"/>
                    <w:right w:val="single" w:color="auto" w:sz="4" w:space="0"/>
                  </w:tcBorders>
                  <w:shd w:val="clear" w:color="auto" w:fill="auto"/>
                  <w:vAlign w:val="center"/>
                </w:tcPr>
                <w:p w14:paraId="247CFD34">
                  <w:pPr>
                    <w:pStyle w:val="61"/>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eastAsia="等线" w:cs="Times New Roman"/>
                      <w:color w:val="000000" w:themeColor="text1"/>
                      <w:sz w:val="21"/>
                      <w:szCs w:val="21"/>
                      <w:u w:val="none"/>
                      <w:lang w:val="en-US" w:eastAsia="zh-CN"/>
                      <w14:textFill>
                        <w14:solidFill>
                          <w14:schemeClr w14:val="tx1"/>
                        </w14:solidFill>
                      </w14:textFill>
                    </w:rPr>
                  </w:pPr>
                  <w:r>
                    <w:rPr>
                      <w:rFonts w:hint="default" w:ascii="Times New Roman" w:hAnsi="Times New Roman" w:eastAsia="等线" w:cs="Times New Roman"/>
                      <w:color w:val="000000" w:themeColor="text1"/>
                      <w:sz w:val="21"/>
                      <w:szCs w:val="21"/>
                      <w:u w:val="none"/>
                      <w14:textFill>
                        <w14:solidFill>
                          <w14:schemeClr w14:val="tx1"/>
                        </w14:solidFill>
                      </w14:textFill>
                    </w:rPr>
                    <w:t>/</w:t>
                  </w:r>
                </w:p>
              </w:tc>
              <w:tc>
                <w:tcPr>
                  <w:tcW w:w="480" w:type="pct"/>
                  <w:tcBorders>
                    <w:top w:val="single" w:color="auto" w:sz="4" w:space="0"/>
                    <w:left w:val="single" w:color="auto" w:sz="4" w:space="0"/>
                    <w:bottom w:val="single" w:color="auto" w:sz="4" w:space="0"/>
                    <w:right w:val="single" w:color="auto" w:sz="4" w:space="0"/>
                  </w:tcBorders>
                  <w:shd w:val="clear" w:color="auto" w:fill="auto"/>
                  <w:vAlign w:val="center"/>
                </w:tcPr>
                <w:p w14:paraId="4DCA67D9">
                  <w:pPr>
                    <w:keepNext w:val="0"/>
                    <w:keepLines w:val="0"/>
                    <w:widowControl/>
                    <w:suppressLineNumbers w:val="0"/>
                    <w:jc w:val="center"/>
                    <w:textAlignment w:val="center"/>
                    <w:rPr>
                      <w:rFonts w:hint="default" w:ascii="Times New Roman" w:hAnsi="Times New Roman" w:eastAsia="等线" w:cs="Times New Roman"/>
                      <w:color w:val="000000" w:themeColor="text1"/>
                      <w:kern w:val="0"/>
                      <w:sz w:val="21"/>
                      <w:szCs w:val="21"/>
                      <w:u w:val="none"/>
                      <w:lang w:val="en-US" w:eastAsia="zh-CN" w:bidi="ar-SA"/>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0.090</w:t>
                  </w:r>
                </w:p>
              </w:tc>
              <w:tc>
                <w:tcPr>
                  <w:tcW w:w="480" w:type="pct"/>
                  <w:tcBorders>
                    <w:top w:val="single" w:color="auto" w:sz="4" w:space="0"/>
                    <w:left w:val="single" w:color="auto" w:sz="4" w:space="0"/>
                    <w:bottom w:val="single" w:color="auto" w:sz="4" w:space="0"/>
                    <w:right w:val="single" w:color="auto" w:sz="4" w:space="0"/>
                  </w:tcBorders>
                  <w:shd w:val="clear" w:color="auto" w:fill="auto"/>
                  <w:vAlign w:val="center"/>
                </w:tcPr>
                <w:p w14:paraId="4A7BB916">
                  <w:pPr>
                    <w:keepNext w:val="0"/>
                    <w:keepLines w:val="0"/>
                    <w:widowControl/>
                    <w:suppressLineNumbers w:val="0"/>
                    <w:jc w:val="center"/>
                    <w:textAlignment w:val="center"/>
                    <w:rPr>
                      <w:rFonts w:hint="default" w:ascii="Times New Roman" w:hAnsi="Times New Roman" w:eastAsia="等线" w:cs="Times New Roman"/>
                      <w:color w:val="000000" w:themeColor="text1"/>
                      <w:kern w:val="0"/>
                      <w:sz w:val="21"/>
                      <w:szCs w:val="21"/>
                      <w:u w:val="none"/>
                      <w:lang w:val="en-US" w:eastAsia="zh-CN" w:bidi="ar-SA"/>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0.025</w:t>
                  </w:r>
                </w:p>
              </w:tc>
              <w:tc>
                <w:tcPr>
                  <w:tcW w:w="480" w:type="pct"/>
                  <w:tcBorders>
                    <w:top w:val="single" w:color="auto" w:sz="4" w:space="0"/>
                    <w:left w:val="single" w:color="auto" w:sz="4" w:space="0"/>
                    <w:bottom w:val="single" w:color="auto" w:sz="4" w:space="0"/>
                    <w:right w:val="single" w:color="auto" w:sz="4" w:space="0"/>
                  </w:tcBorders>
                  <w:shd w:val="clear" w:color="auto" w:fill="auto"/>
                  <w:vAlign w:val="center"/>
                </w:tcPr>
                <w:p w14:paraId="448DBBA6">
                  <w:pPr>
                    <w:pStyle w:val="61"/>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eastAsia="等线" w:cs="Times New Roman"/>
                      <w:color w:val="000000" w:themeColor="text1"/>
                      <w:sz w:val="21"/>
                      <w:szCs w:val="21"/>
                      <w:u w:val="none"/>
                      <w:lang w:val="en-US" w:eastAsia="zh-CN"/>
                      <w14:textFill>
                        <w14:solidFill>
                          <w14:schemeClr w14:val="tx1"/>
                        </w14:solidFill>
                      </w14:textFill>
                    </w:rPr>
                  </w:pPr>
                  <w:r>
                    <w:rPr>
                      <w:rFonts w:hint="default" w:ascii="Times New Roman" w:hAnsi="Times New Roman" w:eastAsia="等线" w:cs="Times New Roman"/>
                      <w:color w:val="000000" w:themeColor="text1"/>
                      <w:sz w:val="21"/>
                      <w:szCs w:val="21"/>
                      <w:u w:val="none"/>
                      <w14:textFill>
                        <w14:solidFill>
                          <w14:schemeClr w14:val="tx1"/>
                        </w14:solidFill>
                      </w14:textFill>
                    </w:rPr>
                    <w:t>/</w:t>
                  </w:r>
                </w:p>
              </w:tc>
            </w:tr>
            <w:tr w14:paraId="7CB40D0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302" w:type="pct"/>
                  <w:vMerge w:val="continue"/>
                  <w:tcBorders>
                    <w:left w:val="single" w:color="auto" w:sz="0" w:space="0"/>
                    <w:bottom w:val="single" w:color="auto" w:sz="4" w:space="0"/>
                    <w:right w:val="single" w:color="auto" w:sz="4" w:space="0"/>
                  </w:tcBorders>
                  <w:shd w:val="clear" w:color="auto" w:fill="auto"/>
                  <w:vAlign w:val="center"/>
                </w:tcPr>
                <w:p w14:paraId="4D414089">
                  <w:pPr>
                    <w:pStyle w:val="61"/>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cs="Times New Roman"/>
                      <w:b w:val="0"/>
                      <w:bCs/>
                      <w:color w:val="000000" w:themeColor="text1"/>
                      <w:sz w:val="21"/>
                      <w:szCs w:val="21"/>
                      <w:highlight w:val="none"/>
                      <w:u w:val="none"/>
                      <w:lang w:val="en-US" w:eastAsia="zh-CN"/>
                      <w14:textFill>
                        <w14:solidFill>
                          <w14:schemeClr w14:val="tx1"/>
                        </w14:solidFill>
                      </w14:textFill>
                    </w:rPr>
                  </w:pPr>
                </w:p>
              </w:tc>
              <w:tc>
                <w:tcPr>
                  <w:tcW w:w="653" w:type="pct"/>
                  <w:tcBorders>
                    <w:top w:val="single" w:color="auto" w:sz="4" w:space="0"/>
                    <w:left w:val="single" w:color="auto" w:sz="0" w:space="0"/>
                    <w:bottom w:val="single" w:color="auto" w:sz="4" w:space="0"/>
                    <w:right w:val="single" w:color="auto" w:sz="4" w:space="0"/>
                  </w:tcBorders>
                  <w:shd w:val="clear" w:color="auto" w:fill="auto"/>
                  <w:vAlign w:val="center"/>
                </w:tcPr>
                <w:p w14:paraId="7D395220">
                  <w:pPr>
                    <w:pStyle w:val="61"/>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cs="Times New Roman"/>
                      <w:b w:val="0"/>
                      <w:bCs/>
                      <w:color w:val="000000" w:themeColor="text1"/>
                      <w:sz w:val="21"/>
                      <w:szCs w:val="21"/>
                      <w:highlight w:val="none"/>
                      <w:u w:val="none"/>
                      <w:lang w:val="en-US" w:eastAsia="zh-CN"/>
                      <w14:textFill>
                        <w14:solidFill>
                          <w14:schemeClr w14:val="tx1"/>
                        </w14:solidFill>
                      </w14:textFill>
                    </w:rPr>
                  </w:pPr>
                  <w:r>
                    <w:rPr>
                      <w:rFonts w:hint="default" w:ascii="Times New Roman" w:hAnsi="Times New Roman" w:cs="Times New Roman"/>
                      <w:b w:val="0"/>
                      <w:bCs/>
                      <w:color w:val="000000" w:themeColor="text1"/>
                      <w:sz w:val="21"/>
                      <w:szCs w:val="21"/>
                      <w:highlight w:val="none"/>
                      <w:u w:val="none"/>
                      <w:lang w:val="en-US" w:eastAsia="zh-CN"/>
                      <w14:textFill>
                        <w14:solidFill>
                          <w14:schemeClr w14:val="tx1"/>
                        </w14:solidFill>
                      </w14:textFill>
                    </w:rPr>
                    <w:t>包装工序</w:t>
                  </w:r>
                </w:p>
              </w:tc>
              <w:tc>
                <w:tcPr>
                  <w:tcW w:w="480" w:type="pct"/>
                  <w:tcBorders>
                    <w:top w:val="single" w:color="auto" w:sz="4" w:space="0"/>
                    <w:left w:val="single" w:color="auto" w:sz="0" w:space="0"/>
                    <w:bottom w:val="single" w:color="auto" w:sz="4" w:space="0"/>
                    <w:right w:val="single" w:color="auto" w:sz="4" w:space="0"/>
                  </w:tcBorders>
                  <w:shd w:val="clear" w:color="auto" w:fill="auto"/>
                  <w:vAlign w:val="center"/>
                </w:tcPr>
                <w:p w14:paraId="152AE287">
                  <w:pPr>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color w:val="000000" w:themeColor="text1"/>
                      <w:kern w:val="0"/>
                      <w:sz w:val="21"/>
                      <w:szCs w:val="21"/>
                      <w:u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bidi="ar-SA"/>
                      <w14:textFill>
                        <w14:solidFill>
                          <w14:schemeClr w14:val="tx1"/>
                        </w14:solidFill>
                      </w14:textFill>
                    </w:rPr>
                    <w:t>颗粒物</w:t>
                  </w:r>
                </w:p>
              </w:tc>
              <w:tc>
                <w:tcPr>
                  <w:tcW w:w="480" w:type="pct"/>
                  <w:tcBorders>
                    <w:top w:val="single" w:color="auto" w:sz="4" w:space="0"/>
                    <w:left w:val="single" w:color="auto" w:sz="4" w:space="0"/>
                    <w:bottom w:val="single" w:color="auto" w:sz="4" w:space="0"/>
                    <w:right w:val="single" w:color="auto" w:sz="4" w:space="0"/>
                  </w:tcBorders>
                  <w:shd w:val="clear" w:color="auto" w:fill="auto"/>
                  <w:vAlign w:val="center"/>
                </w:tcPr>
                <w:p w14:paraId="512C4DB8">
                  <w:pPr>
                    <w:keepNext w:val="0"/>
                    <w:keepLines w:val="0"/>
                    <w:widowControl/>
                    <w:suppressLineNumbers w:val="0"/>
                    <w:jc w:val="center"/>
                    <w:textAlignment w:val="center"/>
                    <w:rPr>
                      <w:rFonts w:hint="default" w:ascii="Times New Roman" w:hAnsi="Times New Roman" w:eastAsia="等线" w:cs="Times New Roman"/>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0.015</w:t>
                  </w:r>
                </w:p>
              </w:tc>
              <w:tc>
                <w:tcPr>
                  <w:tcW w:w="580" w:type="pct"/>
                  <w:tcBorders>
                    <w:top w:val="single" w:color="auto" w:sz="4" w:space="0"/>
                    <w:left w:val="single" w:color="auto" w:sz="4" w:space="0"/>
                    <w:bottom w:val="single" w:color="auto" w:sz="4" w:space="0"/>
                    <w:right w:val="single" w:color="auto" w:sz="4" w:space="0"/>
                  </w:tcBorders>
                  <w:shd w:val="clear" w:color="auto" w:fill="auto"/>
                  <w:vAlign w:val="center"/>
                </w:tcPr>
                <w:p w14:paraId="04D92390">
                  <w:pPr>
                    <w:keepNext w:val="0"/>
                    <w:keepLines w:val="0"/>
                    <w:widowControl/>
                    <w:suppressLineNumbers w:val="0"/>
                    <w:jc w:val="center"/>
                    <w:textAlignment w:val="center"/>
                    <w:rPr>
                      <w:rFonts w:hint="default" w:ascii="Times New Roman" w:hAnsi="Times New Roman" w:eastAsia="等线" w:cs="Times New Roman"/>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0.004</w:t>
                  </w:r>
                </w:p>
              </w:tc>
              <w:tc>
                <w:tcPr>
                  <w:tcW w:w="580" w:type="pct"/>
                  <w:tcBorders>
                    <w:top w:val="single" w:color="auto" w:sz="4" w:space="0"/>
                    <w:left w:val="single" w:color="auto" w:sz="4" w:space="0"/>
                    <w:bottom w:val="single" w:color="auto" w:sz="4" w:space="0"/>
                    <w:right w:val="single" w:color="auto" w:sz="4" w:space="0"/>
                  </w:tcBorders>
                  <w:shd w:val="clear" w:color="auto" w:fill="auto"/>
                  <w:vAlign w:val="center"/>
                </w:tcPr>
                <w:p w14:paraId="5850DE9F">
                  <w:pPr>
                    <w:pStyle w:val="61"/>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eastAsia="等线" w:cs="Times New Roman"/>
                      <w:color w:val="000000" w:themeColor="text1"/>
                      <w:sz w:val="21"/>
                      <w:szCs w:val="21"/>
                      <w:u w:val="none"/>
                      <w:lang w:val="en-US" w:eastAsia="zh-CN"/>
                      <w14:textFill>
                        <w14:solidFill>
                          <w14:schemeClr w14:val="tx1"/>
                        </w14:solidFill>
                      </w14:textFill>
                    </w:rPr>
                  </w:pPr>
                  <w:r>
                    <w:rPr>
                      <w:rFonts w:hint="default" w:ascii="Times New Roman" w:hAnsi="Times New Roman" w:eastAsia="等线" w:cs="Times New Roman"/>
                      <w:color w:val="000000" w:themeColor="text1"/>
                      <w:sz w:val="21"/>
                      <w:szCs w:val="21"/>
                      <w:u w:val="none"/>
                      <w14:textFill>
                        <w14:solidFill>
                          <w14:schemeClr w14:val="tx1"/>
                        </w14:solidFill>
                      </w14:textFill>
                    </w:rPr>
                    <w:t>/</w:t>
                  </w:r>
                </w:p>
              </w:tc>
              <w:tc>
                <w:tcPr>
                  <w:tcW w:w="480" w:type="pct"/>
                  <w:tcBorders>
                    <w:top w:val="single" w:color="auto" w:sz="4" w:space="0"/>
                    <w:left w:val="single" w:color="auto" w:sz="4" w:space="0"/>
                    <w:bottom w:val="single" w:color="auto" w:sz="4" w:space="0"/>
                    <w:right w:val="single" w:color="auto" w:sz="4" w:space="0"/>
                  </w:tcBorders>
                  <w:shd w:val="clear" w:color="auto" w:fill="auto"/>
                  <w:vAlign w:val="center"/>
                </w:tcPr>
                <w:p w14:paraId="3B5ADB1E">
                  <w:pPr>
                    <w:pStyle w:val="61"/>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eastAsia="等线" w:cs="Times New Roman"/>
                      <w:color w:val="000000" w:themeColor="text1"/>
                      <w:sz w:val="21"/>
                      <w:szCs w:val="21"/>
                      <w:u w:val="none"/>
                      <w:lang w:val="en-US" w:eastAsia="zh-CN"/>
                      <w14:textFill>
                        <w14:solidFill>
                          <w14:schemeClr w14:val="tx1"/>
                        </w14:solidFill>
                      </w14:textFill>
                    </w:rPr>
                  </w:pPr>
                  <w:r>
                    <w:rPr>
                      <w:rFonts w:hint="default" w:ascii="Times New Roman" w:hAnsi="Times New Roman" w:eastAsia="等线" w:cs="Times New Roman"/>
                      <w:color w:val="000000" w:themeColor="text1"/>
                      <w:sz w:val="21"/>
                      <w:szCs w:val="21"/>
                      <w:u w:val="none"/>
                      <w14:textFill>
                        <w14:solidFill>
                          <w14:schemeClr w14:val="tx1"/>
                        </w14:solidFill>
                      </w14:textFill>
                    </w:rPr>
                    <w:t>/</w:t>
                  </w:r>
                </w:p>
              </w:tc>
              <w:tc>
                <w:tcPr>
                  <w:tcW w:w="480" w:type="pct"/>
                  <w:tcBorders>
                    <w:top w:val="single" w:color="auto" w:sz="4" w:space="0"/>
                    <w:left w:val="single" w:color="auto" w:sz="4" w:space="0"/>
                    <w:bottom w:val="single" w:color="auto" w:sz="4" w:space="0"/>
                    <w:right w:val="single" w:color="auto" w:sz="4" w:space="0"/>
                  </w:tcBorders>
                  <w:shd w:val="clear" w:color="auto" w:fill="auto"/>
                  <w:vAlign w:val="center"/>
                </w:tcPr>
                <w:p w14:paraId="7D3D11CF">
                  <w:pPr>
                    <w:keepNext w:val="0"/>
                    <w:keepLines w:val="0"/>
                    <w:widowControl/>
                    <w:suppressLineNumbers w:val="0"/>
                    <w:jc w:val="center"/>
                    <w:textAlignment w:val="center"/>
                    <w:rPr>
                      <w:rFonts w:hint="default" w:ascii="Times New Roman" w:hAnsi="Times New Roman" w:eastAsia="等线" w:cs="Times New Roman"/>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0.015</w:t>
                  </w:r>
                </w:p>
              </w:tc>
              <w:tc>
                <w:tcPr>
                  <w:tcW w:w="480" w:type="pct"/>
                  <w:tcBorders>
                    <w:top w:val="single" w:color="auto" w:sz="4" w:space="0"/>
                    <w:left w:val="single" w:color="auto" w:sz="4" w:space="0"/>
                    <w:bottom w:val="single" w:color="auto" w:sz="4" w:space="0"/>
                    <w:right w:val="single" w:color="auto" w:sz="4" w:space="0"/>
                  </w:tcBorders>
                  <w:shd w:val="clear" w:color="auto" w:fill="auto"/>
                  <w:vAlign w:val="center"/>
                </w:tcPr>
                <w:p w14:paraId="24EA2102">
                  <w:pPr>
                    <w:keepNext w:val="0"/>
                    <w:keepLines w:val="0"/>
                    <w:widowControl/>
                    <w:suppressLineNumbers w:val="0"/>
                    <w:jc w:val="center"/>
                    <w:textAlignment w:val="center"/>
                    <w:rPr>
                      <w:rFonts w:hint="default" w:ascii="Times New Roman" w:hAnsi="Times New Roman" w:eastAsia="等线" w:cs="Times New Roman"/>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0.004</w:t>
                  </w:r>
                </w:p>
              </w:tc>
              <w:tc>
                <w:tcPr>
                  <w:tcW w:w="480" w:type="pct"/>
                  <w:tcBorders>
                    <w:top w:val="single" w:color="auto" w:sz="4" w:space="0"/>
                    <w:left w:val="single" w:color="auto" w:sz="4" w:space="0"/>
                    <w:bottom w:val="single" w:color="auto" w:sz="4" w:space="0"/>
                    <w:right w:val="single" w:color="auto" w:sz="4" w:space="0"/>
                  </w:tcBorders>
                  <w:shd w:val="clear" w:color="auto" w:fill="auto"/>
                  <w:vAlign w:val="center"/>
                </w:tcPr>
                <w:p w14:paraId="75025853">
                  <w:pPr>
                    <w:pStyle w:val="61"/>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eastAsia="等线" w:cs="Times New Roman"/>
                      <w:color w:val="000000" w:themeColor="text1"/>
                      <w:sz w:val="21"/>
                      <w:szCs w:val="21"/>
                      <w:u w:val="none"/>
                      <w:lang w:val="en-US" w:eastAsia="zh-CN"/>
                      <w14:textFill>
                        <w14:solidFill>
                          <w14:schemeClr w14:val="tx1"/>
                        </w14:solidFill>
                      </w14:textFill>
                    </w:rPr>
                  </w:pPr>
                  <w:r>
                    <w:rPr>
                      <w:rFonts w:hint="default" w:ascii="Times New Roman" w:hAnsi="Times New Roman" w:eastAsia="等线" w:cs="Times New Roman"/>
                      <w:color w:val="000000" w:themeColor="text1"/>
                      <w:sz w:val="21"/>
                      <w:szCs w:val="21"/>
                      <w:u w:val="none"/>
                      <w14:textFill>
                        <w14:solidFill>
                          <w14:schemeClr w14:val="tx1"/>
                        </w14:solidFill>
                      </w14:textFill>
                    </w:rPr>
                    <w:t>/</w:t>
                  </w:r>
                </w:p>
              </w:tc>
            </w:tr>
            <w:tr w14:paraId="149F157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436" w:type="pct"/>
                  <w:gridSpan w:val="3"/>
                  <w:tcBorders>
                    <w:top w:val="single" w:color="auto" w:sz="4" w:space="0"/>
                    <w:left w:val="single" w:color="auto" w:sz="0" w:space="0"/>
                    <w:bottom w:val="single" w:color="auto" w:sz="4" w:space="0"/>
                    <w:right w:val="single" w:color="auto" w:sz="4" w:space="0"/>
                  </w:tcBorders>
                  <w:shd w:val="clear" w:color="auto" w:fill="auto"/>
                  <w:vAlign w:val="center"/>
                </w:tcPr>
                <w:p w14:paraId="2FE9A53A">
                  <w:pPr>
                    <w:pStyle w:val="61"/>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default" w:ascii="Times New Roman" w:hAnsi="Times New Roman" w:cs="Times New Roman"/>
                      <w:color w:val="000000" w:themeColor="text1"/>
                      <w:sz w:val="21"/>
                      <w:szCs w:val="21"/>
                      <w:u w:val="none"/>
                      <w:lang w:val="en-US" w:eastAsia="zh-CN"/>
                      <w14:textFill>
                        <w14:solidFill>
                          <w14:schemeClr w14:val="tx1"/>
                        </w14:solidFill>
                      </w14:textFill>
                    </w:rPr>
                    <w:t>合计</w:t>
                  </w:r>
                </w:p>
              </w:tc>
              <w:tc>
                <w:tcPr>
                  <w:tcW w:w="880" w:type="dxa"/>
                  <w:tcBorders>
                    <w:top w:val="single" w:color="auto" w:sz="4" w:space="0"/>
                    <w:left w:val="single" w:color="auto" w:sz="4" w:space="0"/>
                    <w:bottom w:val="single" w:color="auto" w:sz="4" w:space="0"/>
                    <w:right w:val="single" w:color="auto" w:sz="4" w:space="0"/>
                  </w:tcBorders>
                  <w:shd w:val="clear" w:color="auto" w:fill="auto"/>
                  <w:vAlign w:val="center"/>
                </w:tcPr>
                <w:p w14:paraId="4E853A43">
                  <w:pPr>
                    <w:keepNext w:val="0"/>
                    <w:keepLines w:val="0"/>
                    <w:widowControl/>
                    <w:suppressLineNumbers w:val="0"/>
                    <w:jc w:val="center"/>
                    <w:textAlignment w:val="center"/>
                    <w:rPr>
                      <w:rFonts w:hint="default" w:ascii="Times New Roman" w:hAnsi="Times New Roman" w:eastAsia="等线" w:cs="Times New Roman"/>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0.881</w:t>
                  </w:r>
                </w:p>
              </w:tc>
              <w:tc>
                <w:tcPr>
                  <w:tcW w:w="1063" w:type="dxa"/>
                  <w:tcBorders>
                    <w:top w:val="single" w:color="auto" w:sz="4" w:space="0"/>
                    <w:left w:val="single" w:color="auto" w:sz="4" w:space="0"/>
                    <w:bottom w:val="single" w:color="auto" w:sz="4" w:space="0"/>
                    <w:right w:val="single" w:color="auto" w:sz="4" w:space="0"/>
                  </w:tcBorders>
                  <w:shd w:val="clear" w:color="auto" w:fill="auto"/>
                  <w:vAlign w:val="center"/>
                </w:tcPr>
                <w:p w14:paraId="18E4787B">
                  <w:pPr>
                    <w:keepNext w:val="0"/>
                    <w:keepLines w:val="0"/>
                    <w:widowControl/>
                    <w:suppressLineNumbers w:val="0"/>
                    <w:jc w:val="center"/>
                    <w:textAlignment w:val="center"/>
                    <w:rPr>
                      <w:rFonts w:hint="default" w:ascii="Times New Roman" w:hAnsi="Times New Roman" w:eastAsia="等线" w:cs="Times New Roman"/>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0.245</w:t>
                  </w:r>
                </w:p>
              </w:tc>
              <w:tc>
                <w:tcPr>
                  <w:tcW w:w="580" w:type="pct"/>
                  <w:tcBorders>
                    <w:top w:val="single" w:color="auto" w:sz="4" w:space="0"/>
                    <w:left w:val="single" w:color="auto" w:sz="4" w:space="0"/>
                    <w:bottom w:val="single" w:color="auto" w:sz="4" w:space="0"/>
                    <w:right w:val="single" w:color="auto" w:sz="4" w:space="0"/>
                  </w:tcBorders>
                  <w:shd w:val="clear" w:color="auto" w:fill="auto"/>
                  <w:vAlign w:val="center"/>
                </w:tcPr>
                <w:p w14:paraId="06286DB1">
                  <w:pPr>
                    <w:pStyle w:val="61"/>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eastAsia="等线" w:cs="Times New Roman"/>
                      <w:color w:val="000000" w:themeColor="text1"/>
                      <w:kern w:val="0"/>
                      <w:sz w:val="21"/>
                      <w:szCs w:val="21"/>
                      <w:u w:val="none"/>
                      <w:lang w:val="en-US" w:eastAsia="zh-CN" w:bidi="ar-SA"/>
                      <w14:textFill>
                        <w14:solidFill>
                          <w14:schemeClr w14:val="tx1"/>
                        </w14:solidFill>
                      </w14:textFill>
                    </w:rPr>
                  </w:pPr>
                  <w:r>
                    <w:rPr>
                      <w:rFonts w:hint="default" w:ascii="Times New Roman" w:hAnsi="Times New Roman" w:eastAsia="等线" w:cs="Times New Roman"/>
                      <w:color w:val="000000" w:themeColor="text1"/>
                      <w:sz w:val="21"/>
                      <w:szCs w:val="21"/>
                      <w:u w:val="none"/>
                      <w14:textFill>
                        <w14:solidFill>
                          <w14:schemeClr w14:val="tx1"/>
                        </w14:solidFill>
                      </w14:textFill>
                    </w:rPr>
                    <w:t>/</w:t>
                  </w:r>
                </w:p>
              </w:tc>
              <w:tc>
                <w:tcPr>
                  <w:tcW w:w="480" w:type="pct"/>
                  <w:tcBorders>
                    <w:top w:val="single" w:color="auto" w:sz="4" w:space="0"/>
                    <w:left w:val="single" w:color="auto" w:sz="4" w:space="0"/>
                    <w:bottom w:val="single" w:color="auto" w:sz="4" w:space="0"/>
                    <w:right w:val="single" w:color="auto" w:sz="4" w:space="0"/>
                  </w:tcBorders>
                  <w:shd w:val="clear" w:color="auto" w:fill="auto"/>
                  <w:vAlign w:val="center"/>
                </w:tcPr>
                <w:p w14:paraId="3F33B758">
                  <w:pPr>
                    <w:pStyle w:val="61"/>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eastAsia="等线" w:cs="Times New Roman"/>
                      <w:color w:val="000000" w:themeColor="text1"/>
                      <w:kern w:val="0"/>
                      <w:sz w:val="21"/>
                      <w:szCs w:val="21"/>
                      <w:u w:val="none"/>
                      <w:lang w:val="en-US" w:eastAsia="zh-CN" w:bidi="ar-SA"/>
                      <w14:textFill>
                        <w14:solidFill>
                          <w14:schemeClr w14:val="tx1"/>
                        </w14:solidFill>
                      </w14:textFill>
                    </w:rPr>
                  </w:pPr>
                  <w:r>
                    <w:rPr>
                      <w:rFonts w:hint="default" w:ascii="Times New Roman" w:hAnsi="Times New Roman" w:eastAsia="等线" w:cs="Times New Roman"/>
                      <w:color w:val="000000" w:themeColor="text1"/>
                      <w:sz w:val="21"/>
                      <w:szCs w:val="21"/>
                      <w:u w:val="none"/>
                      <w:lang w:val="en-US" w:eastAsia="zh-CN"/>
                      <w14:textFill>
                        <w14:solidFill>
                          <w14:schemeClr w14:val="tx1"/>
                        </w14:solidFill>
                      </w14:textFill>
                    </w:rPr>
                    <w:t>/</w:t>
                  </w:r>
                </w:p>
              </w:tc>
              <w:tc>
                <w:tcPr>
                  <w:tcW w:w="880" w:type="dxa"/>
                  <w:tcBorders>
                    <w:top w:val="single" w:color="auto" w:sz="4" w:space="0"/>
                    <w:left w:val="single" w:color="auto" w:sz="4" w:space="0"/>
                    <w:bottom w:val="single" w:color="auto" w:sz="4" w:space="0"/>
                    <w:right w:val="single" w:color="auto" w:sz="4" w:space="0"/>
                  </w:tcBorders>
                  <w:shd w:val="clear" w:color="auto" w:fill="auto"/>
                  <w:vAlign w:val="center"/>
                </w:tcPr>
                <w:p w14:paraId="20321978">
                  <w:pPr>
                    <w:keepNext w:val="0"/>
                    <w:keepLines w:val="0"/>
                    <w:widowControl/>
                    <w:suppressLineNumbers w:val="0"/>
                    <w:jc w:val="center"/>
                    <w:textAlignment w:val="center"/>
                    <w:rPr>
                      <w:rFonts w:hint="default" w:ascii="Times New Roman" w:hAnsi="Times New Roman" w:eastAsia="等线" w:cs="Times New Roman"/>
                      <w:color w:val="000000" w:themeColor="text1"/>
                      <w:kern w:val="0"/>
                      <w:sz w:val="21"/>
                      <w:szCs w:val="21"/>
                      <w:u w:val="none"/>
                      <w:lang w:val="en-US" w:eastAsia="zh-CN" w:bidi="ar-SA"/>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0.881</w:t>
                  </w:r>
                </w:p>
              </w:tc>
              <w:tc>
                <w:tcPr>
                  <w:tcW w:w="880" w:type="dxa"/>
                  <w:tcBorders>
                    <w:top w:val="single" w:color="auto" w:sz="4" w:space="0"/>
                    <w:left w:val="single" w:color="auto" w:sz="4" w:space="0"/>
                    <w:bottom w:val="single" w:color="auto" w:sz="4" w:space="0"/>
                    <w:right w:val="single" w:color="auto" w:sz="4" w:space="0"/>
                  </w:tcBorders>
                  <w:shd w:val="clear" w:color="auto" w:fill="auto"/>
                  <w:vAlign w:val="center"/>
                </w:tcPr>
                <w:p w14:paraId="1E7E6D0E">
                  <w:pPr>
                    <w:keepNext w:val="0"/>
                    <w:keepLines w:val="0"/>
                    <w:widowControl/>
                    <w:suppressLineNumbers w:val="0"/>
                    <w:jc w:val="center"/>
                    <w:textAlignment w:val="center"/>
                    <w:rPr>
                      <w:rFonts w:hint="default" w:ascii="Times New Roman" w:hAnsi="Times New Roman" w:eastAsia="等线" w:cs="Times New Roman"/>
                      <w:color w:val="000000" w:themeColor="text1"/>
                      <w:kern w:val="0"/>
                      <w:sz w:val="21"/>
                      <w:szCs w:val="21"/>
                      <w:u w:val="none"/>
                      <w:lang w:val="en-US" w:eastAsia="zh-CN" w:bidi="ar-SA"/>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0.245</w:t>
                  </w:r>
                </w:p>
              </w:tc>
              <w:tc>
                <w:tcPr>
                  <w:tcW w:w="480" w:type="pct"/>
                  <w:tcBorders>
                    <w:top w:val="single" w:color="auto" w:sz="4" w:space="0"/>
                    <w:left w:val="single" w:color="auto" w:sz="4" w:space="0"/>
                    <w:bottom w:val="single" w:color="auto" w:sz="4" w:space="0"/>
                    <w:right w:val="single" w:color="auto" w:sz="4" w:space="0"/>
                  </w:tcBorders>
                  <w:shd w:val="clear" w:color="auto" w:fill="auto"/>
                  <w:vAlign w:val="center"/>
                </w:tcPr>
                <w:p w14:paraId="0BD21200">
                  <w:pPr>
                    <w:pStyle w:val="61"/>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eastAsia="等线" w:cs="Times New Roman"/>
                      <w:color w:val="000000" w:themeColor="text1"/>
                      <w:kern w:val="0"/>
                      <w:sz w:val="21"/>
                      <w:szCs w:val="21"/>
                      <w:u w:val="none"/>
                      <w:lang w:val="en-US" w:eastAsia="zh-CN" w:bidi="ar-SA"/>
                      <w14:textFill>
                        <w14:solidFill>
                          <w14:schemeClr w14:val="tx1"/>
                        </w14:solidFill>
                      </w14:textFill>
                    </w:rPr>
                  </w:pPr>
                  <w:r>
                    <w:rPr>
                      <w:rFonts w:hint="default" w:ascii="Times New Roman" w:hAnsi="Times New Roman" w:eastAsia="等线" w:cs="Times New Roman"/>
                      <w:color w:val="000000" w:themeColor="text1"/>
                      <w:sz w:val="21"/>
                      <w:szCs w:val="21"/>
                      <w:u w:val="none"/>
                      <w14:textFill>
                        <w14:solidFill>
                          <w14:schemeClr w14:val="tx1"/>
                        </w14:solidFill>
                      </w14:textFill>
                    </w:rPr>
                    <w:t>/</w:t>
                  </w:r>
                </w:p>
              </w:tc>
            </w:tr>
          </w:tbl>
          <w:p w14:paraId="012E9B8F">
            <w:pPr>
              <w:pStyle w:val="50"/>
              <w:keepNext w:val="0"/>
              <w:keepLines w:val="0"/>
              <w:suppressLineNumbers w:val="0"/>
              <w:spacing w:before="0" w:beforeAutospacing="0" w:after="0" w:afterAutospacing="0"/>
              <w:ind w:left="0" w:right="0"/>
              <w:rPr>
                <w:rFonts w:hint="default" w:eastAsia="宋体"/>
                <w:b w:val="0"/>
                <w:bCs w:val="0"/>
                <w:color w:val="000000" w:themeColor="text1"/>
                <w:sz w:val="24"/>
                <w:szCs w:val="24"/>
                <w:u w:val="none" w:color="auto"/>
                <w:lang w:val="en-US" w:eastAsia="zh-CN"/>
                <w14:textFill>
                  <w14:solidFill>
                    <w14:schemeClr w14:val="tx1"/>
                  </w14:solidFill>
                </w14:textFill>
              </w:rPr>
            </w:pPr>
            <w:r>
              <w:rPr>
                <w:rFonts w:hint="eastAsia"/>
                <w:b w:val="0"/>
                <w:bCs w:val="0"/>
                <w:color w:val="000000" w:themeColor="text1"/>
                <w:sz w:val="24"/>
                <w:szCs w:val="24"/>
                <w:highlight w:val="none"/>
                <w:u w:val="none" w:color="auto"/>
                <w:lang w:val="en-US" w:eastAsia="zh-CN"/>
                <w14:textFill>
                  <w14:solidFill>
                    <w14:schemeClr w14:val="tx1"/>
                  </w14:solidFill>
                </w14:textFill>
              </w:rPr>
              <w:t>由上表可知，本项目</w:t>
            </w:r>
            <w:r>
              <w:rPr>
                <w:rFonts w:hint="eastAsia"/>
                <w:b w:val="0"/>
                <w:bCs w:val="0"/>
                <w:color w:val="000000" w:themeColor="text1"/>
                <w:highlight w:val="none"/>
                <w:u w:val="none" w:color="auto"/>
                <w:shd w:val="clear" w:color="auto" w:fill="FFFFFF"/>
                <w:lang w:val="en-US" w:eastAsia="zh-CN"/>
                <w14:textFill>
                  <w14:solidFill>
                    <w14:schemeClr w14:val="tx1"/>
                  </w14:solidFill>
                </w14:textFill>
              </w:rPr>
              <w:t>破碎</w:t>
            </w:r>
            <w:r>
              <w:rPr>
                <w:rFonts w:hint="eastAsia"/>
                <w:b w:val="0"/>
                <w:bCs w:val="0"/>
                <w:color w:val="000000" w:themeColor="text1"/>
                <w:highlight w:val="none"/>
                <w:u w:val="none" w:color="auto"/>
                <w:shd w:val="clear" w:color="auto" w:fill="FFFFFF"/>
                <w:lang w:eastAsia="zh-CN"/>
                <w14:textFill>
                  <w14:solidFill>
                    <w14:schemeClr w14:val="tx1"/>
                  </w14:solidFill>
                </w14:textFill>
              </w:rPr>
              <w:t>、</w:t>
            </w:r>
            <w:r>
              <w:rPr>
                <w:rFonts w:hint="eastAsia"/>
                <w:b w:val="0"/>
                <w:bCs w:val="0"/>
                <w:color w:val="000000" w:themeColor="text1"/>
                <w:highlight w:val="none"/>
                <w:u w:val="none" w:color="auto"/>
                <w:shd w:val="clear" w:color="auto" w:fill="FFFFFF"/>
                <w:lang w:val="en-US" w:eastAsia="zh-CN"/>
                <w14:textFill>
                  <w14:solidFill>
                    <w14:schemeClr w14:val="tx1"/>
                  </w14:solidFill>
                </w14:textFill>
              </w:rPr>
              <w:t>筛分、</w:t>
            </w:r>
            <w:r>
              <w:rPr>
                <w:rFonts w:hint="eastAsia" w:ascii="宋体" w:hAnsi="宋体" w:cs="宋体"/>
                <w:b w:val="0"/>
                <w:bCs w:val="0"/>
                <w:color w:val="000000" w:themeColor="text1"/>
                <w:highlight w:val="none"/>
                <w:u w:val="none" w:color="auto"/>
                <w:lang w:val="en-US" w:eastAsia="zh-CN"/>
                <w14:textFill>
                  <w14:solidFill>
                    <w14:schemeClr w14:val="tx1"/>
                  </w14:solidFill>
                </w14:textFill>
              </w:rPr>
              <w:t>冷却、</w:t>
            </w:r>
            <w:r>
              <w:rPr>
                <w:rFonts w:hint="eastAsia"/>
                <w:b w:val="0"/>
                <w:bCs w:val="0"/>
                <w:color w:val="000000" w:themeColor="text1"/>
                <w:highlight w:val="none"/>
                <w:u w:val="none" w:color="auto"/>
                <w:lang w:val="en-US" w:eastAsia="zh-CN"/>
                <w14:textFill>
                  <w14:solidFill>
                    <w14:schemeClr w14:val="tx1"/>
                  </w14:solidFill>
                </w14:textFill>
              </w:rPr>
              <w:t>锯切等过程</w:t>
            </w:r>
            <w:r>
              <w:rPr>
                <w:rFonts w:hint="eastAsia"/>
                <w:b w:val="0"/>
                <w:bCs w:val="0"/>
                <w:color w:val="000000" w:themeColor="text1"/>
                <w:sz w:val="24"/>
                <w:szCs w:val="24"/>
                <w:highlight w:val="none"/>
                <w:u w:val="none" w:color="auto"/>
                <w:lang w:val="en-US" w:eastAsia="zh-CN"/>
                <w14:textFill>
                  <w14:solidFill>
                    <w14:schemeClr w14:val="tx1"/>
                  </w14:solidFill>
                </w14:textFill>
              </w:rPr>
              <w:t>有组织废气经袋式除尘器处理后，废气中颗粒物</w:t>
            </w:r>
            <w:r>
              <w:rPr>
                <w:rFonts w:hint="eastAsia"/>
                <w:color w:val="000000" w:themeColor="text1"/>
                <w:sz w:val="24"/>
                <w:szCs w:val="24"/>
                <w:highlight w:val="none"/>
                <w:u w:val="none"/>
                <w:lang w:val="en-US" w:eastAsia="zh-CN"/>
                <w14:textFill>
                  <w14:solidFill>
                    <w14:schemeClr w14:val="tx1"/>
                  </w14:solidFill>
                </w14:textFill>
              </w:rPr>
              <w:t>排放</w:t>
            </w:r>
            <w:r>
              <w:rPr>
                <w:rFonts w:hint="eastAsia"/>
                <w:color w:val="000000" w:themeColor="text1"/>
                <w:sz w:val="24"/>
                <w:szCs w:val="24"/>
                <w:highlight w:val="none"/>
                <w:u w:val="none"/>
                <w14:textFill>
                  <w14:solidFill>
                    <w14:schemeClr w14:val="tx1"/>
                  </w14:solidFill>
                </w14:textFill>
              </w:rPr>
              <w:t>量为</w:t>
            </w:r>
            <w:r>
              <w:rPr>
                <w:rFonts w:hint="eastAsia"/>
                <w:color w:val="000000" w:themeColor="text1"/>
                <w:sz w:val="24"/>
                <w:szCs w:val="24"/>
                <w:highlight w:val="none"/>
                <w:u w:val="none"/>
                <w:lang w:val="en-US" w:eastAsia="zh-CN"/>
                <w14:textFill>
                  <w14:solidFill>
                    <w14:schemeClr w14:val="tx1"/>
                  </w14:solidFill>
                </w14:textFill>
              </w:rPr>
              <w:t>0.167</w:t>
            </w:r>
            <w:r>
              <w:rPr>
                <w:rFonts w:hint="eastAsia"/>
                <w:color w:val="000000" w:themeColor="text1"/>
                <w:sz w:val="24"/>
                <w:szCs w:val="24"/>
                <w:highlight w:val="none"/>
                <w:u w:val="none"/>
                <w14:textFill>
                  <w14:solidFill>
                    <w14:schemeClr w14:val="tx1"/>
                  </w14:solidFill>
                </w14:textFill>
              </w:rPr>
              <w:t>t/a</w:t>
            </w:r>
            <w:r>
              <w:rPr>
                <w:rFonts w:hint="eastAsia"/>
                <w:color w:val="000000" w:themeColor="text1"/>
                <w:sz w:val="24"/>
                <w:szCs w:val="24"/>
                <w:highlight w:val="none"/>
                <w:u w:val="none"/>
                <w:lang w:eastAsia="zh-CN"/>
                <w14:textFill>
                  <w14:solidFill>
                    <w14:schemeClr w14:val="tx1"/>
                  </w14:solidFill>
                </w14:textFill>
              </w:rPr>
              <w:t>，</w:t>
            </w:r>
            <w:r>
              <w:rPr>
                <w:rFonts w:hint="eastAsia"/>
                <w:b w:val="0"/>
                <w:bCs w:val="0"/>
                <w:color w:val="000000" w:themeColor="text1"/>
                <w:sz w:val="24"/>
                <w:szCs w:val="24"/>
                <w:highlight w:val="none"/>
                <w:u w:val="none" w:color="auto"/>
                <w:lang w:val="en-US" w:eastAsia="zh-CN"/>
                <w14:textFill>
                  <w14:solidFill>
                    <w14:schemeClr w14:val="tx1"/>
                  </w14:solidFill>
                </w14:textFill>
              </w:rPr>
              <w:t>排放速率为0.047kg/h，排放浓度为7.75mg/m</w:t>
            </w:r>
            <w:r>
              <w:rPr>
                <w:rFonts w:hint="eastAsia"/>
                <w:b w:val="0"/>
                <w:bCs w:val="0"/>
                <w:color w:val="000000" w:themeColor="text1"/>
                <w:sz w:val="24"/>
                <w:szCs w:val="24"/>
                <w:highlight w:val="none"/>
                <w:u w:val="none" w:color="auto"/>
                <w:vertAlign w:val="superscript"/>
                <w:lang w:val="en-US" w:eastAsia="zh-CN"/>
                <w14:textFill>
                  <w14:solidFill>
                    <w14:schemeClr w14:val="tx1"/>
                  </w14:solidFill>
                </w14:textFill>
              </w:rPr>
              <w:t>3</w:t>
            </w:r>
            <w:r>
              <w:rPr>
                <w:rFonts w:hint="eastAsia"/>
                <w:b w:val="0"/>
                <w:bCs w:val="0"/>
                <w:color w:val="000000" w:themeColor="text1"/>
                <w:sz w:val="24"/>
                <w:szCs w:val="24"/>
                <w:u w:val="none" w:color="auto"/>
                <w:lang w:val="en-US" w:eastAsia="zh-CN"/>
                <w14:textFill>
                  <w14:solidFill>
                    <w14:schemeClr w14:val="tx1"/>
                  </w14:solidFill>
                </w14:textFill>
              </w:rPr>
              <w:t>，能够满足</w:t>
            </w:r>
            <w:r>
              <w:rPr>
                <w:rFonts w:hint="default" w:ascii="Times New Roman" w:hAnsi="Times New Roman" w:eastAsia="宋体" w:cs="Times New Roman"/>
                <w:b w:val="0"/>
                <w:bCs w:val="0"/>
                <w:color w:val="000000" w:themeColor="text1"/>
                <w:sz w:val="24"/>
                <w:szCs w:val="24"/>
                <w:highlight w:val="none"/>
                <w:u w:val="none" w:color="auto"/>
                <w14:textFill>
                  <w14:solidFill>
                    <w14:schemeClr w14:val="tx1"/>
                  </w14:solidFill>
                </w14:textFill>
              </w:rPr>
              <w:t>《大气污染物综合排放标准》（GB16297-1996）表2</w:t>
            </w:r>
            <w:r>
              <w:rPr>
                <w:rFonts w:hint="default" w:ascii="Times New Roman" w:hAnsi="Times New Roman" w:eastAsia="宋体" w:cs="Times New Roman"/>
                <w:b w:val="0"/>
                <w:bCs w:val="0"/>
                <w:color w:val="000000" w:themeColor="text1"/>
                <w:sz w:val="24"/>
                <w:szCs w:val="24"/>
                <w:highlight w:val="none"/>
                <w:u w:val="none" w:color="auto"/>
                <w:lang w:val="en-US" w:eastAsia="zh-CN"/>
                <w14:textFill>
                  <w14:solidFill>
                    <w14:schemeClr w14:val="tx1"/>
                  </w14:solidFill>
                </w14:textFill>
              </w:rPr>
              <w:t>标准</w:t>
            </w:r>
            <w:r>
              <w:rPr>
                <w:rFonts w:hint="eastAsia" w:cs="Times New Roman"/>
                <w:b w:val="0"/>
                <w:bCs w:val="0"/>
                <w:color w:val="000000" w:themeColor="text1"/>
                <w:sz w:val="24"/>
                <w:szCs w:val="24"/>
                <w:highlight w:val="none"/>
                <w:u w:val="none" w:color="auto"/>
                <w:lang w:val="en-US" w:eastAsia="zh-CN"/>
                <w14:textFill>
                  <w14:solidFill>
                    <w14:schemeClr w14:val="tx1"/>
                  </w14:solidFill>
                </w14:textFill>
              </w:rPr>
              <w:t>（</w:t>
            </w:r>
            <w:r>
              <w:rPr>
                <w:rFonts w:hint="default" w:ascii="Times New Roman" w:hAnsi="Times New Roman" w:eastAsia="宋体" w:cs="Times New Roman"/>
                <w:b w:val="0"/>
                <w:bCs w:val="0"/>
                <w:color w:val="000000" w:themeColor="text1"/>
                <w:sz w:val="24"/>
                <w:szCs w:val="24"/>
                <w:highlight w:val="none"/>
                <w:u w:val="none" w:color="auto"/>
                <w14:textFill>
                  <w14:solidFill>
                    <w14:schemeClr w14:val="tx1"/>
                  </w14:solidFill>
                </w14:textFill>
              </w:rPr>
              <w:t>有组织排放最高允许浓度120mg/m</w:t>
            </w:r>
            <w:r>
              <w:rPr>
                <w:rFonts w:hint="default" w:ascii="Times New Roman" w:hAnsi="Times New Roman" w:eastAsia="宋体" w:cs="Times New Roman"/>
                <w:b w:val="0"/>
                <w:bCs w:val="0"/>
                <w:color w:val="000000" w:themeColor="text1"/>
                <w:sz w:val="24"/>
                <w:szCs w:val="24"/>
                <w:highlight w:val="none"/>
                <w:u w:val="none" w:color="auto"/>
                <w:vertAlign w:val="superscript"/>
                <w14:textFill>
                  <w14:solidFill>
                    <w14:schemeClr w14:val="tx1"/>
                  </w14:solidFill>
                </w14:textFill>
              </w:rPr>
              <w:t>3</w:t>
            </w:r>
            <w:r>
              <w:rPr>
                <w:rFonts w:hint="default" w:ascii="Times New Roman" w:hAnsi="Times New Roman" w:eastAsia="宋体" w:cs="Times New Roman"/>
                <w:b w:val="0"/>
                <w:bCs w:val="0"/>
                <w:color w:val="000000" w:themeColor="text1"/>
                <w:sz w:val="24"/>
                <w:szCs w:val="24"/>
                <w:highlight w:val="none"/>
                <w:u w:val="none" w:color="auto"/>
                <w14:textFill>
                  <w14:solidFill>
                    <w14:schemeClr w14:val="tx1"/>
                  </w14:solidFill>
                </w14:textFill>
              </w:rPr>
              <w:t>；最大允许排放速率3.5kg/h</w:t>
            </w:r>
            <w:r>
              <w:rPr>
                <w:rFonts w:hint="eastAsia" w:cs="Times New Roman"/>
                <w:b w:val="0"/>
                <w:bCs w:val="0"/>
                <w:color w:val="000000" w:themeColor="text1"/>
                <w:sz w:val="24"/>
                <w:szCs w:val="24"/>
                <w:highlight w:val="none"/>
                <w:u w:val="none" w:color="auto"/>
                <w:lang w:val="en-US" w:eastAsia="zh-CN"/>
                <w14:textFill>
                  <w14:solidFill>
                    <w14:schemeClr w14:val="tx1"/>
                  </w14:solidFill>
                </w14:textFill>
              </w:rPr>
              <w:t>）、</w:t>
            </w:r>
            <w:r>
              <w:rPr>
                <w:rFonts w:hint="default" w:ascii="Times New Roman" w:hAnsi="Times New Roman" w:eastAsia="宋体" w:cs="Times New Roman"/>
                <w:b w:val="0"/>
                <w:bCs w:val="0"/>
                <w:color w:val="000000" w:themeColor="text1"/>
                <w:sz w:val="24"/>
                <w:szCs w:val="24"/>
                <w:highlight w:val="none"/>
                <w:u w:val="none" w:color="auto"/>
                <w:lang w:val="en-US" w:eastAsia="zh-CN"/>
                <w14:textFill>
                  <w14:solidFill>
                    <w14:schemeClr w14:val="tx1"/>
                  </w14:solidFill>
                </w14:textFill>
              </w:rPr>
              <w:t>《河南省重污染天气</w:t>
            </w:r>
            <w:r>
              <w:rPr>
                <w:rFonts w:hint="eastAsia" w:cs="Times New Roman"/>
                <w:b w:val="0"/>
                <w:bCs w:val="0"/>
                <w:color w:val="000000" w:themeColor="text1"/>
                <w:sz w:val="24"/>
                <w:szCs w:val="24"/>
                <w:highlight w:val="none"/>
                <w:u w:val="none" w:color="auto"/>
                <w:lang w:val="en-US" w:eastAsia="zh-CN"/>
                <w14:textFill>
                  <w14:solidFill>
                    <w14:schemeClr w14:val="tx1"/>
                  </w14:solidFill>
                </w14:textFill>
              </w:rPr>
              <w:t>通用</w:t>
            </w:r>
            <w:r>
              <w:rPr>
                <w:rFonts w:hint="default" w:ascii="Times New Roman" w:hAnsi="Times New Roman" w:eastAsia="宋体" w:cs="Times New Roman"/>
                <w:b w:val="0"/>
                <w:bCs w:val="0"/>
                <w:color w:val="000000" w:themeColor="text1"/>
                <w:sz w:val="24"/>
                <w:szCs w:val="24"/>
                <w:highlight w:val="none"/>
                <w:u w:val="none" w:color="auto"/>
                <w:lang w:val="en-US" w:eastAsia="zh-CN"/>
                <w14:textFill>
                  <w14:solidFill>
                    <w14:schemeClr w14:val="tx1"/>
                  </w14:solidFill>
                </w14:textFill>
              </w:rPr>
              <w:t>行业应急减排措施制定技术指南》（202</w:t>
            </w:r>
            <w:r>
              <w:rPr>
                <w:rFonts w:hint="eastAsia" w:cs="Times New Roman"/>
                <w:b w:val="0"/>
                <w:bCs w:val="0"/>
                <w:color w:val="000000" w:themeColor="text1"/>
                <w:sz w:val="24"/>
                <w:szCs w:val="24"/>
                <w:highlight w:val="none"/>
                <w:u w:val="none" w:color="auto"/>
                <w:lang w:val="en-US" w:eastAsia="zh-CN"/>
                <w14:textFill>
                  <w14:solidFill>
                    <w14:schemeClr w14:val="tx1"/>
                  </w14:solidFill>
                </w14:textFill>
              </w:rPr>
              <w:t>4</w:t>
            </w:r>
            <w:r>
              <w:rPr>
                <w:rFonts w:hint="default" w:ascii="Times New Roman" w:hAnsi="Times New Roman" w:eastAsia="宋体" w:cs="Times New Roman"/>
                <w:b w:val="0"/>
                <w:bCs w:val="0"/>
                <w:color w:val="000000" w:themeColor="text1"/>
                <w:sz w:val="24"/>
                <w:szCs w:val="24"/>
                <w:highlight w:val="none"/>
                <w:u w:val="none" w:color="auto"/>
                <w:lang w:val="en-US" w:eastAsia="zh-CN"/>
                <w14:textFill>
                  <w14:solidFill>
                    <w14:schemeClr w14:val="tx1"/>
                  </w14:solidFill>
                </w14:textFill>
              </w:rPr>
              <w:t>年修订版）</w:t>
            </w:r>
            <w:r>
              <w:rPr>
                <w:rFonts w:hint="eastAsia" w:cs="Times New Roman"/>
                <w:b w:val="0"/>
                <w:bCs w:val="0"/>
                <w:color w:val="000000" w:themeColor="text1"/>
                <w:sz w:val="24"/>
                <w:szCs w:val="24"/>
                <w:highlight w:val="none"/>
                <w:u w:val="none" w:color="auto"/>
                <w:lang w:val="en-US" w:eastAsia="zh-CN"/>
                <w14:textFill>
                  <w14:solidFill>
                    <w14:schemeClr w14:val="tx1"/>
                  </w14:solidFill>
                </w14:textFill>
              </w:rPr>
              <w:t>中“涉PM企业”（PM排放限值</w:t>
            </w:r>
            <w:r>
              <w:rPr>
                <w:rFonts w:hint="default" w:ascii="Times New Roman" w:hAnsi="Times New Roman" w:eastAsia="宋体" w:cs="Times New Roman"/>
                <w:b w:val="0"/>
                <w:bCs w:val="0"/>
                <w:color w:val="000000" w:themeColor="text1"/>
                <w:sz w:val="24"/>
                <w:szCs w:val="24"/>
                <w:highlight w:val="none"/>
                <w:u w:val="none" w:color="auto"/>
                <w14:textFill>
                  <w14:solidFill>
                    <w14:schemeClr w14:val="tx1"/>
                  </w14:solidFill>
                </w14:textFill>
              </w:rPr>
              <w:t>10mg/m</w:t>
            </w:r>
            <w:r>
              <w:rPr>
                <w:rFonts w:hint="default" w:ascii="Times New Roman" w:hAnsi="Times New Roman" w:eastAsia="宋体" w:cs="Times New Roman"/>
                <w:b w:val="0"/>
                <w:bCs w:val="0"/>
                <w:color w:val="000000" w:themeColor="text1"/>
                <w:sz w:val="24"/>
                <w:szCs w:val="24"/>
                <w:highlight w:val="none"/>
                <w:u w:val="none" w:color="auto"/>
                <w:vertAlign w:val="superscript"/>
                <w14:textFill>
                  <w14:solidFill>
                    <w14:schemeClr w14:val="tx1"/>
                  </w14:solidFill>
                </w14:textFill>
              </w:rPr>
              <w:t>3</w:t>
            </w:r>
            <w:r>
              <w:rPr>
                <w:rFonts w:hint="eastAsia" w:cs="Times New Roman"/>
                <w:b w:val="0"/>
                <w:bCs w:val="0"/>
                <w:color w:val="000000" w:themeColor="text1"/>
                <w:sz w:val="24"/>
                <w:szCs w:val="24"/>
                <w:highlight w:val="none"/>
                <w:u w:val="none" w:color="auto"/>
                <w:lang w:eastAsia="zh-CN"/>
                <w14:textFill>
                  <w14:solidFill>
                    <w14:schemeClr w14:val="tx1"/>
                  </w14:solidFill>
                </w14:textFill>
              </w:rPr>
              <w:t>）</w:t>
            </w:r>
            <w:r>
              <w:rPr>
                <w:rFonts w:hint="eastAsia" w:cs="Times New Roman"/>
                <w:b w:val="0"/>
                <w:bCs w:val="0"/>
                <w:color w:val="000000" w:themeColor="text1"/>
                <w:sz w:val="24"/>
                <w:szCs w:val="24"/>
                <w:highlight w:val="none"/>
                <w:u w:val="none" w:color="auto"/>
                <w:lang w:val="en-US" w:eastAsia="zh-CN"/>
                <w14:textFill>
                  <w14:solidFill>
                    <w14:schemeClr w14:val="tx1"/>
                  </w14:solidFill>
                </w14:textFill>
              </w:rPr>
              <w:t>的限值要求。</w:t>
            </w:r>
          </w:p>
          <w:p w14:paraId="1FF09317">
            <w:pPr>
              <w:keepNext w:val="0"/>
              <w:keepLines w:val="0"/>
              <w:suppressLineNumbers w:val="0"/>
              <w:adjustRightInd w:val="0"/>
              <w:spacing w:before="0" w:beforeAutospacing="0" w:after="0" w:afterAutospacing="0" w:line="360" w:lineRule="auto"/>
              <w:ind w:left="0" w:right="0" w:firstLine="480" w:firstLineChars="200"/>
              <w:rPr>
                <w:rFonts w:hint="eastAsia" w:ascii="宋体" w:hAnsi="宋体"/>
                <w:b w:val="0"/>
                <w:bCs w:val="0"/>
                <w:color w:val="000000" w:themeColor="text1"/>
                <w:sz w:val="24"/>
                <w:szCs w:val="24"/>
                <w14:textFill>
                  <w14:solidFill>
                    <w14:schemeClr w14:val="tx1"/>
                  </w14:solidFill>
                </w14:textFill>
              </w:rPr>
            </w:pPr>
            <w:r>
              <w:rPr>
                <w:rFonts w:hint="eastAsia"/>
                <w:b w:val="0"/>
                <w:bCs w:val="0"/>
                <w:color w:val="000000" w:themeColor="text1"/>
                <w:sz w:val="24"/>
                <w:szCs w:val="24"/>
                <w:lang w:eastAsia="zh-CN"/>
                <w14:textFill>
                  <w14:solidFill>
                    <w14:schemeClr w14:val="tx1"/>
                  </w14:solidFill>
                </w14:textFill>
              </w:rPr>
              <w:t>（</w:t>
            </w:r>
            <w:r>
              <w:rPr>
                <w:rFonts w:hint="eastAsia"/>
                <w:b w:val="0"/>
                <w:bCs w:val="0"/>
                <w:color w:val="000000" w:themeColor="text1"/>
                <w:sz w:val="24"/>
                <w:szCs w:val="24"/>
                <w:lang w:val="en-US" w:eastAsia="zh-CN"/>
                <w14:textFill>
                  <w14:solidFill>
                    <w14:schemeClr w14:val="tx1"/>
                  </w14:solidFill>
                </w14:textFill>
              </w:rPr>
              <w:t>5</w:t>
            </w:r>
            <w:r>
              <w:rPr>
                <w:rFonts w:hint="eastAsia"/>
                <w:b w:val="0"/>
                <w:bCs w:val="0"/>
                <w:color w:val="000000" w:themeColor="text1"/>
                <w:sz w:val="24"/>
                <w:szCs w:val="24"/>
                <w:lang w:eastAsia="zh-CN"/>
                <w14:textFill>
                  <w14:solidFill>
                    <w14:schemeClr w14:val="tx1"/>
                  </w14:solidFill>
                </w14:textFill>
              </w:rPr>
              <w:t>）</w:t>
            </w:r>
            <w:r>
              <w:rPr>
                <w:rFonts w:hint="eastAsia"/>
                <w:b w:val="0"/>
                <w:bCs w:val="0"/>
                <w:color w:val="000000" w:themeColor="text1"/>
                <w:sz w:val="24"/>
                <w:szCs w:val="24"/>
                <w14:textFill>
                  <w14:solidFill>
                    <w14:schemeClr w14:val="tx1"/>
                  </w14:solidFill>
                </w14:textFill>
              </w:rPr>
              <w:t>制棒、烘干、炭化</w:t>
            </w:r>
            <w:r>
              <w:rPr>
                <w:rFonts w:hint="eastAsia" w:ascii="宋体" w:hAnsi="宋体"/>
                <w:b w:val="0"/>
                <w:bCs w:val="0"/>
                <w:color w:val="000000" w:themeColor="text1"/>
                <w:sz w:val="24"/>
                <w:szCs w:val="24"/>
                <w14:textFill>
                  <w14:solidFill>
                    <w14:schemeClr w14:val="tx1"/>
                  </w14:solidFill>
                </w14:textFill>
              </w:rPr>
              <w:t>废气</w:t>
            </w:r>
          </w:p>
          <w:p w14:paraId="023C1B38">
            <w:pPr>
              <w:keepNext w:val="0"/>
              <w:keepLines w:val="0"/>
              <w:suppressLineNumbers w:val="0"/>
              <w:adjustRightInd w:val="0"/>
              <w:spacing w:before="0" w:beforeAutospacing="0" w:after="0" w:afterAutospacing="0" w:line="360" w:lineRule="auto"/>
              <w:ind w:left="0" w:right="0" w:firstLine="480" w:firstLineChars="200"/>
              <w:rPr>
                <w:rFonts w:hint="eastAsia"/>
                <w:b w:val="0"/>
                <w:bCs w:val="0"/>
                <w:color w:val="000000" w:themeColor="text1"/>
                <w:sz w:val="24"/>
                <w:szCs w:val="24"/>
                <w:highlight w:val="none"/>
                <w14:textFill>
                  <w14:solidFill>
                    <w14:schemeClr w14:val="tx1"/>
                  </w14:solidFill>
                </w14:textFill>
              </w:rPr>
            </w:pPr>
            <w:r>
              <w:rPr>
                <w:rFonts w:hint="eastAsia"/>
                <w:b w:val="0"/>
                <w:bCs w:val="0"/>
                <w:color w:val="000000" w:themeColor="text1"/>
                <w:sz w:val="24"/>
                <w:szCs w:val="24"/>
                <w:highlight w:val="none"/>
                <w14:textFill>
                  <w14:solidFill>
                    <w14:schemeClr w14:val="tx1"/>
                  </w14:solidFill>
                </w14:textFill>
              </w:rPr>
              <w:t>1）制棒废气</w:t>
            </w:r>
          </w:p>
          <w:p w14:paraId="2F8313D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eastAsia"/>
                <w:b w:val="0"/>
                <w:bCs w:val="0"/>
                <w:color w:val="000000" w:themeColor="text1"/>
                <w:sz w:val="24"/>
                <w:szCs w:val="24"/>
                <w:highlight w:val="none"/>
                <w14:textFill>
                  <w14:solidFill>
                    <w14:schemeClr w14:val="tx1"/>
                  </w14:solidFill>
                </w14:textFill>
              </w:rPr>
            </w:pPr>
            <w:r>
              <w:rPr>
                <w:rFonts w:hint="eastAsia"/>
                <w:b w:val="0"/>
                <w:bCs w:val="0"/>
                <w:color w:val="000000" w:themeColor="text1"/>
                <w:sz w:val="24"/>
                <w:szCs w:val="24"/>
                <w:highlight w:val="none"/>
                <w14:textFill>
                  <w14:solidFill>
                    <w14:schemeClr w14:val="tx1"/>
                  </w14:solidFill>
                </w14:textFill>
              </w:rPr>
              <w:t>制棒工序工作原理为：在电动机带动下，推进器高速旋转，用自身的螺旋将原料带入成型桶，成型桶通过电加热是加热圈加温，使原料中的木质纤维软化黏合能力增强，再加之推进器的高强度挤压，最终形成高硬度高密度的成型棒，制棒过程中采用高温高压压制成型，制棒机出料口会产生烟气（主要为水蒸气和颗粒物）。因此制棒工序废气主要为进料粉尘及制棒出料口产生的烟气。其中废气的产生量参照《排放源统计调查产排污核算方法和系数手册》—2542生物质致密成型燃料加工系数手册中造粒工序产污系数：6.69*10</w:t>
            </w:r>
            <w:r>
              <w:rPr>
                <w:rFonts w:hint="eastAsia"/>
                <w:b w:val="0"/>
                <w:bCs w:val="0"/>
                <w:color w:val="000000" w:themeColor="text1"/>
                <w:sz w:val="24"/>
                <w:szCs w:val="24"/>
                <w:highlight w:val="none"/>
                <w:vertAlign w:val="superscript"/>
                <w14:textFill>
                  <w14:solidFill>
                    <w14:schemeClr w14:val="tx1"/>
                  </w14:solidFill>
                </w14:textFill>
              </w:rPr>
              <w:t>-4</w:t>
            </w:r>
            <w:r>
              <w:rPr>
                <w:rFonts w:hint="eastAsia"/>
                <w:b w:val="0"/>
                <w:bCs w:val="0"/>
                <w:color w:val="000000" w:themeColor="text1"/>
                <w:sz w:val="24"/>
                <w:szCs w:val="24"/>
                <w:highlight w:val="none"/>
                <w14:textFill>
                  <w14:solidFill>
                    <w14:schemeClr w14:val="tx1"/>
                  </w14:solidFill>
                </w14:textFill>
              </w:rPr>
              <w:t>吨/吨-产品。本项目年产</w:t>
            </w:r>
            <w:r>
              <w:rPr>
                <w:rFonts w:hint="eastAsia"/>
                <w:b w:val="0"/>
                <w:bCs w:val="0"/>
                <w:color w:val="000000" w:themeColor="text1"/>
                <w:sz w:val="24"/>
                <w:szCs w:val="24"/>
                <w:highlight w:val="none"/>
                <w:lang w:val="en-US" w:eastAsia="zh-CN"/>
                <w14:textFill>
                  <w14:solidFill>
                    <w14:schemeClr w14:val="tx1"/>
                  </w14:solidFill>
                </w14:textFill>
              </w:rPr>
              <w:t>3000t</w:t>
            </w:r>
            <w:r>
              <w:rPr>
                <w:rFonts w:hint="eastAsia"/>
                <w:b w:val="0"/>
                <w:bCs w:val="0"/>
                <w:color w:val="000000" w:themeColor="text1"/>
                <w:sz w:val="24"/>
                <w:szCs w:val="24"/>
                <w:highlight w:val="none"/>
                <w14:textFill>
                  <w14:solidFill>
                    <w14:schemeClr w14:val="tx1"/>
                  </w14:solidFill>
                </w14:textFill>
              </w:rPr>
              <w:t>机制炭，则制棒废气产生量</w:t>
            </w:r>
            <w:r>
              <w:rPr>
                <w:rFonts w:hint="eastAsia"/>
                <w:b w:val="0"/>
                <w:bCs w:val="0"/>
                <w:color w:val="000000" w:themeColor="text1"/>
                <w:sz w:val="24"/>
                <w:szCs w:val="24"/>
                <w:highlight w:val="none"/>
                <w:lang w:val="en-US" w:eastAsia="zh-CN"/>
                <w14:textFill>
                  <w14:solidFill>
                    <w14:schemeClr w14:val="tx1"/>
                  </w14:solidFill>
                </w14:textFill>
              </w:rPr>
              <w:t>2.01</w:t>
            </w:r>
            <w:r>
              <w:rPr>
                <w:rFonts w:hint="eastAsia"/>
                <w:b w:val="0"/>
                <w:bCs w:val="0"/>
                <w:color w:val="000000" w:themeColor="text1"/>
                <w:sz w:val="24"/>
                <w:szCs w:val="24"/>
                <w:highlight w:val="none"/>
                <w14:textFill>
                  <w14:solidFill>
                    <w14:schemeClr w14:val="tx1"/>
                  </w14:solidFill>
                </w14:textFill>
              </w:rPr>
              <w:t>t/a。产生制棒废气经集气罩定点负压收集（收集效率为95%）后</w:t>
            </w:r>
            <w:r>
              <w:rPr>
                <w:rFonts w:hint="eastAsia"/>
                <w:b w:val="0"/>
                <w:bCs w:val="0"/>
                <w:color w:val="000000" w:themeColor="text1"/>
                <w:sz w:val="24"/>
                <w:szCs w:val="24"/>
                <w:highlight w:val="none"/>
                <w:lang w:val="en-US" w:eastAsia="zh-CN"/>
                <w14:textFill>
                  <w14:solidFill>
                    <w14:schemeClr w14:val="tx1"/>
                  </w14:solidFill>
                </w14:textFill>
              </w:rPr>
              <w:t>引入烘干机作为热源，最终与烘干废气（含木煤气燃料废气）、炭化废气一起经“碱喷淋+静电除尘装置”（TA002）处理后经15m高排气筒（DA002）排放。</w:t>
            </w:r>
          </w:p>
          <w:p w14:paraId="3A924E34">
            <w:pPr>
              <w:keepNext w:val="0"/>
              <w:keepLines w:val="0"/>
              <w:suppressLineNumbers w:val="0"/>
              <w:adjustRightInd w:val="0"/>
              <w:snapToGrid w:val="0"/>
              <w:spacing w:before="0" w:beforeAutospacing="0" w:after="0" w:afterAutospacing="0" w:line="360" w:lineRule="auto"/>
              <w:ind w:left="0" w:right="0" w:firstLine="480" w:firstLineChars="200"/>
              <w:rPr>
                <w:rFonts w:hint="default"/>
                <w:b w:val="0"/>
                <w:bCs w:val="0"/>
                <w:color w:val="000000" w:themeColor="text1"/>
                <w:sz w:val="24"/>
                <w:szCs w:val="24"/>
                <w:highlight w:val="none"/>
                <w:lang w:val="en-US" w:eastAsia="zh-CN"/>
                <w14:textFill>
                  <w14:solidFill>
                    <w14:schemeClr w14:val="tx1"/>
                  </w14:solidFill>
                </w14:textFill>
              </w:rPr>
            </w:pPr>
            <w:r>
              <w:rPr>
                <w:rFonts w:hint="eastAsia"/>
                <w:b w:val="0"/>
                <w:bCs w:val="0"/>
                <w:color w:val="000000" w:themeColor="text1"/>
                <w:sz w:val="24"/>
                <w:szCs w:val="24"/>
                <w:highlight w:val="none"/>
                <w:lang w:val="en-US" w:eastAsia="zh-CN"/>
                <w14:textFill>
                  <w14:solidFill>
                    <w14:schemeClr w14:val="tx1"/>
                  </w14:solidFill>
                </w14:textFill>
              </w:rPr>
              <w:t>2）烘干工序</w:t>
            </w:r>
          </w:p>
          <w:p w14:paraId="1ACD5E8C">
            <w:pPr>
              <w:keepNext w:val="0"/>
              <w:keepLines w:val="0"/>
              <w:suppressLineNumbers w:val="0"/>
              <w:adjustRightInd w:val="0"/>
              <w:snapToGrid w:val="0"/>
              <w:spacing w:before="0" w:beforeAutospacing="0" w:after="0" w:afterAutospacing="0" w:line="360" w:lineRule="auto"/>
              <w:ind w:left="0" w:right="0" w:firstLine="480" w:firstLineChars="200"/>
              <w:rPr>
                <w:rFonts w:hint="eastAsia"/>
                <w:b w:val="0"/>
                <w:bCs w:val="0"/>
                <w:color w:val="000000" w:themeColor="text1"/>
                <w:sz w:val="24"/>
                <w:szCs w:val="24"/>
                <w:highlight w:val="none"/>
                <w:lang w:val="en-US" w:eastAsia="zh-CN"/>
                <w14:textFill>
                  <w14:solidFill>
                    <w14:schemeClr w14:val="tx1"/>
                  </w14:solidFill>
                </w14:textFill>
              </w:rPr>
            </w:pPr>
            <w:r>
              <w:rPr>
                <w:rFonts w:hint="eastAsia"/>
                <w:b w:val="0"/>
                <w:bCs w:val="0"/>
                <w:color w:val="000000" w:themeColor="text1"/>
                <w:sz w:val="24"/>
                <w:szCs w:val="24"/>
                <w:highlight w:val="none"/>
                <w:lang w:val="en-US" w:eastAsia="zh-CN"/>
                <w14:textFill>
                  <w14:solidFill>
                    <w14:schemeClr w14:val="tx1"/>
                  </w14:solidFill>
                </w14:textFill>
              </w:rPr>
              <w:t>本项目烘干工序包含物料的烘干以及热风炉燃料燃烧废气。烘干工序工作时间为3600h/a。</w:t>
            </w:r>
          </w:p>
          <w:p w14:paraId="20E5F495">
            <w:pPr>
              <w:keepNext w:val="0"/>
              <w:keepLines w:val="0"/>
              <w:suppressLineNumbers w:val="0"/>
              <w:adjustRightInd w:val="0"/>
              <w:snapToGrid w:val="0"/>
              <w:spacing w:before="0" w:beforeAutospacing="0" w:after="0" w:afterAutospacing="0" w:line="360" w:lineRule="auto"/>
              <w:ind w:left="0" w:right="0" w:firstLine="480" w:firstLineChars="200"/>
              <w:rPr>
                <w:rFonts w:hint="eastAsia" w:ascii="Times New Roman" w:hAnsi="Times New Roman" w:eastAsia="宋体" w:cs="Times New Roman"/>
                <w:b w:val="0"/>
                <w:bCs w:val="0"/>
                <w:color w:val="000000" w:themeColor="text1"/>
                <w:kern w:val="2"/>
                <w:sz w:val="24"/>
                <w:szCs w:val="24"/>
                <w:highlight w:val="none"/>
                <w:lang w:val="en-US" w:eastAsia="zh-CN" w:bidi="ar-SA"/>
                <w14:textFill>
                  <w14:solidFill>
                    <w14:schemeClr w14:val="tx1"/>
                  </w14:solidFill>
                </w14:textFill>
              </w:rPr>
            </w:pPr>
            <w:r>
              <w:rPr>
                <w:rFonts w:hint="eastAsia" w:ascii="Times New Roman" w:hAnsi="Times New Roman" w:eastAsia="宋体" w:cs="Times New Roman"/>
                <w:b w:val="0"/>
                <w:bCs w:val="0"/>
                <w:color w:val="000000" w:themeColor="text1"/>
                <w:kern w:val="2"/>
                <w:sz w:val="24"/>
                <w:szCs w:val="24"/>
                <w:highlight w:val="none"/>
                <w:lang w:val="en-US" w:eastAsia="zh-CN" w:bidi="ar-SA"/>
                <w14:textFill>
                  <w14:solidFill>
                    <w14:schemeClr w14:val="tx1"/>
                  </w14:solidFill>
                </w14:textFill>
              </w:rPr>
              <w:t>①物料烘干</w:t>
            </w:r>
          </w:p>
          <w:p w14:paraId="776AEC1F">
            <w:pPr>
              <w:keepNext w:val="0"/>
              <w:keepLines w:val="0"/>
              <w:widowControl/>
              <w:suppressLineNumbers w:val="0"/>
              <w:adjustRightInd w:val="0"/>
              <w:snapToGrid w:val="0"/>
              <w:spacing w:before="0" w:beforeAutospacing="0" w:after="0" w:afterAutospacing="0" w:line="360" w:lineRule="auto"/>
              <w:ind w:left="0" w:right="0" w:firstLine="480" w:firstLineChars="200"/>
              <w:jc w:val="left"/>
              <w:rPr>
                <w:rFonts w:hint="eastAsia"/>
                <w:color w:val="000000" w:themeColor="text1"/>
                <w:sz w:val="24"/>
                <w:szCs w:val="24"/>
                <w:lang w:eastAsia="zh-CN"/>
                <w14:textFill>
                  <w14:solidFill>
                    <w14:schemeClr w14:val="tx1"/>
                  </w14:solidFill>
                </w14:textFill>
              </w:rPr>
            </w:pPr>
            <w:r>
              <w:rPr>
                <w:rFonts w:hint="eastAsia"/>
                <w:color w:val="000000" w:themeColor="text1"/>
                <w:sz w:val="24"/>
                <w:szCs w:val="24"/>
                <w:highlight w:val="none"/>
                <w:u w:val="none"/>
                <w14:textFill>
                  <w14:solidFill>
                    <w14:schemeClr w14:val="tx1"/>
                  </w14:solidFill>
                </w14:textFill>
              </w:rPr>
              <w:t>在烘干过程中，含水率</w:t>
            </w:r>
            <w:r>
              <w:rPr>
                <w:rFonts w:hint="eastAsia"/>
                <w:color w:val="000000" w:themeColor="text1"/>
                <w:sz w:val="24"/>
                <w:szCs w:val="24"/>
                <w:highlight w:val="none"/>
                <w:u w:val="none"/>
                <w:lang w:val="en-US" w:eastAsia="zh-CN"/>
                <w14:textFill>
                  <w14:solidFill>
                    <w14:schemeClr w14:val="tx1"/>
                  </w14:solidFill>
                </w14:textFill>
              </w:rPr>
              <w:t>25</w:t>
            </w:r>
            <w:r>
              <w:rPr>
                <w:rFonts w:hint="eastAsia"/>
                <w:color w:val="000000" w:themeColor="text1"/>
                <w:sz w:val="24"/>
                <w:szCs w:val="24"/>
                <w:highlight w:val="none"/>
                <w:u w:val="none"/>
                <w14:textFill>
                  <w14:solidFill>
                    <w14:schemeClr w14:val="tx1"/>
                  </w14:solidFill>
                </w14:textFill>
              </w:rPr>
              <w:t>%</w:t>
            </w:r>
            <w:r>
              <w:rPr>
                <w:rFonts w:hint="eastAsia"/>
                <w:color w:val="000000" w:themeColor="text1"/>
                <w:sz w:val="24"/>
                <w:szCs w:val="24"/>
                <w:highlight w:val="none"/>
                <w:u w:val="none"/>
                <w:lang w:val="en-US" w:eastAsia="zh-CN"/>
                <w14:textFill>
                  <w14:solidFill>
                    <w14:schemeClr w14:val="tx1"/>
                  </w14:solidFill>
                </w14:textFill>
              </w:rPr>
              <w:t>的原料</w:t>
            </w:r>
            <w:r>
              <w:rPr>
                <w:rFonts w:hint="default" w:ascii="宋体" w:hAnsi="宋体" w:cs="宋体"/>
                <w:color w:val="000000" w:themeColor="text1"/>
                <w:sz w:val="24"/>
                <w:szCs w:val="24"/>
                <w:highlight w:val="none"/>
                <w:u w:val="none"/>
                <w14:textFill>
                  <w14:solidFill>
                    <w14:schemeClr w14:val="tx1"/>
                  </w14:solidFill>
                </w14:textFill>
              </w:rPr>
              <w:t>经烘干后</w:t>
            </w:r>
            <w:r>
              <w:rPr>
                <w:rFonts w:hint="eastAsia" w:ascii="宋体" w:hAnsi="宋体" w:cs="宋体"/>
                <w:color w:val="000000" w:themeColor="text1"/>
                <w:sz w:val="24"/>
                <w:szCs w:val="24"/>
                <w:highlight w:val="none"/>
                <w:u w:val="none"/>
                <w:lang w:val="en-US" w:eastAsia="zh-CN"/>
                <w14:textFill>
                  <w14:solidFill>
                    <w14:schemeClr w14:val="tx1"/>
                  </w14:solidFill>
                </w14:textFill>
              </w:rPr>
              <w:t>变为</w:t>
            </w:r>
            <w:r>
              <w:rPr>
                <w:rFonts w:hint="eastAsia"/>
                <w:color w:val="000000" w:themeColor="text1"/>
                <w:sz w:val="24"/>
                <w:szCs w:val="24"/>
                <w:highlight w:val="none"/>
                <w:u w:val="none"/>
                <w14:textFill>
                  <w14:solidFill>
                    <w14:schemeClr w14:val="tx1"/>
                  </w14:solidFill>
                </w14:textFill>
              </w:rPr>
              <w:t>10</w:t>
            </w:r>
            <w:r>
              <w:rPr>
                <w:rFonts w:hint="default"/>
                <w:color w:val="000000" w:themeColor="text1"/>
                <w:sz w:val="24"/>
                <w:szCs w:val="24"/>
                <w:highlight w:val="none"/>
                <w:u w:val="none"/>
                <w14:textFill>
                  <w14:solidFill>
                    <w14:schemeClr w14:val="tx1"/>
                  </w14:solidFill>
                </w14:textFill>
              </w:rPr>
              <w:t>%左右</w:t>
            </w:r>
            <w:r>
              <w:rPr>
                <w:rFonts w:hint="eastAsia"/>
                <w:color w:val="000000" w:themeColor="text1"/>
                <w:sz w:val="24"/>
                <w:szCs w:val="24"/>
                <w:highlight w:val="none"/>
                <w:u w:val="none"/>
                <w14:textFill>
                  <w14:solidFill>
                    <w14:schemeClr w14:val="tx1"/>
                  </w14:solidFill>
                </w14:textFill>
              </w:rPr>
              <w:t>。</w:t>
            </w:r>
            <w:r>
              <w:rPr>
                <w:rFonts w:hint="eastAsia"/>
                <w:color w:val="000000" w:themeColor="text1"/>
                <w:sz w:val="24"/>
                <w:szCs w:val="24"/>
                <w14:textFill>
                  <w14:solidFill>
                    <w14:schemeClr w14:val="tx1"/>
                  </w14:solidFill>
                </w14:textFill>
              </w:rPr>
              <w:t>烘干物料和水蒸气及燃料燃烧烟气经旋风分离器进行分离，得到干燥物料，分离过程中部分粉尘在风力作用下会随烘干炉烘干烟气一同排出。根据《排放源统计调查产排污核算方法和系数手册》—2542生物质致密成型燃料加工系数手册中烘干工段颗粒物产污系数：4.01</w:t>
            </w:r>
            <w:r>
              <w:rPr>
                <w:rFonts w:hint="eastAsia"/>
                <w:color w:val="000000" w:themeColor="text1"/>
                <w:sz w:val="24"/>
                <w:szCs w:val="24"/>
                <w:lang w:val="en-US" w:eastAsia="zh-CN"/>
                <w14:textFill>
                  <w14:solidFill>
                    <w14:schemeClr w14:val="tx1"/>
                  </w14:solidFill>
                </w14:textFill>
              </w:rPr>
              <w:t>×</w:t>
            </w:r>
            <w:r>
              <w:rPr>
                <w:rFonts w:hint="eastAsia"/>
                <w:color w:val="000000" w:themeColor="text1"/>
                <w:sz w:val="24"/>
                <w:szCs w:val="24"/>
                <w14:textFill>
                  <w14:solidFill>
                    <w14:schemeClr w14:val="tx1"/>
                  </w14:solidFill>
                </w14:textFill>
              </w:rPr>
              <w:t>10</w:t>
            </w:r>
            <w:r>
              <w:rPr>
                <w:rFonts w:hint="eastAsia"/>
                <w:color w:val="000000" w:themeColor="text1"/>
                <w:sz w:val="24"/>
                <w:szCs w:val="24"/>
                <w:vertAlign w:val="superscript"/>
                <w14:textFill>
                  <w14:solidFill>
                    <w14:schemeClr w14:val="tx1"/>
                  </w14:solidFill>
                </w14:textFill>
              </w:rPr>
              <w:t>-3</w:t>
            </w:r>
            <w:r>
              <w:rPr>
                <w:rFonts w:hint="eastAsia"/>
                <w:color w:val="000000" w:themeColor="text1"/>
                <w:sz w:val="24"/>
                <w:szCs w:val="24"/>
                <w14:textFill>
                  <w14:solidFill>
                    <w14:schemeClr w14:val="tx1"/>
                  </w14:solidFill>
                </w14:textFill>
              </w:rPr>
              <w:t>吨/吨-产品，</w:t>
            </w:r>
            <w:r>
              <w:rPr>
                <w:rFonts w:hint="eastAsia"/>
                <w:b w:val="0"/>
                <w:bCs w:val="0"/>
                <w:color w:val="000000" w:themeColor="text1"/>
                <w:sz w:val="24"/>
                <w:szCs w:val="24"/>
                <w:highlight w:val="none"/>
                <w14:textFill>
                  <w14:solidFill>
                    <w14:schemeClr w14:val="tx1"/>
                  </w14:solidFill>
                </w14:textFill>
              </w:rPr>
              <w:t>本项目年产</w:t>
            </w:r>
            <w:r>
              <w:rPr>
                <w:rFonts w:hint="eastAsia"/>
                <w:b w:val="0"/>
                <w:bCs w:val="0"/>
                <w:color w:val="000000" w:themeColor="text1"/>
                <w:sz w:val="24"/>
                <w:szCs w:val="24"/>
                <w:highlight w:val="none"/>
                <w:lang w:val="en-US" w:eastAsia="zh-CN"/>
                <w14:textFill>
                  <w14:solidFill>
                    <w14:schemeClr w14:val="tx1"/>
                  </w14:solidFill>
                </w14:textFill>
              </w:rPr>
              <w:t>3000t</w:t>
            </w:r>
            <w:r>
              <w:rPr>
                <w:rFonts w:hint="eastAsia"/>
                <w:b w:val="0"/>
                <w:bCs w:val="0"/>
                <w:color w:val="000000" w:themeColor="text1"/>
                <w:sz w:val="24"/>
                <w:szCs w:val="24"/>
                <w:highlight w:val="none"/>
                <w14:textFill>
                  <w14:solidFill>
                    <w14:schemeClr w14:val="tx1"/>
                  </w14:solidFill>
                </w14:textFill>
              </w:rPr>
              <w:t>机制炭</w:t>
            </w:r>
            <w:r>
              <w:rPr>
                <w:rFonts w:hint="eastAsia"/>
                <w:color w:val="000000" w:themeColor="text1"/>
                <w:sz w:val="24"/>
                <w:szCs w:val="24"/>
                <w14:textFill>
                  <w14:solidFill>
                    <w14:schemeClr w14:val="tx1"/>
                  </w14:solidFill>
                </w14:textFill>
              </w:rPr>
              <w:t>，则烘干粉尘产生量约为</w:t>
            </w:r>
            <w:r>
              <w:rPr>
                <w:rFonts w:hint="eastAsia"/>
                <w:color w:val="000000" w:themeColor="text1"/>
                <w:sz w:val="24"/>
                <w:szCs w:val="24"/>
                <w:lang w:val="en-US" w:eastAsia="zh-CN"/>
                <w14:textFill>
                  <w14:solidFill>
                    <w14:schemeClr w14:val="tx1"/>
                  </w14:solidFill>
                </w14:textFill>
              </w:rPr>
              <w:t>12.03</w:t>
            </w:r>
            <w:r>
              <w:rPr>
                <w:rFonts w:hint="eastAsia"/>
                <w:color w:val="000000" w:themeColor="text1"/>
                <w:sz w:val="24"/>
                <w:szCs w:val="24"/>
                <w14:textFill>
                  <w14:solidFill>
                    <w14:schemeClr w14:val="tx1"/>
                  </w14:solidFill>
                </w14:textFill>
              </w:rPr>
              <w:t>t/a</w:t>
            </w:r>
            <w:r>
              <w:rPr>
                <w:rFonts w:hint="eastAsia"/>
                <w:color w:val="000000" w:themeColor="text1"/>
                <w:sz w:val="24"/>
                <w:szCs w:val="24"/>
                <w:lang w:eastAsia="zh-CN"/>
                <w14:textFill>
                  <w14:solidFill>
                    <w14:schemeClr w14:val="tx1"/>
                  </w14:solidFill>
                </w14:textFill>
              </w:rPr>
              <w:t>。</w:t>
            </w:r>
          </w:p>
          <w:p w14:paraId="52C5A127">
            <w:pPr>
              <w:keepNext w:val="0"/>
              <w:keepLines w:val="0"/>
              <w:widowControl/>
              <w:suppressLineNumbers w:val="0"/>
              <w:adjustRightInd w:val="0"/>
              <w:snapToGrid w:val="0"/>
              <w:spacing w:before="0" w:beforeAutospacing="0" w:after="0" w:afterAutospacing="0" w:line="360" w:lineRule="auto"/>
              <w:ind w:left="0" w:right="0" w:firstLine="480" w:firstLineChars="200"/>
              <w:jc w:val="left"/>
              <w:rPr>
                <w:rFonts w:hint="eastAsia"/>
                <w:color w:val="000000" w:themeColor="text1"/>
                <w:sz w:val="24"/>
                <w:szCs w:val="24"/>
                <w:highlight w:val="none"/>
                <w:lang w:val="en-US" w:eastAsia="zh-CN"/>
                <w14:textFill>
                  <w14:solidFill>
                    <w14:schemeClr w14:val="tx1"/>
                  </w14:solidFill>
                </w14:textFill>
              </w:rPr>
            </w:pPr>
            <w:r>
              <w:rPr>
                <w:rFonts w:hint="eastAsia"/>
                <w:color w:val="000000" w:themeColor="text1"/>
                <w:sz w:val="24"/>
                <w:szCs w:val="24"/>
                <w:highlight w:val="none"/>
                <w:lang w:val="en-US" w:eastAsia="zh-CN"/>
                <w14:textFill>
                  <w14:solidFill>
                    <w14:schemeClr w14:val="tx1"/>
                  </w14:solidFill>
                </w14:textFill>
              </w:rPr>
              <w:t>②烘干机热风炉燃料燃烧废气</w:t>
            </w:r>
          </w:p>
          <w:p w14:paraId="28F944DC">
            <w:pPr>
              <w:keepNext w:val="0"/>
              <w:keepLines w:val="0"/>
              <w:widowControl/>
              <w:suppressLineNumbers w:val="0"/>
              <w:adjustRightInd w:val="0"/>
              <w:snapToGrid w:val="0"/>
              <w:spacing w:before="0" w:beforeAutospacing="0" w:after="0" w:afterAutospacing="0" w:line="360" w:lineRule="auto"/>
              <w:ind w:left="0" w:right="0" w:firstLine="480" w:firstLineChars="200"/>
              <w:jc w:val="left"/>
              <w:rPr>
                <w:rFonts w:hint="eastAsia"/>
                <w:color w:val="000000" w:themeColor="text1"/>
                <w:sz w:val="24"/>
                <w:szCs w:val="24"/>
                <w:highlight w:val="none"/>
                <w:u w:val="none" w:color="auto"/>
                <w14:textFill>
                  <w14:solidFill>
                    <w14:schemeClr w14:val="tx1"/>
                  </w14:solidFill>
                </w14:textFill>
              </w:rPr>
            </w:pPr>
            <w:r>
              <w:rPr>
                <w:rFonts w:hint="eastAsia"/>
                <w:color w:val="000000" w:themeColor="text1"/>
                <w:sz w:val="24"/>
                <w:szCs w:val="24"/>
                <w:u w:val="none" w:color="auto"/>
                <w14:textFill>
                  <w14:solidFill>
                    <w14:schemeClr w14:val="tx1"/>
                  </w14:solidFill>
                </w14:textFill>
              </w:rPr>
              <w:t>炭化过程产生</w:t>
            </w:r>
            <w:r>
              <w:rPr>
                <w:rFonts w:hint="eastAsia" w:hAnsi="宋体"/>
                <w:color w:val="000000" w:themeColor="text1"/>
                <w:sz w:val="24"/>
                <w:szCs w:val="24"/>
                <w:u w:val="none" w:color="auto"/>
                <w14:textFill>
                  <w14:solidFill>
                    <w14:schemeClr w14:val="tx1"/>
                  </w14:solidFill>
                </w14:textFill>
              </w:rPr>
              <w:t>的尾气</w:t>
            </w:r>
            <w:r>
              <w:rPr>
                <w:rFonts w:hint="eastAsia"/>
                <w:color w:val="000000" w:themeColor="text1"/>
                <w:sz w:val="24"/>
                <w:szCs w:val="24"/>
                <w:u w:val="none" w:color="auto"/>
                <w14:textFill>
                  <w14:solidFill>
                    <w14:schemeClr w14:val="tx1"/>
                  </w14:solidFill>
                </w14:textFill>
              </w:rPr>
              <w:t>经炭化炉配套的烟气净化系统净化后</w:t>
            </w:r>
            <w:r>
              <w:rPr>
                <w:rFonts w:hint="eastAsia"/>
                <w:color w:val="000000" w:themeColor="text1"/>
                <w:sz w:val="24"/>
                <w:szCs w:val="24"/>
                <w:u w:val="none" w:color="auto"/>
                <w:lang w:val="en-US" w:eastAsia="zh-CN"/>
                <w14:textFill>
                  <w14:solidFill>
                    <w14:schemeClr w14:val="tx1"/>
                  </w14:solidFill>
                </w14:textFill>
              </w:rPr>
              <w:t>由储存柜储存</w:t>
            </w:r>
            <w:r>
              <w:rPr>
                <w:rFonts w:hint="eastAsia"/>
                <w:color w:val="000000" w:themeColor="text1"/>
                <w:sz w:val="24"/>
                <w:szCs w:val="24"/>
                <w:u w:val="none" w:color="auto"/>
                <w14:textFill>
                  <w14:solidFill>
                    <w14:schemeClr w14:val="tx1"/>
                  </w14:solidFill>
                </w14:textFill>
              </w:rPr>
              <w:t>，</w:t>
            </w:r>
            <w:r>
              <w:rPr>
                <w:rFonts w:hint="eastAsia"/>
                <w:color w:val="000000" w:themeColor="text1"/>
                <w:sz w:val="24"/>
                <w:szCs w:val="24"/>
                <w:u w:val="none" w:color="auto"/>
                <w:lang w:val="en-US" w:eastAsia="zh-CN"/>
                <w14:textFill>
                  <w14:solidFill>
                    <w14:schemeClr w14:val="tx1"/>
                  </w14:solidFill>
                </w14:textFill>
              </w:rPr>
              <w:t>当炭化炉点火和初始阶段</w:t>
            </w:r>
            <w:r>
              <w:rPr>
                <w:rFonts w:hint="eastAsia"/>
                <w:color w:val="000000" w:themeColor="text1"/>
                <w:sz w:val="24"/>
                <w:szCs w:val="24"/>
                <w:highlight w:val="none"/>
                <w:u w:val="none" w:color="auto"/>
                <w14:textFill>
                  <w14:solidFill>
                    <w14:schemeClr w14:val="tx1"/>
                  </w14:solidFill>
                </w14:textFill>
              </w:rPr>
              <w:t>无木煤气产生时，</w:t>
            </w:r>
            <w:r>
              <w:rPr>
                <w:rFonts w:hint="eastAsia"/>
                <w:color w:val="000000" w:themeColor="text1"/>
                <w:sz w:val="24"/>
                <w:szCs w:val="24"/>
                <w:highlight w:val="none"/>
                <w:u w:val="none" w:color="auto"/>
                <w:lang w:val="en-US" w:eastAsia="zh-CN"/>
                <w14:textFill>
                  <w14:solidFill>
                    <w14:schemeClr w14:val="tx1"/>
                  </w14:solidFill>
                </w14:textFill>
              </w:rPr>
              <w:t>炭化炉和热风炉采用储存柜收集的木煤气为热源；当生产线刚开工储存柜无木煤气储存时，热风炉、炭化炉采用生物质为热源</w:t>
            </w:r>
            <w:r>
              <w:rPr>
                <w:rFonts w:hint="eastAsia"/>
                <w:color w:val="000000" w:themeColor="text1"/>
                <w:sz w:val="24"/>
                <w:szCs w:val="24"/>
                <w:highlight w:val="none"/>
                <w:u w:val="none" w:color="auto"/>
                <w14:textFill>
                  <w14:solidFill>
                    <w14:schemeClr w14:val="tx1"/>
                  </w14:solidFill>
                </w14:textFill>
              </w:rPr>
              <w:t>。</w:t>
            </w:r>
          </w:p>
          <w:p w14:paraId="2F8039F2">
            <w:pPr>
              <w:keepNext w:val="0"/>
              <w:keepLines w:val="0"/>
              <w:widowControl/>
              <w:suppressLineNumbers w:val="0"/>
              <w:adjustRightInd w:val="0"/>
              <w:snapToGrid w:val="0"/>
              <w:spacing w:before="0" w:beforeAutospacing="0" w:after="0" w:afterAutospacing="0" w:line="360" w:lineRule="auto"/>
              <w:ind w:left="0" w:right="0" w:firstLine="480" w:firstLineChars="200"/>
              <w:jc w:val="both"/>
              <w:rPr>
                <w:rFonts w:hint="eastAsia"/>
                <w:kern w:val="0"/>
                <w:sz w:val="24"/>
                <w:szCs w:val="24"/>
                <w:highlight w:val="none"/>
                <w:u w:val="none" w:color="auto"/>
                <w:lang w:val="en-US" w:eastAsia="zh-CN"/>
              </w:rPr>
            </w:pPr>
            <w:r>
              <w:rPr>
                <w:rFonts w:hint="eastAsia" w:ascii="Times New Roman" w:hAnsi="Times New Roman" w:eastAsia="宋体" w:cs="Times New Roman"/>
                <w:color w:val="000000" w:themeColor="text1"/>
                <w:sz w:val="24"/>
                <w:szCs w:val="24"/>
                <w:highlight w:val="none"/>
                <w:u w:val="none" w:color="auto"/>
                <w:lang w:val="en-US" w:eastAsia="zh-CN"/>
                <w14:textFill>
                  <w14:solidFill>
                    <w14:schemeClr w14:val="tx1"/>
                  </w14:solidFill>
                </w14:textFill>
              </w:rPr>
              <w:t>本项目所用木煤气中S=0.01%，</w:t>
            </w:r>
            <w:r>
              <w:rPr>
                <w:rFonts w:hint="eastAsia"/>
                <w:color w:val="auto"/>
                <w:sz w:val="24"/>
                <w:szCs w:val="24"/>
                <w:highlight w:val="none"/>
                <w:u w:val="none" w:color="auto"/>
              </w:rPr>
              <w:t>密度按0.5kg/Nm</w:t>
            </w:r>
            <w:r>
              <w:rPr>
                <w:rFonts w:hint="eastAsia"/>
                <w:color w:val="auto"/>
                <w:sz w:val="24"/>
                <w:szCs w:val="24"/>
                <w:highlight w:val="none"/>
                <w:u w:val="none" w:color="auto"/>
                <w:vertAlign w:val="superscript"/>
              </w:rPr>
              <w:t>3</w:t>
            </w:r>
            <w:r>
              <w:rPr>
                <w:rFonts w:hint="eastAsia"/>
                <w:color w:val="auto"/>
                <w:sz w:val="24"/>
                <w:szCs w:val="24"/>
                <w:highlight w:val="none"/>
                <w:u w:val="none" w:color="auto"/>
              </w:rPr>
              <w:t>计，</w:t>
            </w:r>
            <w:r>
              <w:rPr>
                <w:rFonts w:hint="eastAsia"/>
                <w:color w:val="000000" w:themeColor="text1"/>
                <w:sz w:val="24"/>
                <w:szCs w:val="24"/>
                <w:highlight w:val="none"/>
                <w:u w:val="none" w:color="auto"/>
                <w:lang w:val="en-US" w:eastAsia="zh-CN"/>
                <w14:textFill>
                  <w14:solidFill>
                    <w14:schemeClr w14:val="tx1"/>
                  </w14:solidFill>
                </w14:textFill>
              </w:rPr>
              <w:t>根据前文木煤气及热量平衡分析，</w:t>
            </w:r>
            <w:r>
              <w:rPr>
                <w:rFonts w:hint="eastAsia"/>
                <w:color w:val="auto"/>
                <w:sz w:val="24"/>
                <w:szCs w:val="24"/>
                <w:highlight w:val="none"/>
                <w:u w:val="none" w:color="auto"/>
                <w:lang w:val="en-US" w:eastAsia="zh-CN"/>
              </w:rPr>
              <w:t>烘干机热风炉正常运行所用木煤气量为0.43</w:t>
            </w:r>
            <w:r>
              <w:rPr>
                <w:rFonts w:hint="eastAsia"/>
                <w:kern w:val="0"/>
                <w:sz w:val="24"/>
                <w:szCs w:val="24"/>
                <w:highlight w:val="none"/>
                <w:u w:val="none" w:color="auto"/>
              </w:rPr>
              <w:t>×</w:t>
            </w:r>
            <w:r>
              <w:rPr>
                <w:rFonts w:hint="default"/>
                <w:kern w:val="0"/>
                <w:sz w:val="24"/>
                <w:szCs w:val="24"/>
                <w:highlight w:val="none"/>
                <w:u w:val="none" w:color="auto"/>
              </w:rPr>
              <w:t>10</w:t>
            </w:r>
            <w:r>
              <w:rPr>
                <w:rFonts w:hint="eastAsia"/>
                <w:kern w:val="0"/>
                <w:sz w:val="24"/>
                <w:szCs w:val="24"/>
                <w:highlight w:val="none"/>
                <w:u w:val="none" w:color="auto"/>
                <w:vertAlign w:val="superscript"/>
                <w:lang w:val="en-US" w:eastAsia="zh-CN"/>
              </w:rPr>
              <w:t>6</w:t>
            </w:r>
            <w:r>
              <w:rPr>
                <w:rFonts w:hint="default"/>
                <w:kern w:val="0"/>
                <w:sz w:val="24"/>
                <w:szCs w:val="24"/>
                <w:highlight w:val="none"/>
                <w:u w:val="none" w:color="auto"/>
              </w:rPr>
              <w:t>Nm</w:t>
            </w:r>
            <w:r>
              <w:rPr>
                <w:rFonts w:hint="default"/>
                <w:kern w:val="0"/>
                <w:sz w:val="24"/>
                <w:szCs w:val="24"/>
                <w:highlight w:val="none"/>
                <w:u w:val="none" w:color="auto"/>
                <w:vertAlign w:val="superscript"/>
              </w:rPr>
              <w:t>3</w:t>
            </w:r>
            <w:r>
              <w:rPr>
                <w:rFonts w:hint="default"/>
                <w:kern w:val="0"/>
                <w:sz w:val="24"/>
                <w:szCs w:val="24"/>
                <w:highlight w:val="none"/>
                <w:u w:val="none" w:color="auto"/>
              </w:rPr>
              <w:t>/a</w:t>
            </w:r>
            <w:r>
              <w:rPr>
                <w:rFonts w:hint="eastAsia"/>
                <w:kern w:val="0"/>
                <w:sz w:val="24"/>
                <w:szCs w:val="24"/>
                <w:highlight w:val="none"/>
                <w:u w:val="none" w:color="auto"/>
                <w:lang w:eastAsia="zh-CN"/>
              </w:rPr>
              <w:t>，</w:t>
            </w:r>
            <w:r>
              <w:rPr>
                <w:rFonts w:hint="eastAsia"/>
                <w:kern w:val="0"/>
                <w:sz w:val="24"/>
                <w:szCs w:val="24"/>
                <w:highlight w:val="none"/>
                <w:u w:val="none" w:color="auto"/>
                <w:lang w:val="en-US" w:eastAsia="zh-CN"/>
              </w:rPr>
              <w:t>则该木煤气中硫含量为21.5kg/a，环评按全部转化为二氧化硫</w:t>
            </w:r>
            <w:r>
              <w:rPr>
                <w:rFonts w:hint="eastAsia"/>
                <w:color w:val="000000" w:themeColor="text1"/>
                <w:kern w:val="0"/>
                <w:sz w:val="24"/>
                <w:szCs w:val="24"/>
                <w:highlight w:val="none"/>
                <w:u w:val="none" w:color="auto"/>
                <w:lang w:val="en-US" w:eastAsia="zh-CN"/>
                <w14:textFill>
                  <w14:solidFill>
                    <w14:schemeClr w14:val="tx1"/>
                  </w14:solidFill>
                </w14:textFill>
              </w:rPr>
              <w:t>，</w:t>
            </w:r>
            <w:r>
              <w:rPr>
                <w:rFonts w:hint="eastAsia" w:ascii="Times New Roman" w:hAnsi="Times New Roman" w:eastAsia="宋体" w:cs="Times New Roman"/>
                <w:color w:val="000000" w:themeColor="text1"/>
                <w:sz w:val="24"/>
                <w:szCs w:val="24"/>
                <w:highlight w:val="none"/>
                <w:u w:val="none" w:color="auto"/>
                <w:lang w:val="en-US" w:eastAsia="zh-CN"/>
                <w14:textFill>
                  <w14:solidFill>
                    <w14:schemeClr w14:val="tx1"/>
                  </w14:solidFill>
                </w14:textFill>
              </w:rPr>
              <w:t>根据硫平衡计算，</w:t>
            </w:r>
            <w:r>
              <w:rPr>
                <w:rFonts w:hint="eastAsia"/>
                <w:kern w:val="0"/>
                <w:sz w:val="24"/>
                <w:szCs w:val="24"/>
                <w:highlight w:val="none"/>
                <w:u w:val="none" w:color="auto"/>
                <w:lang w:val="en-US" w:eastAsia="zh-CN"/>
              </w:rPr>
              <w:t>产生的二氧化硫量为43kg/a（0.043t/a）。</w:t>
            </w:r>
          </w:p>
          <w:p w14:paraId="57B0114D">
            <w:pPr>
              <w:keepNext w:val="0"/>
              <w:keepLines w:val="0"/>
              <w:widowControl/>
              <w:suppressLineNumbers w:val="0"/>
              <w:adjustRightInd w:val="0"/>
              <w:snapToGrid w:val="0"/>
              <w:spacing w:before="0" w:beforeAutospacing="0" w:after="0" w:afterAutospacing="0" w:line="360" w:lineRule="auto"/>
              <w:ind w:left="0" w:right="0" w:firstLine="480" w:firstLineChars="200"/>
              <w:jc w:val="both"/>
              <w:rPr>
                <w:rFonts w:hint="eastAsia" w:ascii="Times New Roman" w:hAnsi="Times New Roman" w:cs="Times New Roman"/>
                <w:color w:val="000000" w:themeColor="text1"/>
                <w:sz w:val="24"/>
                <w:highlight w:val="green"/>
                <w:u w:val="none" w:color="auto"/>
                <w:lang w:eastAsia="zh-CN"/>
                <w14:textFill>
                  <w14:solidFill>
                    <w14:schemeClr w14:val="tx1"/>
                  </w14:solidFill>
                </w14:textFill>
              </w:rPr>
            </w:pPr>
            <w:r>
              <w:rPr>
                <w:rFonts w:hint="eastAsia"/>
                <w:color w:val="000000" w:themeColor="text1"/>
                <w:sz w:val="24"/>
                <w:szCs w:val="24"/>
                <w:highlight w:val="none"/>
                <w:u w:val="none" w:color="auto"/>
                <w:lang w:val="en-US" w:eastAsia="zh-CN"/>
                <w14:textFill>
                  <w14:solidFill>
                    <w14:schemeClr w14:val="tx1"/>
                  </w14:solidFill>
                </w14:textFill>
              </w:rPr>
              <w:t>木煤气</w:t>
            </w:r>
            <w:r>
              <w:rPr>
                <w:rFonts w:hint="eastAsia"/>
                <w:b w:val="0"/>
                <w:bCs/>
                <w:color w:val="000000" w:themeColor="text1"/>
                <w:sz w:val="24"/>
                <w:szCs w:val="24"/>
                <w:highlight w:val="none"/>
                <w:u w:val="none" w:color="auto"/>
                <w:lang w:val="en-US" w:eastAsia="zh-CN"/>
                <w14:textFill>
                  <w14:solidFill>
                    <w14:schemeClr w14:val="tx1"/>
                  </w14:solidFill>
                </w14:textFill>
              </w:rPr>
              <w:t>主要成分为氮气、碳氢化合物、氧气、一氧化碳等，属于清洁能源，在燃烧过程中，主要是碳氢化合物、氧气、一氧化碳等发生反应，燃烧放热，燃烧产物主要是二氧化碳和水。木煤气中的氮气与空气中的氮气一样，为惰性气体，基本不参与燃烧炉内部的燃烧反应，烘干烟气中产生的氮氧化物可能是由于空气中混有的含氮化合物进入燃烧室发生反应而产生，与燃烧天然气的情况类似。根据生态环境部2021年6月发布的《排放源统计调查产排污核算方法和系数手册》中的产污系数及</w:t>
            </w:r>
            <w:r>
              <w:rPr>
                <w:rFonts w:hint="default" w:ascii="Times New Roman" w:hAnsi="Times New Roman" w:eastAsia="宋体" w:cs="Times New Roman"/>
                <w:color w:val="000000" w:themeColor="text1"/>
                <w:kern w:val="2"/>
                <w:sz w:val="24"/>
                <w:szCs w:val="24"/>
                <w:highlight w:val="none"/>
                <w:u w:val="none" w:color="auto"/>
                <w:lang w:val="en-US" w:eastAsia="zh-CN" w:bidi="ar"/>
                <w14:textFill>
                  <w14:solidFill>
                    <w14:schemeClr w14:val="tx1"/>
                  </w14:solidFill>
                </w14:textFill>
              </w:rPr>
              <w:t>《排污许可证申请与核发技术规范 锅炉》</w:t>
            </w:r>
            <w:r>
              <w:rPr>
                <w:rFonts w:hint="eastAsia" w:ascii="Times New Roman" w:hAnsi="Times New Roman" w:eastAsia="宋体" w:cs="Times New Roman"/>
                <w:color w:val="000000" w:themeColor="text1"/>
                <w:kern w:val="2"/>
                <w:sz w:val="24"/>
                <w:szCs w:val="24"/>
                <w:highlight w:val="none"/>
                <w:u w:val="none" w:color="auto"/>
                <w:lang w:val="en-US" w:eastAsia="zh-CN" w:bidi="ar"/>
                <w14:textFill>
                  <w14:solidFill>
                    <w14:schemeClr w14:val="tx1"/>
                  </w14:solidFill>
                </w14:textFill>
              </w:rPr>
              <w:t>（</w:t>
            </w:r>
            <w:r>
              <w:rPr>
                <w:rFonts w:hint="default" w:ascii="Times New Roman" w:hAnsi="Times New Roman" w:eastAsia="宋体" w:cs="Times New Roman"/>
                <w:color w:val="000000" w:themeColor="text1"/>
                <w:kern w:val="2"/>
                <w:sz w:val="24"/>
                <w:szCs w:val="24"/>
                <w:highlight w:val="none"/>
                <w:u w:val="none" w:color="auto"/>
                <w:lang w:val="en-US" w:eastAsia="zh-CN" w:bidi="ar"/>
                <w14:textFill>
                  <w14:solidFill>
                    <w14:schemeClr w14:val="tx1"/>
                  </w14:solidFill>
                </w14:textFill>
              </w:rPr>
              <w:t>HJ953-2018</w:t>
            </w:r>
            <w:r>
              <w:rPr>
                <w:rFonts w:hint="eastAsia" w:ascii="Times New Roman" w:hAnsi="Times New Roman" w:eastAsia="宋体" w:cs="Times New Roman"/>
                <w:color w:val="000000" w:themeColor="text1"/>
                <w:kern w:val="2"/>
                <w:sz w:val="24"/>
                <w:szCs w:val="24"/>
                <w:highlight w:val="none"/>
                <w:u w:val="none" w:color="auto"/>
                <w:lang w:val="en-US" w:eastAsia="zh-CN" w:bidi="ar"/>
                <w14:textFill>
                  <w14:solidFill>
                    <w14:schemeClr w14:val="tx1"/>
                  </w14:solidFill>
                </w14:textFill>
              </w:rPr>
              <w:t>）</w:t>
            </w:r>
            <w:r>
              <w:rPr>
                <w:rFonts w:hint="default" w:ascii="Times New Roman" w:hAnsi="Times New Roman" w:eastAsia="宋体" w:cs="Times New Roman"/>
                <w:color w:val="000000" w:themeColor="text1"/>
                <w:kern w:val="2"/>
                <w:sz w:val="24"/>
                <w:szCs w:val="24"/>
                <w:highlight w:val="none"/>
                <w:u w:val="none" w:color="auto"/>
                <w:lang w:val="en-US" w:eastAsia="zh-CN" w:bidi="ar"/>
                <w14:textFill>
                  <w14:solidFill>
                    <w14:schemeClr w14:val="tx1"/>
                  </w14:solidFill>
                </w14:textFill>
              </w:rPr>
              <w:t>表F.3燃气工业锅炉废气产排污系数</w:t>
            </w:r>
            <w:r>
              <w:rPr>
                <w:rFonts w:hint="eastAsia"/>
                <w:b w:val="0"/>
                <w:bCs/>
                <w:color w:val="000000" w:themeColor="text1"/>
                <w:sz w:val="24"/>
                <w:szCs w:val="24"/>
                <w:highlight w:val="none"/>
                <w:u w:val="none" w:color="auto"/>
                <w:lang w:val="en-US" w:eastAsia="zh-CN"/>
                <w14:textFill>
                  <w14:solidFill>
                    <w14:schemeClr w14:val="tx1"/>
                  </w14:solidFill>
                </w14:textFill>
              </w:rPr>
              <w:t>，无木煤气燃烧产污系数，故评价参考</w:t>
            </w:r>
            <w:r>
              <w:rPr>
                <w:rFonts w:hint="default" w:ascii="Times New Roman" w:hAnsi="Times New Roman" w:eastAsia="宋体" w:cs="Times New Roman"/>
                <w:color w:val="000000" w:themeColor="text1"/>
                <w:kern w:val="2"/>
                <w:sz w:val="24"/>
                <w:szCs w:val="24"/>
                <w:highlight w:val="none"/>
                <w:u w:val="none" w:color="auto"/>
                <w:lang w:val="en-US" w:eastAsia="zh-CN" w:bidi="ar"/>
                <w14:textFill>
                  <w14:solidFill>
                    <w14:schemeClr w14:val="tx1"/>
                  </w14:solidFill>
                </w14:textFill>
              </w:rPr>
              <w:t>《排污许可证申请与核发技术规范 锅炉》</w:t>
            </w:r>
            <w:r>
              <w:rPr>
                <w:rFonts w:hint="eastAsia" w:ascii="Times New Roman" w:hAnsi="Times New Roman" w:eastAsia="宋体" w:cs="Times New Roman"/>
                <w:color w:val="000000" w:themeColor="text1"/>
                <w:kern w:val="2"/>
                <w:sz w:val="24"/>
                <w:szCs w:val="24"/>
                <w:highlight w:val="none"/>
                <w:u w:val="none" w:color="auto"/>
                <w:lang w:val="en-US" w:eastAsia="zh-CN" w:bidi="ar"/>
                <w14:textFill>
                  <w14:solidFill>
                    <w14:schemeClr w14:val="tx1"/>
                  </w14:solidFill>
                </w14:textFill>
              </w:rPr>
              <w:t>（</w:t>
            </w:r>
            <w:r>
              <w:rPr>
                <w:rFonts w:hint="default" w:ascii="Times New Roman" w:hAnsi="Times New Roman" w:eastAsia="宋体" w:cs="Times New Roman"/>
                <w:color w:val="000000" w:themeColor="text1"/>
                <w:kern w:val="2"/>
                <w:sz w:val="24"/>
                <w:szCs w:val="24"/>
                <w:highlight w:val="none"/>
                <w:u w:val="none" w:color="auto"/>
                <w:lang w:val="en-US" w:eastAsia="zh-CN" w:bidi="ar"/>
                <w14:textFill>
                  <w14:solidFill>
                    <w14:schemeClr w14:val="tx1"/>
                  </w14:solidFill>
                </w14:textFill>
              </w:rPr>
              <w:t>HJ953-2018</w:t>
            </w:r>
            <w:r>
              <w:rPr>
                <w:rFonts w:hint="eastAsia" w:ascii="Times New Roman" w:hAnsi="Times New Roman" w:eastAsia="宋体" w:cs="Times New Roman"/>
                <w:color w:val="000000" w:themeColor="text1"/>
                <w:kern w:val="2"/>
                <w:sz w:val="24"/>
                <w:szCs w:val="24"/>
                <w:highlight w:val="none"/>
                <w:u w:val="none" w:color="auto"/>
                <w:lang w:val="en-US" w:eastAsia="zh-CN" w:bidi="ar"/>
                <w14:textFill>
                  <w14:solidFill>
                    <w14:schemeClr w14:val="tx1"/>
                  </w14:solidFill>
                </w14:textFill>
              </w:rPr>
              <w:t>）</w:t>
            </w:r>
            <w:r>
              <w:rPr>
                <w:rFonts w:hint="default" w:ascii="Times New Roman" w:hAnsi="Times New Roman" w:eastAsia="宋体" w:cs="Times New Roman"/>
                <w:color w:val="000000" w:themeColor="text1"/>
                <w:kern w:val="2"/>
                <w:sz w:val="24"/>
                <w:szCs w:val="24"/>
                <w:highlight w:val="none"/>
                <w:u w:val="none" w:color="auto"/>
                <w:lang w:val="en-US" w:eastAsia="zh-CN" w:bidi="ar"/>
                <w14:textFill>
                  <w14:solidFill>
                    <w14:schemeClr w14:val="tx1"/>
                  </w14:solidFill>
                </w14:textFill>
              </w:rPr>
              <w:t>表F.3燃气工业锅炉废气产排污系数</w:t>
            </w:r>
            <w:r>
              <w:rPr>
                <w:rFonts w:hint="eastAsia"/>
                <w:b w:val="0"/>
                <w:bCs/>
                <w:color w:val="000000" w:themeColor="text1"/>
                <w:sz w:val="24"/>
                <w:szCs w:val="24"/>
                <w:highlight w:val="none"/>
                <w:u w:val="none" w:color="auto"/>
                <w:lang w:val="en-US" w:eastAsia="zh-CN"/>
                <w14:textFill>
                  <w14:solidFill>
                    <w14:schemeClr w14:val="tx1"/>
                  </w14:solidFill>
                </w14:textFill>
              </w:rPr>
              <w:t>中天然气工业锅炉氮氧化物产污系数计算木煤气燃烧废气中氮氧化物量。根据该产污系数：</w:t>
            </w:r>
            <w:r>
              <w:rPr>
                <w:rFonts w:hint="default"/>
                <w:sz w:val="24"/>
                <w:szCs w:val="24"/>
                <w:highlight w:val="none"/>
                <w:u w:val="none" w:color="auto"/>
                <w:lang w:bidi="ar"/>
              </w:rPr>
              <w:t>氮氧化物产生系数为18.71kg/万立方米-燃料</w:t>
            </w:r>
            <w:r>
              <w:rPr>
                <w:rFonts w:hint="eastAsia" w:ascii="Times New Roman" w:hAnsi="Times New Roman" w:eastAsia="宋体" w:cs="Times New Roman"/>
                <w:color w:val="000000" w:themeColor="text1"/>
                <w:kern w:val="2"/>
                <w:sz w:val="24"/>
                <w:szCs w:val="24"/>
                <w:highlight w:val="none"/>
                <w:u w:val="none" w:color="auto"/>
                <w:lang w:val="en-US" w:eastAsia="zh-CN" w:bidi="ar"/>
                <w14:textFill>
                  <w14:solidFill>
                    <w14:schemeClr w14:val="tx1"/>
                  </w14:solidFill>
                </w14:textFill>
              </w:rPr>
              <w:t>，则氮氧化物产生量为0.0071t/a。烟尘产污系数参照</w:t>
            </w:r>
            <w:r>
              <w:rPr>
                <w:rFonts w:hint="default" w:ascii="Times New Roman" w:hAnsi="Times New Roman" w:cs="Times New Roman"/>
                <w:color w:val="000000" w:themeColor="text1"/>
                <w:sz w:val="24"/>
                <w:highlight w:val="none"/>
                <w:u w:val="none" w:color="auto"/>
                <w14:textFill>
                  <w14:solidFill>
                    <w14:schemeClr w14:val="tx1"/>
                  </w14:solidFill>
                </w14:textFill>
              </w:rPr>
              <w:t>《社会区域类环境影响评价》（环评工程师培训教材）</w:t>
            </w:r>
            <w:r>
              <w:rPr>
                <w:rFonts w:hint="eastAsia" w:ascii="Times New Roman" w:hAnsi="Times New Roman" w:cs="Times New Roman"/>
                <w:color w:val="000000" w:themeColor="text1"/>
                <w:sz w:val="24"/>
                <w:highlight w:val="none"/>
                <w:u w:val="none" w:color="auto"/>
                <w:lang w:val="en-US" w:eastAsia="zh-CN"/>
                <w14:textFill>
                  <w14:solidFill>
                    <w14:schemeClr w14:val="tx1"/>
                  </w14:solidFill>
                </w14:textFill>
              </w:rPr>
              <w:t>中</w:t>
            </w:r>
            <w:r>
              <w:rPr>
                <w:rFonts w:hint="default" w:ascii="Times New Roman" w:hAnsi="Times New Roman" w:cs="Times New Roman"/>
                <w:color w:val="000000" w:themeColor="text1"/>
                <w:sz w:val="24"/>
                <w:highlight w:val="none"/>
                <w:u w:val="none" w:color="auto"/>
                <w14:textFill>
                  <w14:solidFill>
                    <w14:schemeClr w14:val="tx1"/>
                  </w14:solidFill>
                </w14:textFill>
              </w:rPr>
              <w:t>天然气燃烧产生的烟尘产污系数</w:t>
            </w:r>
            <w:r>
              <w:rPr>
                <w:rFonts w:hint="eastAsia" w:ascii="Times New Roman" w:hAnsi="Times New Roman" w:cs="Times New Roman"/>
                <w:color w:val="000000" w:themeColor="text1"/>
                <w:sz w:val="24"/>
                <w:highlight w:val="none"/>
                <w:u w:val="none" w:color="auto"/>
                <w:lang w:eastAsia="zh-CN"/>
                <w14:textFill>
                  <w14:solidFill>
                    <w14:schemeClr w14:val="tx1"/>
                  </w14:solidFill>
                </w14:textFill>
              </w:rPr>
              <w:t>，</w:t>
            </w:r>
            <w:r>
              <w:rPr>
                <w:rFonts w:hint="eastAsia" w:ascii="Times New Roman" w:hAnsi="Times New Roman" w:cs="Times New Roman"/>
                <w:color w:val="000000" w:themeColor="text1"/>
                <w:sz w:val="24"/>
                <w:highlight w:val="none"/>
                <w:u w:val="none" w:color="auto"/>
                <w:lang w:val="en-US" w:eastAsia="zh-CN"/>
                <w14:textFill>
                  <w14:solidFill>
                    <w14:schemeClr w14:val="tx1"/>
                  </w14:solidFill>
                </w14:textFill>
              </w:rPr>
              <w:t>则本项目木煤气燃烧后烟尘产生量为</w:t>
            </w:r>
            <w:r>
              <w:rPr>
                <w:rFonts w:hint="default" w:ascii="Times New Roman" w:hAnsi="Times New Roman" w:cs="Times New Roman"/>
                <w:color w:val="000000" w:themeColor="text1"/>
                <w:sz w:val="24"/>
                <w:highlight w:val="none"/>
                <w:u w:val="none" w:color="auto"/>
                <w14:textFill>
                  <w14:solidFill>
                    <w14:schemeClr w14:val="tx1"/>
                  </w14:solidFill>
                </w14:textFill>
              </w:rPr>
              <w:t>0.5kg/万m</w:t>
            </w:r>
            <w:r>
              <w:rPr>
                <w:rFonts w:hint="default" w:ascii="Times New Roman" w:hAnsi="Times New Roman" w:cs="Times New Roman"/>
                <w:color w:val="000000" w:themeColor="text1"/>
                <w:sz w:val="24"/>
                <w:highlight w:val="none"/>
                <w:u w:val="none" w:color="auto"/>
                <w:vertAlign w:val="superscript"/>
                <w14:textFill>
                  <w14:solidFill>
                    <w14:schemeClr w14:val="tx1"/>
                  </w14:solidFill>
                </w14:textFill>
              </w:rPr>
              <w:t>3</w:t>
            </w:r>
            <w:r>
              <w:rPr>
                <w:rFonts w:hint="default" w:ascii="Times New Roman" w:hAnsi="Times New Roman" w:cs="Times New Roman"/>
                <w:color w:val="000000" w:themeColor="text1"/>
                <w:sz w:val="24"/>
                <w:highlight w:val="none"/>
                <w:u w:val="none" w:color="auto"/>
                <w14:textFill>
                  <w14:solidFill>
                    <w14:schemeClr w14:val="tx1"/>
                  </w14:solidFill>
                </w14:textFill>
              </w:rPr>
              <w:t>-原料</w:t>
            </w:r>
            <w:r>
              <w:rPr>
                <w:rFonts w:hint="eastAsia" w:ascii="Times New Roman" w:hAnsi="Times New Roman" w:cs="Times New Roman"/>
                <w:color w:val="000000" w:themeColor="text1"/>
                <w:sz w:val="24"/>
                <w:highlight w:val="none"/>
                <w:u w:val="none" w:color="auto"/>
                <w:lang w:eastAsia="zh-CN"/>
                <w14:textFill>
                  <w14:solidFill>
                    <w14:schemeClr w14:val="tx1"/>
                  </w14:solidFill>
                </w14:textFill>
              </w:rPr>
              <w:t>，</w:t>
            </w:r>
            <w:r>
              <w:rPr>
                <w:rFonts w:hint="eastAsia" w:ascii="Times New Roman" w:hAnsi="Times New Roman" w:cs="Times New Roman"/>
                <w:color w:val="000000" w:themeColor="text1"/>
                <w:sz w:val="24"/>
                <w:highlight w:val="none"/>
                <w:u w:val="none" w:color="auto"/>
                <w:lang w:val="en-US" w:eastAsia="zh-CN"/>
                <w14:textFill>
                  <w14:solidFill>
                    <w14:schemeClr w14:val="tx1"/>
                  </w14:solidFill>
                </w14:textFill>
              </w:rPr>
              <w:t>即3.79kg/a</w:t>
            </w:r>
            <w:r>
              <w:rPr>
                <w:rFonts w:hint="eastAsia" w:ascii="Times New Roman" w:hAnsi="Times New Roman" w:cs="Times New Roman"/>
                <w:color w:val="000000" w:themeColor="text1"/>
                <w:sz w:val="24"/>
                <w:highlight w:val="none"/>
                <w:u w:val="none" w:color="auto"/>
                <w:lang w:eastAsia="zh-CN"/>
                <w14:textFill>
                  <w14:solidFill>
                    <w14:schemeClr w14:val="tx1"/>
                  </w14:solidFill>
                </w14:textFill>
              </w:rPr>
              <w:t>。</w:t>
            </w:r>
          </w:p>
          <w:p w14:paraId="60E9B667">
            <w:pPr>
              <w:keepNext w:val="0"/>
              <w:keepLines w:val="0"/>
              <w:suppressLineNumbers w:val="0"/>
              <w:snapToGrid w:val="0"/>
              <w:spacing w:before="0" w:beforeAutospacing="0" w:after="0" w:afterAutospacing="0" w:line="360" w:lineRule="auto"/>
              <w:ind w:left="0" w:right="0" w:firstLine="480" w:firstLineChars="200"/>
              <w:rPr>
                <w:rFonts w:hint="eastAsia"/>
                <w:color w:val="auto"/>
                <w:sz w:val="24"/>
                <w:szCs w:val="24"/>
              </w:rPr>
            </w:pPr>
            <w:r>
              <w:rPr>
                <w:rFonts w:hint="eastAsia"/>
                <w:color w:val="auto"/>
                <w:sz w:val="24"/>
                <w:u w:val="none" w:color="auto"/>
                <w:lang w:val="en-US" w:eastAsia="zh-CN"/>
              </w:rPr>
              <w:t>参照</w:t>
            </w:r>
            <w:r>
              <w:rPr>
                <w:rFonts w:hint="default" w:ascii="Times New Roman" w:hAnsi="Times New Roman" w:eastAsia="宋体" w:cs="Times New Roman"/>
                <w:color w:val="auto"/>
                <w:kern w:val="2"/>
                <w:sz w:val="24"/>
                <w:szCs w:val="24"/>
                <w:u w:val="none" w:color="auto"/>
                <w:lang w:val="en-US" w:eastAsia="zh-CN" w:bidi="ar"/>
              </w:rPr>
              <w:t>《排污许可证申请与核发技术规范 锅炉》</w:t>
            </w:r>
            <w:r>
              <w:rPr>
                <w:rFonts w:hint="eastAsia" w:ascii="Times New Roman" w:hAnsi="Times New Roman" w:eastAsia="宋体" w:cs="Times New Roman"/>
                <w:color w:val="auto"/>
                <w:kern w:val="2"/>
                <w:sz w:val="24"/>
                <w:szCs w:val="24"/>
                <w:u w:val="none" w:color="auto"/>
                <w:lang w:val="en-US" w:eastAsia="zh-CN" w:bidi="ar"/>
              </w:rPr>
              <w:t>（</w:t>
            </w:r>
            <w:r>
              <w:rPr>
                <w:rFonts w:hint="default" w:ascii="Times New Roman" w:hAnsi="Times New Roman" w:eastAsia="宋体" w:cs="Times New Roman"/>
                <w:color w:val="auto"/>
                <w:kern w:val="2"/>
                <w:sz w:val="24"/>
                <w:szCs w:val="24"/>
                <w:u w:val="none" w:color="auto"/>
                <w:lang w:val="en-US" w:eastAsia="zh-CN" w:bidi="ar"/>
              </w:rPr>
              <w:t>HJ953-2018</w:t>
            </w:r>
            <w:r>
              <w:rPr>
                <w:rFonts w:hint="eastAsia" w:ascii="Times New Roman" w:hAnsi="Times New Roman" w:eastAsia="宋体" w:cs="Times New Roman"/>
                <w:color w:val="auto"/>
                <w:kern w:val="2"/>
                <w:sz w:val="24"/>
                <w:szCs w:val="24"/>
                <w:u w:val="none" w:color="auto"/>
                <w:lang w:val="en-US" w:eastAsia="zh-CN" w:bidi="ar"/>
              </w:rPr>
              <w:t>）</w:t>
            </w:r>
            <w:r>
              <w:rPr>
                <w:rFonts w:hint="default" w:ascii="Times New Roman" w:hAnsi="Times New Roman" w:eastAsia="宋体" w:cs="Times New Roman"/>
                <w:color w:val="auto"/>
                <w:kern w:val="2"/>
                <w:sz w:val="24"/>
                <w:szCs w:val="24"/>
                <w:u w:val="none" w:color="auto"/>
                <w:lang w:val="en-US" w:eastAsia="zh-CN" w:bidi="ar"/>
              </w:rPr>
              <w:t>表F.3燃气工业锅炉废气产排污系数可知，二氧化硫产生系数为0.02Skg/万立方米-燃料（S为天然气含硫量），项目所用天然气符合国家标准《天然气》（GB176820-2018）中的1类天然气，含硫量小于20毫克/立方米，本项目按照最不利性影响计算，取20mg/m</w:t>
            </w:r>
            <w:r>
              <w:rPr>
                <w:rFonts w:hint="default" w:ascii="Times New Roman" w:hAnsi="Times New Roman" w:eastAsia="宋体" w:cs="Times New Roman"/>
                <w:color w:val="auto"/>
                <w:kern w:val="2"/>
                <w:sz w:val="24"/>
                <w:szCs w:val="24"/>
                <w:u w:val="none" w:color="auto"/>
                <w:vertAlign w:val="superscript"/>
                <w:lang w:val="en-US" w:eastAsia="zh-CN" w:bidi="ar"/>
              </w:rPr>
              <w:t>3</w:t>
            </w:r>
            <w:r>
              <w:rPr>
                <w:rFonts w:hint="default" w:ascii="Times New Roman" w:hAnsi="Times New Roman" w:eastAsia="宋体" w:cs="Times New Roman"/>
                <w:color w:val="auto"/>
                <w:kern w:val="2"/>
                <w:sz w:val="24"/>
                <w:szCs w:val="24"/>
                <w:u w:val="none" w:color="auto"/>
                <w:lang w:val="en-US" w:eastAsia="zh-CN" w:bidi="ar"/>
              </w:rPr>
              <w:t>，经计算二氧化硫的产污系数为0.4千克/万立方米-燃料。</w:t>
            </w:r>
            <w:r>
              <w:rPr>
                <w:rFonts w:hint="default"/>
                <w:color w:val="auto"/>
                <w:sz w:val="24"/>
                <w:szCs w:val="24"/>
                <w:u w:val="none" w:color="auto"/>
                <w:lang w:bidi="ar"/>
              </w:rPr>
              <w:t>氮氧化物产生系数为18.71kg/万立方米-燃料</w:t>
            </w:r>
            <w:r>
              <w:rPr>
                <w:rFonts w:hint="eastAsia" w:ascii="Times New Roman" w:hAnsi="Times New Roman" w:eastAsia="宋体" w:cs="Times New Roman"/>
                <w:color w:val="auto"/>
                <w:kern w:val="2"/>
                <w:sz w:val="24"/>
                <w:szCs w:val="24"/>
                <w:u w:val="none" w:color="auto"/>
                <w:lang w:val="en-US" w:eastAsia="zh-CN" w:bidi="ar"/>
              </w:rPr>
              <w:t>；</w:t>
            </w:r>
            <w:r>
              <w:rPr>
                <w:rFonts w:hint="default" w:ascii="Times New Roman" w:hAnsi="Times New Roman" w:cs="Times New Roman"/>
                <w:color w:val="auto"/>
                <w:sz w:val="24"/>
                <w:u w:val="none" w:color="auto"/>
              </w:rPr>
              <w:t>根据《社会区域类环境影响评价》（环评工程师培训教材），天然气燃烧产生的烟尘产污系数为0.5kg/万m</w:t>
            </w:r>
            <w:r>
              <w:rPr>
                <w:rFonts w:hint="default" w:ascii="Times New Roman" w:hAnsi="Times New Roman" w:cs="Times New Roman"/>
                <w:color w:val="auto"/>
                <w:sz w:val="24"/>
                <w:u w:val="none" w:color="auto"/>
                <w:vertAlign w:val="superscript"/>
              </w:rPr>
              <w:t>3</w:t>
            </w:r>
            <w:r>
              <w:rPr>
                <w:rFonts w:hint="default" w:ascii="Times New Roman" w:hAnsi="Times New Roman" w:cs="Times New Roman"/>
                <w:color w:val="auto"/>
                <w:sz w:val="24"/>
                <w:u w:val="none" w:color="auto"/>
              </w:rPr>
              <w:t>-原料</w:t>
            </w:r>
            <w:r>
              <w:rPr>
                <w:rFonts w:hint="eastAsia" w:ascii="Times New Roman" w:hAnsi="Times New Roman" w:cs="Times New Roman"/>
                <w:color w:val="auto"/>
                <w:sz w:val="24"/>
                <w:u w:val="none" w:color="auto"/>
                <w:lang w:eastAsia="zh-CN"/>
              </w:rPr>
              <w:t>。</w:t>
            </w:r>
            <w:r>
              <w:rPr>
                <w:rFonts w:hint="eastAsia"/>
                <w:color w:val="auto"/>
                <w:sz w:val="24"/>
                <w:szCs w:val="24"/>
              </w:rPr>
              <w:t>计算结果见</w:t>
            </w:r>
            <w:r>
              <w:rPr>
                <w:rFonts w:hint="eastAsia"/>
                <w:color w:val="auto"/>
                <w:sz w:val="24"/>
                <w:szCs w:val="24"/>
                <w:lang w:val="en-US" w:eastAsia="zh-CN"/>
              </w:rPr>
              <w:t>下表</w:t>
            </w:r>
            <w:r>
              <w:rPr>
                <w:rFonts w:hint="eastAsia"/>
                <w:color w:val="auto"/>
                <w:sz w:val="24"/>
                <w:szCs w:val="24"/>
              </w:rPr>
              <w:t>。</w:t>
            </w:r>
          </w:p>
          <w:p w14:paraId="4028258B">
            <w:pPr>
              <w:keepNext w:val="0"/>
              <w:keepLines w:val="0"/>
              <w:suppressLineNumbers w:val="0"/>
              <w:spacing w:before="0" w:beforeAutospacing="0" w:after="0" w:afterAutospacing="0" w:line="360" w:lineRule="auto"/>
              <w:ind w:left="0" w:right="0"/>
              <w:jc w:val="center"/>
              <w:rPr>
                <w:rFonts w:hint="default"/>
                <w:b/>
                <w:color w:val="auto"/>
                <w:sz w:val="24"/>
                <w:szCs w:val="24"/>
              </w:rPr>
            </w:pPr>
            <w:r>
              <w:rPr>
                <w:rFonts w:hint="default"/>
                <w:b/>
                <w:color w:val="auto"/>
                <w:sz w:val="24"/>
                <w:szCs w:val="24"/>
              </w:rPr>
              <w:t>表</w:t>
            </w:r>
            <w:r>
              <w:rPr>
                <w:rFonts w:hint="eastAsia"/>
                <w:b/>
                <w:color w:val="auto"/>
                <w:sz w:val="24"/>
                <w:szCs w:val="24"/>
                <w:lang w:val="en-US" w:eastAsia="zh-CN"/>
              </w:rPr>
              <w:t xml:space="preserve">4-2 </w:t>
            </w:r>
            <w:r>
              <w:rPr>
                <w:rFonts w:hint="default"/>
                <w:b/>
                <w:color w:val="auto"/>
                <w:sz w:val="24"/>
                <w:szCs w:val="24"/>
              </w:rPr>
              <w:t xml:space="preserve"> 本项目</w:t>
            </w:r>
            <w:r>
              <w:rPr>
                <w:rFonts w:hint="eastAsia"/>
                <w:b/>
                <w:color w:val="auto"/>
                <w:sz w:val="24"/>
                <w:szCs w:val="24"/>
                <w:lang w:val="en-US" w:eastAsia="zh-CN"/>
              </w:rPr>
              <w:t>烘干机热风炉燃烧废气产生情况一览表</w:t>
            </w:r>
          </w:p>
          <w:tbl>
            <w:tblPr>
              <w:tblStyle w:val="29"/>
              <w:tblW w:w="928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40"/>
              <w:gridCol w:w="2027"/>
              <w:gridCol w:w="818"/>
              <w:gridCol w:w="1409"/>
              <w:gridCol w:w="1118"/>
              <w:gridCol w:w="914"/>
              <w:gridCol w:w="869"/>
              <w:gridCol w:w="894"/>
            </w:tblGrid>
            <w:tr w14:paraId="4DC234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1" w:type="pct"/>
                  <w:noWrap w:val="0"/>
                  <w:vAlign w:val="center"/>
                </w:tcPr>
                <w:p w14:paraId="537C7727">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工序</w:t>
                  </w:r>
                </w:p>
              </w:tc>
              <w:tc>
                <w:tcPr>
                  <w:tcW w:w="922" w:type="pct"/>
                  <w:noWrap w:val="0"/>
                  <w:vAlign w:val="center"/>
                </w:tcPr>
                <w:p w14:paraId="6FD13D70">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燃料名称</w:t>
                  </w:r>
                </w:p>
              </w:tc>
              <w:tc>
                <w:tcPr>
                  <w:tcW w:w="474" w:type="pct"/>
                  <w:shd w:val="clear" w:color="auto" w:fill="auto"/>
                  <w:noWrap w:val="0"/>
                  <w:vAlign w:val="center"/>
                </w:tcPr>
                <w:p w14:paraId="6F1257E0">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cs="Times New Roman"/>
                      <w:color w:val="000000" w:themeColor="text1"/>
                      <w:sz w:val="21"/>
                      <w:szCs w:val="21"/>
                      <w:u w:val="none" w:color="auto"/>
                      <w14:textFill>
                        <w14:solidFill>
                          <w14:schemeClr w14:val="tx1"/>
                        </w14:solidFill>
                      </w14:textFill>
                    </w:rPr>
                    <w:t>污染物指标</w:t>
                  </w:r>
                </w:p>
              </w:tc>
              <w:tc>
                <w:tcPr>
                  <w:tcW w:w="792" w:type="pct"/>
                  <w:shd w:val="clear" w:color="auto" w:fill="auto"/>
                  <w:noWrap w:val="0"/>
                  <w:vAlign w:val="center"/>
                </w:tcPr>
                <w:p w14:paraId="7D9AAFB4">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cs="Times New Roman"/>
                      <w:color w:val="000000" w:themeColor="text1"/>
                      <w:sz w:val="21"/>
                      <w:szCs w:val="21"/>
                      <w:u w:val="none" w:color="auto"/>
                      <w14:textFill>
                        <w14:solidFill>
                          <w14:schemeClr w14:val="tx1"/>
                        </w14:solidFill>
                      </w14:textFill>
                    </w:rPr>
                    <w:t>单位</w:t>
                  </w:r>
                </w:p>
              </w:tc>
              <w:tc>
                <w:tcPr>
                  <w:tcW w:w="601" w:type="pct"/>
                  <w:shd w:val="clear" w:color="auto" w:fill="auto"/>
                  <w:noWrap w:val="0"/>
                  <w:vAlign w:val="center"/>
                </w:tcPr>
                <w:p w14:paraId="1387F62A">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cs="Times New Roman"/>
                      <w:color w:val="000000" w:themeColor="text1"/>
                      <w:sz w:val="21"/>
                      <w:szCs w:val="21"/>
                      <w:u w:val="none" w:color="auto"/>
                      <w14:textFill>
                        <w14:solidFill>
                          <w14:schemeClr w14:val="tx1"/>
                        </w14:solidFill>
                      </w14:textFill>
                    </w:rPr>
                    <w:t>产污系数</w:t>
                  </w:r>
                </w:p>
              </w:tc>
              <w:tc>
                <w:tcPr>
                  <w:tcW w:w="525" w:type="pct"/>
                  <w:shd w:val="clear" w:color="auto" w:fill="auto"/>
                  <w:noWrap w:val="0"/>
                  <w:vAlign w:val="center"/>
                </w:tcPr>
                <w:p w14:paraId="4DF12B52">
                  <w:pPr>
                    <w:keepNext w:val="0"/>
                    <w:keepLines w:val="0"/>
                    <w:suppressLineNumbers w:val="0"/>
                    <w:adjustRightInd w:val="0"/>
                    <w:snapToGrid w:val="0"/>
                    <w:spacing w:before="0" w:beforeAutospacing="0" w:after="0" w:afterAutospacing="0" w:line="240" w:lineRule="auto"/>
                    <w:ind w:left="0" w:leftChars="0" w:right="0" w:rightChars="0"/>
                    <w:jc w:val="center"/>
                    <w:rPr>
                      <w:rFonts w:hint="eastAsia"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cs="Times New Roman"/>
                      <w:color w:val="000000" w:themeColor="text1"/>
                      <w:sz w:val="21"/>
                      <w:szCs w:val="21"/>
                      <w:u w:val="none" w:color="auto"/>
                      <w14:textFill>
                        <w14:solidFill>
                          <w14:schemeClr w14:val="tx1"/>
                        </w14:solidFill>
                      </w14:textFill>
                    </w:rPr>
                    <w:t>产生量</w:t>
                  </w:r>
                  <w:r>
                    <w:rPr>
                      <w:rFonts w:hint="eastAsia" w:ascii="Times New Roman" w:hAnsi="Times New Roman" w:cs="Times New Roman"/>
                      <w:color w:val="000000" w:themeColor="text1"/>
                      <w:sz w:val="21"/>
                      <w:szCs w:val="21"/>
                      <w:u w:val="none" w:color="auto"/>
                      <w:lang w:eastAsia="zh-CN"/>
                      <w14:textFill>
                        <w14:solidFill>
                          <w14:schemeClr w14:val="tx1"/>
                        </w14:solidFill>
                      </w14:textFill>
                    </w:rPr>
                    <w:t>（</w:t>
                  </w: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t/a</w:t>
                  </w:r>
                  <w:r>
                    <w:rPr>
                      <w:rFonts w:hint="eastAsia" w:ascii="Times New Roman" w:hAnsi="Times New Roman" w:cs="Times New Roman"/>
                      <w:color w:val="000000" w:themeColor="text1"/>
                      <w:sz w:val="21"/>
                      <w:szCs w:val="21"/>
                      <w:u w:val="none" w:color="auto"/>
                      <w:lang w:eastAsia="zh-CN"/>
                      <w14:textFill>
                        <w14:solidFill>
                          <w14:schemeClr w14:val="tx1"/>
                        </w14:solidFill>
                      </w14:textFill>
                    </w:rPr>
                    <w:t>）</w:t>
                  </w:r>
                </w:p>
              </w:tc>
              <w:tc>
                <w:tcPr>
                  <w:tcW w:w="501" w:type="pct"/>
                  <w:shd w:val="clear" w:color="auto" w:fill="auto"/>
                  <w:noWrap w:val="0"/>
                  <w:vAlign w:val="center"/>
                </w:tcPr>
                <w:p w14:paraId="3A5BFB6D">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产生速率kg/h</w:t>
                  </w:r>
                </w:p>
              </w:tc>
              <w:tc>
                <w:tcPr>
                  <w:tcW w:w="480" w:type="pct"/>
                  <w:shd w:val="clear" w:color="auto" w:fill="auto"/>
                  <w:noWrap w:val="0"/>
                  <w:vAlign w:val="center"/>
                </w:tcPr>
                <w:p w14:paraId="080348C4">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时间</w:t>
                  </w:r>
                </w:p>
              </w:tc>
            </w:tr>
            <w:tr w14:paraId="522B2D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1" w:type="pct"/>
                  <w:vMerge w:val="restart"/>
                  <w:shd w:val="clear" w:color="auto" w:fill="auto"/>
                  <w:noWrap w:val="0"/>
                  <w:vAlign w:val="center"/>
                </w:tcPr>
                <w:p w14:paraId="2ADBCBBE">
                  <w:pPr>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燃料燃烧过程产生的废气</w:t>
                  </w:r>
                </w:p>
              </w:tc>
              <w:tc>
                <w:tcPr>
                  <w:tcW w:w="922" w:type="pct"/>
                  <w:vMerge w:val="restart"/>
                  <w:noWrap w:val="0"/>
                  <w:vAlign w:val="center"/>
                </w:tcPr>
                <w:p w14:paraId="708ACE7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木煤气（</w:t>
                  </w:r>
                  <w:r>
                    <w:rPr>
                      <w:rFonts w:hint="eastAsia"/>
                      <w:color w:val="000000" w:themeColor="text1"/>
                      <w:sz w:val="21"/>
                      <w:szCs w:val="21"/>
                      <w:highlight w:val="none"/>
                      <w:u w:val="none" w:color="auto"/>
                      <w:lang w:val="en-US" w:eastAsia="zh-CN"/>
                      <w14:textFill>
                        <w14:solidFill>
                          <w14:schemeClr w14:val="tx1"/>
                        </w14:solidFill>
                      </w14:textFill>
                    </w:rPr>
                    <w:t>0.43</w:t>
                  </w:r>
                  <w:r>
                    <w:rPr>
                      <w:rFonts w:hint="eastAsia"/>
                      <w:color w:val="000000" w:themeColor="text1"/>
                      <w:kern w:val="0"/>
                      <w:sz w:val="21"/>
                      <w:szCs w:val="21"/>
                      <w:highlight w:val="none"/>
                      <w:u w:val="none" w:color="auto"/>
                      <w14:textFill>
                        <w14:solidFill>
                          <w14:schemeClr w14:val="tx1"/>
                        </w14:solidFill>
                      </w14:textFill>
                    </w:rPr>
                    <w:t>×</w:t>
                  </w:r>
                  <w:r>
                    <w:rPr>
                      <w:rFonts w:hint="default"/>
                      <w:color w:val="000000" w:themeColor="text1"/>
                      <w:kern w:val="0"/>
                      <w:sz w:val="21"/>
                      <w:szCs w:val="21"/>
                      <w:highlight w:val="none"/>
                      <w:u w:val="none" w:color="auto"/>
                      <w14:textFill>
                        <w14:solidFill>
                          <w14:schemeClr w14:val="tx1"/>
                        </w14:solidFill>
                      </w14:textFill>
                    </w:rPr>
                    <w:t>10</w:t>
                  </w:r>
                  <w:r>
                    <w:rPr>
                      <w:rFonts w:hint="eastAsia"/>
                      <w:color w:val="000000" w:themeColor="text1"/>
                      <w:kern w:val="0"/>
                      <w:sz w:val="21"/>
                      <w:szCs w:val="21"/>
                      <w:highlight w:val="none"/>
                      <w:u w:val="none" w:color="auto"/>
                      <w:vertAlign w:val="superscript"/>
                      <w:lang w:val="en-US" w:eastAsia="zh-CN"/>
                      <w14:textFill>
                        <w14:solidFill>
                          <w14:schemeClr w14:val="tx1"/>
                        </w14:solidFill>
                      </w14:textFill>
                    </w:rPr>
                    <w:t>6</w:t>
                  </w:r>
                  <w:r>
                    <w:rPr>
                      <w:rFonts w:hint="default" w:ascii="Times New Roman" w:hAnsi="Times New Roman" w:cs="Times New Roman"/>
                      <w:color w:val="000000" w:themeColor="text1"/>
                      <w:kern w:val="0"/>
                      <w:sz w:val="21"/>
                      <w:szCs w:val="21"/>
                      <w:u w:val="none" w:color="auto"/>
                      <w14:textFill>
                        <w14:solidFill>
                          <w14:schemeClr w14:val="tx1"/>
                        </w14:solidFill>
                      </w14:textFill>
                    </w:rPr>
                    <w:t>Nm</w:t>
                  </w:r>
                  <w:r>
                    <w:rPr>
                      <w:rFonts w:hint="default" w:ascii="Times New Roman" w:hAnsi="Times New Roman" w:cs="Times New Roman"/>
                      <w:color w:val="000000" w:themeColor="text1"/>
                      <w:kern w:val="0"/>
                      <w:sz w:val="21"/>
                      <w:szCs w:val="21"/>
                      <w:u w:val="none" w:color="auto"/>
                      <w:vertAlign w:val="superscript"/>
                      <w14:textFill>
                        <w14:solidFill>
                          <w14:schemeClr w14:val="tx1"/>
                        </w14:solidFill>
                      </w14:textFill>
                    </w:rPr>
                    <w:t>3</w:t>
                  </w:r>
                  <w:r>
                    <w:rPr>
                      <w:rFonts w:hint="default" w:ascii="Times New Roman" w:hAnsi="Times New Roman" w:cs="Times New Roman"/>
                      <w:color w:val="000000" w:themeColor="text1"/>
                      <w:kern w:val="0"/>
                      <w:sz w:val="21"/>
                      <w:szCs w:val="21"/>
                      <w:u w:val="none" w:color="auto"/>
                      <w14:textFill>
                        <w14:solidFill>
                          <w14:schemeClr w14:val="tx1"/>
                        </w14:solidFill>
                      </w14:textFill>
                    </w:rPr>
                    <w:t>/a</w:t>
                  </w: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w:t>
                  </w:r>
                </w:p>
              </w:tc>
              <w:tc>
                <w:tcPr>
                  <w:tcW w:w="474" w:type="pct"/>
                  <w:shd w:val="clear" w:color="auto" w:fill="auto"/>
                  <w:noWrap w:val="0"/>
                  <w:vAlign w:val="center"/>
                </w:tcPr>
                <w:p w14:paraId="3234B357">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cs="Times New Roman"/>
                      <w:color w:val="000000" w:themeColor="text1"/>
                      <w:sz w:val="21"/>
                      <w:szCs w:val="21"/>
                      <w:u w:val="none" w:color="auto"/>
                      <w14:textFill>
                        <w14:solidFill>
                          <w14:schemeClr w14:val="tx1"/>
                        </w14:solidFill>
                      </w14:textFill>
                    </w:rPr>
                    <w:t>SO</w:t>
                  </w:r>
                  <w:r>
                    <w:rPr>
                      <w:rFonts w:hint="default" w:ascii="Times New Roman" w:hAnsi="Times New Roman" w:cs="Times New Roman"/>
                      <w:color w:val="000000" w:themeColor="text1"/>
                      <w:sz w:val="21"/>
                      <w:szCs w:val="21"/>
                      <w:u w:val="none" w:color="auto"/>
                      <w:vertAlign w:val="subscript"/>
                      <w14:textFill>
                        <w14:solidFill>
                          <w14:schemeClr w14:val="tx1"/>
                        </w14:solidFill>
                      </w14:textFill>
                    </w:rPr>
                    <w:t>2</w:t>
                  </w:r>
                </w:p>
              </w:tc>
              <w:tc>
                <w:tcPr>
                  <w:tcW w:w="792" w:type="pct"/>
                  <w:shd w:val="clear" w:color="auto" w:fill="auto"/>
                  <w:noWrap w:val="0"/>
                  <w:vAlign w:val="center"/>
                </w:tcPr>
                <w:p w14:paraId="30F774C9">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cs="Times New Roman"/>
                      <w:color w:val="000000" w:themeColor="text1"/>
                      <w:kern w:val="2"/>
                      <w:sz w:val="21"/>
                      <w:szCs w:val="21"/>
                      <w:u w:val="none" w:color="auto"/>
                      <w:lang w:val="en-US" w:eastAsia="zh-CN" w:bidi="ar-SA"/>
                      <w14:textFill>
                        <w14:solidFill>
                          <w14:schemeClr w14:val="tx1"/>
                        </w14:solidFill>
                      </w14:textFill>
                    </w:rPr>
                    <w:t>硫平衡</w:t>
                  </w:r>
                </w:p>
              </w:tc>
              <w:tc>
                <w:tcPr>
                  <w:tcW w:w="601" w:type="pct"/>
                  <w:shd w:val="clear" w:color="auto" w:fill="auto"/>
                  <w:noWrap w:val="0"/>
                  <w:vAlign w:val="center"/>
                </w:tcPr>
                <w:p w14:paraId="7FDEFC38">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cs="Times New Roman"/>
                      <w:color w:val="000000" w:themeColor="text1"/>
                      <w:kern w:val="0"/>
                      <w:sz w:val="21"/>
                      <w:szCs w:val="21"/>
                      <w:u w:val="none" w:color="auto"/>
                      <w:lang w:val="en-US" w:eastAsia="zh-CN"/>
                      <w14:textFill>
                        <w14:solidFill>
                          <w14:schemeClr w14:val="tx1"/>
                        </w14:solidFill>
                      </w14:textFill>
                    </w:rPr>
                    <w:t>/</w:t>
                  </w:r>
                </w:p>
              </w:tc>
              <w:tc>
                <w:tcPr>
                  <w:tcW w:w="525" w:type="pct"/>
                  <w:shd w:val="clear" w:color="auto" w:fill="auto"/>
                  <w:noWrap w:val="0"/>
                  <w:vAlign w:val="center"/>
                </w:tcPr>
                <w:p w14:paraId="50647474">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t>0.043</w:t>
                  </w:r>
                </w:p>
              </w:tc>
              <w:tc>
                <w:tcPr>
                  <w:tcW w:w="501" w:type="pct"/>
                  <w:shd w:val="clear" w:color="auto" w:fill="auto"/>
                  <w:noWrap w:val="0"/>
                  <w:vAlign w:val="center"/>
                </w:tcPr>
                <w:p w14:paraId="5CE2DA6A">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u w:val="none" w:color="auto"/>
                      <w:lang w:val="en-US" w:eastAsia="zh-CN" w:bidi="ar-SA"/>
                      <w14:textFill>
                        <w14:solidFill>
                          <w14:schemeClr w14:val="tx1"/>
                        </w14:solidFill>
                      </w14:textFill>
                    </w:rPr>
                    <w:t>0.012</w:t>
                  </w:r>
                </w:p>
              </w:tc>
              <w:tc>
                <w:tcPr>
                  <w:tcW w:w="480" w:type="pct"/>
                  <w:shd w:val="clear" w:color="auto" w:fill="auto"/>
                  <w:noWrap w:val="0"/>
                  <w:vAlign w:val="center"/>
                </w:tcPr>
                <w:p w14:paraId="622FD25A">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36</w:t>
                  </w: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00h/a</w:t>
                  </w:r>
                </w:p>
              </w:tc>
            </w:tr>
            <w:tr w14:paraId="691079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1" w:type="pct"/>
                  <w:vMerge w:val="continue"/>
                  <w:shd w:val="clear" w:color="auto" w:fill="auto"/>
                  <w:noWrap w:val="0"/>
                  <w:vAlign w:val="center"/>
                </w:tcPr>
                <w:p w14:paraId="143C4B37">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color w:val="000000" w:themeColor="text1"/>
                      <w:sz w:val="21"/>
                      <w:szCs w:val="21"/>
                      <w:u w:val="none" w:color="auto"/>
                      <w14:textFill>
                        <w14:solidFill>
                          <w14:schemeClr w14:val="tx1"/>
                        </w14:solidFill>
                      </w14:textFill>
                    </w:rPr>
                  </w:pPr>
                </w:p>
              </w:tc>
              <w:tc>
                <w:tcPr>
                  <w:tcW w:w="922" w:type="pct"/>
                  <w:vMerge w:val="continue"/>
                  <w:noWrap w:val="0"/>
                  <w:vAlign w:val="center"/>
                </w:tcPr>
                <w:p w14:paraId="3F1F3ECE">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color w:val="000000" w:themeColor="text1"/>
                      <w:sz w:val="21"/>
                      <w:szCs w:val="21"/>
                      <w:u w:val="none" w:color="auto"/>
                      <w14:textFill>
                        <w14:solidFill>
                          <w14:schemeClr w14:val="tx1"/>
                        </w14:solidFill>
                      </w14:textFill>
                    </w:rPr>
                  </w:pPr>
                </w:p>
              </w:tc>
              <w:tc>
                <w:tcPr>
                  <w:tcW w:w="474" w:type="pct"/>
                  <w:shd w:val="clear" w:color="auto" w:fill="auto"/>
                  <w:noWrap w:val="0"/>
                  <w:vAlign w:val="center"/>
                </w:tcPr>
                <w:p w14:paraId="7E696248">
                  <w:pPr>
                    <w:keepNext w:val="0"/>
                    <w:keepLines w:val="0"/>
                    <w:suppressLineNumbers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颗粒物</w:t>
                  </w:r>
                </w:p>
              </w:tc>
              <w:tc>
                <w:tcPr>
                  <w:tcW w:w="792" w:type="pct"/>
                  <w:shd w:val="clear" w:color="auto" w:fill="auto"/>
                  <w:noWrap w:val="0"/>
                  <w:vAlign w:val="center"/>
                </w:tcPr>
                <w:p w14:paraId="1B56B333">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cs="Times New Roman"/>
                      <w:color w:val="000000" w:themeColor="text1"/>
                      <w:sz w:val="21"/>
                      <w:szCs w:val="21"/>
                      <w:u w:val="none" w:color="auto"/>
                      <w14:textFill>
                        <w14:solidFill>
                          <w14:schemeClr w14:val="tx1"/>
                        </w14:solidFill>
                      </w14:textFill>
                    </w:rPr>
                    <w:t>kg/万m</w:t>
                  </w:r>
                  <w:r>
                    <w:rPr>
                      <w:rFonts w:hint="default" w:ascii="Times New Roman" w:hAnsi="Times New Roman" w:cs="Times New Roman"/>
                      <w:color w:val="000000" w:themeColor="text1"/>
                      <w:sz w:val="21"/>
                      <w:szCs w:val="21"/>
                      <w:u w:val="none" w:color="auto"/>
                      <w:vertAlign w:val="superscript"/>
                      <w14:textFill>
                        <w14:solidFill>
                          <w14:schemeClr w14:val="tx1"/>
                        </w14:solidFill>
                      </w14:textFill>
                    </w:rPr>
                    <w:t>3</w:t>
                  </w:r>
                  <w:r>
                    <w:rPr>
                      <w:rFonts w:hint="default" w:ascii="Times New Roman" w:hAnsi="Times New Roman" w:cs="Times New Roman"/>
                      <w:color w:val="000000" w:themeColor="text1"/>
                      <w:sz w:val="21"/>
                      <w:szCs w:val="21"/>
                      <w:u w:val="none" w:color="auto"/>
                      <w14:textFill>
                        <w14:solidFill>
                          <w14:schemeClr w14:val="tx1"/>
                        </w14:solidFill>
                      </w14:textFill>
                    </w:rPr>
                    <w:t>-原料</w:t>
                  </w:r>
                </w:p>
              </w:tc>
              <w:tc>
                <w:tcPr>
                  <w:tcW w:w="601" w:type="pct"/>
                  <w:shd w:val="clear" w:color="auto" w:fill="auto"/>
                  <w:noWrap w:val="0"/>
                  <w:vAlign w:val="center"/>
                </w:tcPr>
                <w:p w14:paraId="5A4887EA">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0.5</w:t>
                  </w:r>
                </w:p>
              </w:tc>
              <w:tc>
                <w:tcPr>
                  <w:tcW w:w="525" w:type="pct"/>
                  <w:shd w:val="clear" w:color="auto" w:fill="auto"/>
                  <w:noWrap w:val="0"/>
                  <w:vAlign w:val="center"/>
                </w:tcPr>
                <w:p w14:paraId="111AA32D">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0.022</w:t>
                  </w:r>
                </w:p>
              </w:tc>
              <w:tc>
                <w:tcPr>
                  <w:tcW w:w="501" w:type="pct"/>
                  <w:shd w:val="clear" w:color="auto" w:fill="auto"/>
                  <w:noWrap w:val="0"/>
                  <w:vAlign w:val="center"/>
                </w:tcPr>
                <w:p w14:paraId="77200CE9">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u w:val="none" w:color="auto"/>
                      <w:lang w:val="en-US" w:eastAsia="zh-CN" w:bidi="ar-SA"/>
                      <w14:textFill>
                        <w14:solidFill>
                          <w14:schemeClr w14:val="tx1"/>
                        </w14:solidFill>
                      </w14:textFill>
                    </w:rPr>
                    <w:t>0.006</w:t>
                  </w:r>
                </w:p>
              </w:tc>
              <w:tc>
                <w:tcPr>
                  <w:tcW w:w="480" w:type="pct"/>
                  <w:shd w:val="clear" w:color="auto" w:fill="auto"/>
                  <w:noWrap w:val="0"/>
                  <w:vAlign w:val="center"/>
                </w:tcPr>
                <w:p w14:paraId="0C6596E9">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36</w:t>
                  </w: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00h/a</w:t>
                  </w:r>
                </w:p>
              </w:tc>
            </w:tr>
            <w:tr w14:paraId="175BB5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1" w:type="pct"/>
                  <w:vMerge w:val="continue"/>
                  <w:shd w:val="clear" w:color="auto" w:fill="auto"/>
                  <w:noWrap w:val="0"/>
                  <w:vAlign w:val="center"/>
                </w:tcPr>
                <w:p w14:paraId="6A31563B">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p>
              </w:tc>
              <w:tc>
                <w:tcPr>
                  <w:tcW w:w="922" w:type="pct"/>
                  <w:vMerge w:val="continue"/>
                  <w:noWrap w:val="0"/>
                  <w:vAlign w:val="center"/>
                </w:tcPr>
                <w:p w14:paraId="43289C85">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color w:val="000000" w:themeColor="text1"/>
                      <w:sz w:val="21"/>
                      <w:szCs w:val="21"/>
                      <w:u w:val="none" w:color="auto"/>
                      <w14:textFill>
                        <w14:solidFill>
                          <w14:schemeClr w14:val="tx1"/>
                        </w14:solidFill>
                      </w14:textFill>
                    </w:rPr>
                  </w:pPr>
                </w:p>
              </w:tc>
              <w:tc>
                <w:tcPr>
                  <w:tcW w:w="474" w:type="pct"/>
                  <w:shd w:val="clear" w:color="auto" w:fill="auto"/>
                  <w:noWrap w:val="0"/>
                  <w:vAlign w:val="center"/>
                </w:tcPr>
                <w:p w14:paraId="14EB9412">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cs="Times New Roman"/>
                      <w:color w:val="000000" w:themeColor="text1"/>
                      <w:sz w:val="21"/>
                      <w:szCs w:val="21"/>
                      <w:u w:val="none" w:color="auto"/>
                      <w14:textFill>
                        <w14:solidFill>
                          <w14:schemeClr w14:val="tx1"/>
                        </w14:solidFill>
                      </w14:textFill>
                    </w:rPr>
                    <w:t>NO</w:t>
                  </w:r>
                  <w:r>
                    <w:rPr>
                      <w:rFonts w:hint="default" w:ascii="Times New Roman" w:hAnsi="Times New Roman" w:cs="Times New Roman"/>
                      <w:color w:val="000000" w:themeColor="text1"/>
                      <w:sz w:val="21"/>
                      <w:szCs w:val="21"/>
                      <w:u w:val="none" w:color="auto"/>
                      <w:vertAlign w:val="subscript"/>
                      <w14:textFill>
                        <w14:solidFill>
                          <w14:schemeClr w14:val="tx1"/>
                        </w14:solidFill>
                      </w14:textFill>
                    </w:rPr>
                    <w:t>X</w:t>
                  </w:r>
                </w:p>
              </w:tc>
              <w:tc>
                <w:tcPr>
                  <w:tcW w:w="792" w:type="pct"/>
                  <w:shd w:val="clear" w:color="auto" w:fill="auto"/>
                  <w:noWrap w:val="0"/>
                  <w:vAlign w:val="center"/>
                </w:tcPr>
                <w:p w14:paraId="5BABD271">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cs="Times New Roman"/>
                      <w:color w:val="000000" w:themeColor="text1"/>
                      <w:sz w:val="21"/>
                      <w:szCs w:val="21"/>
                      <w:u w:val="none" w:color="auto"/>
                      <w14:textFill>
                        <w14:solidFill>
                          <w14:schemeClr w14:val="tx1"/>
                        </w14:solidFill>
                      </w14:textFill>
                    </w:rPr>
                    <w:t>kg/</w:t>
                  </w: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万m</w:t>
                  </w:r>
                  <w:r>
                    <w:rPr>
                      <w:rFonts w:hint="default" w:ascii="Times New Roman" w:hAnsi="Times New Roman" w:cs="Times New Roman"/>
                      <w:color w:val="000000" w:themeColor="text1"/>
                      <w:sz w:val="21"/>
                      <w:szCs w:val="21"/>
                      <w:u w:val="none" w:color="auto"/>
                      <w:vertAlign w:val="superscript"/>
                      <w:lang w:val="en-US" w:eastAsia="zh-CN"/>
                      <w14:textFill>
                        <w14:solidFill>
                          <w14:schemeClr w14:val="tx1"/>
                        </w14:solidFill>
                      </w14:textFill>
                    </w:rPr>
                    <w:t>3</w:t>
                  </w:r>
                  <w:r>
                    <w:rPr>
                      <w:rFonts w:hint="default" w:ascii="Times New Roman" w:hAnsi="Times New Roman" w:cs="Times New Roman"/>
                      <w:color w:val="000000" w:themeColor="text1"/>
                      <w:sz w:val="21"/>
                      <w:szCs w:val="21"/>
                      <w:u w:val="none" w:color="auto"/>
                      <w14:textFill>
                        <w14:solidFill>
                          <w14:schemeClr w14:val="tx1"/>
                        </w14:solidFill>
                      </w14:textFill>
                    </w:rPr>
                    <w:t>-原料</w:t>
                  </w:r>
                </w:p>
              </w:tc>
              <w:tc>
                <w:tcPr>
                  <w:tcW w:w="601" w:type="pct"/>
                  <w:shd w:val="clear" w:color="auto" w:fill="auto"/>
                  <w:noWrap w:val="0"/>
                  <w:vAlign w:val="center"/>
                </w:tcPr>
                <w:p w14:paraId="272734AF">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18.71</w:t>
                  </w:r>
                </w:p>
              </w:tc>
              <w:tc>
                <w:tcPr>
                  <w:tcW w:w="525" w:type="pct"/>
                  <w:shd w:val="clear" w:color="auto" w:fill="auto"/>
                  <w:noWrap w:val="0"/>
                  <w:vAlign w:val="center"/>
                </w:tcPr>
                <w:p w14:paraId="3473EFD5">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u w:val="none" w:color="auto"/>
                      <w:lang w:val="en-US" w:eastAsia="zh-CN" w:bidi="ar"/>
                      <w14:textFill>
                        <w14:solidFill>
                          <w14:schemeClr w14:val="tx1"/>
                        </w14:solidFill>
                      </w14:textFill>
                    </w:rPr>
                    <w:t>0.805</w:t>
                  </w:r>
                </w:p>
              </w:tc>
              <w:tc>
                <w:tcPr>
                  <w:tcW w:w="501" w:type="pct"/>
                  <w:shd w:val="clear" w:color="auto" w:fill="auto"/>
                  <w:noWrap w:val="0"/>
                  <w:vAlign w:val="center"/>
                </w:tcPr>
                <w:p w14:paraId="367D2CB8">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u w:val="none" w:color="auto"/>
                      <w:lang w:val="en-US" w:eastAsia="zh-CN" w:bidi="ar-SA"/>
                      <w14:textFill>
                        <w14:solidFill>
                          <w14:schemeClr w14:val="tx1"/>
                        </w14:solidFill>
                      </w14:textFill>
                    </w:rPr>
                    <w:t>0.224</w:t>
                  </w:r>
                </w:p>
              </w:tc>
              <w:tc>
                <w:tcPr>
                  <w:tcW w:w="480" w:type="pct"/>
                  <w:shd w:val="clear" w:color="auto" w:fill="auto"/>
                  <w:noWrap w:val="0"/>
                  <w:vAlign w:val="center"/>
                </w:tcPr>
                <w:p w14:paraId="31118789">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36</w:t>
                  </w: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00h/a</w:t>
                  </w:r>
                </w:p>
              </w:tc>
            </w:tr>
            <w:tr w14:paraId="201121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1" w:type="pct"/>
                  <w:noWrap w:val="0"/>
                  <w:vAlign w:val="center"/>
                </w:tcPr>
                <w:p w14:paraId="28413402">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color w:val="000000" w:themeColor="text1"/>
                      <w:sz w:val="21"/>
                      <w:szCs w:val="21"/>
                      <w:u w:val="none" w:color="auto"/>
                      <w14:textFill>
                        <w14:solidFill>
                          <w14:schemeClr w14:val="tx1"/>
                        </w14:solidFill>
                      </w14:textFill>
                    </w:rPr>
                  </w:pPr>
                  <w:r>
                    <w:rPr>
                      <w:rFonts w:hint="default" w:ascii="Times New Roman" w:hAnsi="Times New Roman" w:cs="Times New Roman"/>
                      <w:color w:val="000000" w:themeColor="text1"/>
                      <w:sz w:val="21"/>
                      <w:szCs w:val="21"/>
                      <w:u w:val="none" w:color="auto"/>
                      <w14:textFill>
                        <w14:solidFill>
                          <w14:schemeClr w14:val="tx1"/>
                        </w14:solidFill>
                      </w14:textFill>
                    </w:rPr>
                    <w:t>烘干过程产生的废气</w:t>
                  </w:r>
                </w:p>
              </w:tc>
              <w:tc>
                <w:tcPr>
                  <w:tcW w:w="922" w:type="pct"/>
                  <w:noWrap w:val="0"/>
                  <w:vAlign w:val="center"/>
                </w:tcPr>
                <w:p w14:paraId="43522A13">
                  <w:pPr>
                    <w:keepNext w:val="0"/>
                    <w:keepLines w:val="0"/>
                    <w:suppressLineNumbers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w:t>
                  </w:r>
                </w:p>
              </w:tc>
              <w:tc>
                <w:tcPr>
                  <w:tcW w:w="474" w:type="pct"/>
                  <w:shd w:val="clear" w:color="auto" w:fill="auto"/>
                  <w:noWrap w:val="0"/>
                  <w:vAlign w:val="center"/>
                </w:tcPr>
                <w:p w14:paraId="369EE7DB">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color w:val="000000" w:themeColor="text1"/>
                      <w:sz w:val="21"/>
                      <w:szCs w:val="21"/>
                      <w:u w:val="none" w:color="auto"/>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颗粒物</w:t>
                  </w:r>
                </w:p>
              </w:tc>
              <w:tc>
                <w:tcPr>
                  <w:tcW w:w="792" w:type="pct"/>
                  <w:shd w:val="clear" w:color="auto" w:fill="auto"/>
                  <w:noWrap w:val="0"/>
                  <w:vAlign w:val="center"/>
                </w:tcPr>
                <w:p w14:paraId="2506D1EF">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color w:val="000000" w:themeColor="text1"/>
                      <w:sz w:val="21"/>
                      <w:szCs w:val="21"/>
                      <w:u w:val="none" w:color="auto"/>
                      <w14:textFill>
                        <w14:solidFill>
                          <w14:schemeClr w14:val="tx1"/>
                        </w14:solidFill>
                      </w14:textFill>
                    </w:rPr>
                  </w:pPr>
                  <w:r>
                    <w:rPr>
                      <w:rFonts w:hint="eastAsia"/>
                      <w:color w:val="000000" w:themeColor="text1"/>
                      <w:sz w:val="21"/>
                      <w:szCs w:val="21"/>
                      <w:u w:val="none" w:color="auto"/>
                      <w14:textFill>
                        <w14:solidFill>
                          <w14:schemeClr w14:val="tx1"/>
                        </w14:solidFill>
                      </w14:textFill>
                    </w:rPr>
                    <w:t>吨/吨-产品</w:t>
                  </w:r>
                </w:p>
              </w:tc>
              <w:tc>
                <w:tcPr>
                  <w:tcW w:w="601" w:type="pct"/>
                  <w:shd w:val="clear" w:color="auto" w:fill="auto"/>
                  <w:noWrap w:val="0"/>
                  <w:vAlign w:val="center"/>
                </w:tcPr>
                <w:p w14:paraId="249F37F9">
                  <w:pPr>
                    <w:keepNext w:val="0"/>
                    <w:keepLines w:val="0"/>
                    <w:suppressLineNumbers w:val="0"/>
                    <w:adjustRightInd w:val="0"/>
                    <w:snapToGrid w:val="0"/>
                    <w:spacing w:before="0" w:beforeAutospacing="0" w:after="0" w:afterAutospacing="0" w:line="240" w:lineRule="auto"/>
                    <w:ind w:left="0" w:right="0"/>
                    <w:jc w:val="cente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pPr>
                  <w:r>
                    <w:rPr>
                      <w:rFonts w:hint="eastAsia"/>
                      <w:color w:val="000000" w:themeColor="text1"/>
                      <w:sz w:val="21"/>
                      <w:szCs w:val="21"/>
                      <w:u w:val="none" w:color="auto"/>
                      <w14:textFill>
                        <w14:solidFill>
                          <w14:schemeClr w14:val="tx1"/>
                        </w14:solidFill>
                      </w14:textFill>
                    </w:rPr>
                    <w:t>4.01</w:t>
                  </w:r>
                  <w:r>
                    <w:rPr>
                      <w:rFonts w:hint="eastAsia"/>
                      <w:color w:val="000000" w:themeColor="text1"/>
                      <w:sz w:val="21"/>
                      <w:szCs w:val="21"/>
                      <w:u w:val="none" w:color="auto"/>
                      <w:lang w:val="en-US" w:eastAsia="zh-CN"/>
                      <w14:textFill>
                        <w14:solidFill>
                          <w14:schemeClr w14:val="tx1"/>
                        </w14:solidFill>
                      </w14:textFill>
                    </w:rPr>
                    <w:t>×</w:t>
                  </w:r>
                  <w:r>
                    <w:rPr>
                      <w:rFonts w:hint="eastAsia"/>
                      <w:color w:val="000000" w:themeColor="text1"/>
                      <w:sz w:val="21"/>
                      <w:szCs w:val="21"/>
                      <w:u w:val="none" w:color="auto"/>
                      <w14:textFill>
                        <w14:solidFill>
                          <w14:schemeClr w14:val="tx1"/>
                        </w14:solidFill>
                      </w14:textFill>
                    </w:rPr>
                    <w:t>10</w:t>
                  </w:r>
                  <w:r>
                    <w:rPr>
                      <w:rFonts w:hint="eastAsia"/>
                      <w:color w:val="000000" w:themeColor="text1"/>
                      <w:sz w:val="21"/>
                      <w:szCs w:val="21"/>
                      <w:u w:val="none" w:color="auto"/>
                      <w:vertAlign w:val="superscript"/>
                      <w14:textFill>
                        <w14:solidFill>
                          <w14:schemeClr w14:val="tx1"/>
                        </w14:solidFill>
                      </w14:textFill>
                    </w:rPr>
                    <w:t>-3</w:t>
                  </w:r>
                </w:p>
              </w:tc>
              <w:tc>
                <w:tcPr>
                  <w:tcW w:w="525" w:type="pct"/>
                  <w:shd w:val="clear" w:color="auto" w:fill="auto"/>
                  <w:noWrap w:val="0"/>
                  <w:vAlign w:val="center"/>
                </w:tcPr>
                <w:p w14:paraId="3E8744FF">
                  <w:pPr>
                    <w:keepNext w:val="0"/>
                    <w:keepLines w:val="0"/>
                    <w:suppressLineNumbers w:val="0"/>
                    <w:adjustRightInd w:val="0"/>
                    <w:snapToGrid w:val="0"/>
                    <w:spacing w:before="0" w:beforeAutospacing="0" w:after="0" w:afterAutospacing="0" w:line="240" w:lineRule="auto"/>
                    <w:ind w:left="0" w:right="0"/>
                    <w:jc w:val="center"/>
                    <w:rPr>
                      <w:rFonts w:hint="eastAsia" w:ascii="Times New Roman" w:hAnsi="Times New Roman" w:cs="Times New Roman"/>
                      <w:color w:val="000000" w:themeColor="text1"/>
                      <w:kern w:val="2"/>
                      <w:sz w:val="21"/>
                      <w:szCs w:val="21"/>
                      <w:u w:val="none" w:color="auto"/>
                      <w:lang w:val="en-US" w:eastAsia="zh-CN" w:bidi="ar"/>
                      <w14:textFill>
                        <w14:solidFill>
                          <w14:schemeClr w14:val="tx1"/>
                        </w14:solidFill>
                      </w14:textFill>
                    </w:rPr>
                  </w:pPr>
                  <w:r>
                    <w:rPr>
                      <w:rFonts w:hint="eastAsia" w:ascii="Times New Roman" w:hAnsi="Times New Roman" w:cs="Times New Roman"/>
                      <w:color w:val="000000" w:themeColor="text1"/>
                      <w:kern w:val="2"/>
                      <w:sz w:val="21"/>
                      <w:szCs w:val="21"/>
                      <w:u w:val="none" w:color="auto"/>
                      <w:lang w:val="en-US" w:eastAsia="zh-CN" w:bidi="ar"/>
                      <w14:textFill>
                        <w14:solidFill>
                          <w14:schemeClr w14:val="tx1"/>
                        </w14:solidFill>
                      </w14:textFill>
                    </w:rPr>
                    <w:t>12.03</w:t>
                  </w:r>
                </w:p>
              </w:tc>
              <w:tc>
                <w:tcPr>
                  <w:tcW w:w="501" w:type="pct"/>
                  <w:shd w:val="clear" w:color="auto" w:fill="auto"/>
                  <w:noWrap w:val="0"/>
                  <w:vAlign w:val="center"/>
                </w:tcPr>
                <w:p w14:paraId="7A81A296">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color w:val="000000" w:themeColor="text1"/>
                      <w:kern w:val="2"/>
                      <w:sz w:val="21"/>
                      <w:szCs w:val="21"/>
                      <w:u w:val="none" w:color="auto"/>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u w:val="none" w:color="auto"/>
                      <w:lang w:val="en-US" w:eastAsia="zh-CN" w:bidi="ar-SA"/>
                      <w14:textFill>
                        <w14:solidFill>
                          <w14:schemeClr w14:val="tx1"/>
                        </w14:solidFill>
                      </w14:textFill>
                    </w:rPr>
                    <w:t>3.342</w:t>
                  </w:r>
                </w:p>
              </w:tc>
              <w:tc>
                <w:tcPr>
                  <w:tcW w:w="480" w:type="pct"/>
                  <w:shd w:val="clear" w:color="auto" w:fill="auto"/>
                  <w:noWrap w:val="0"/>
                  <w:vAlign w:val="center"/>
                </w:tcPr>
                <w:p w14:paraId="41377607">
                  <w:pPr>
                    <w:keepNext w:val="0"/>
                    <w:keepLines w:val="0"/>
                    <w:suppressLineNumbers w:val="0"/>
                    <w:adjustRightInd w:val="0"/>
                    <w:snapToGrid w:val="0"/>
                    <w:spacing w:before="0" w:beforeAutospacing="0" w:after="0" w:afterAutospacing="0" w:line="240" w:lineRule="auto"/>
                    <w:ind w:left="0" w:right="0"/>
                    <w:jc w:val="cente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36</w:t>
                  </w: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00h/a</w:t>
                  </w:r>
                </w:p>
              </w:tc>
            </w:tr>
            <w:tr w14:paraId="38C36A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23" w:type="pct"/>
                  <w:gridSpan w:val="2"/>
                  <w:vMerge w:val="restart"/>
                  <w:noWrap w:val="0"/>
                  <w:vAlign w:val="center"/>
                </w:tcPr>
                <w:p w14:paraId="3DE3E469">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color w:val="000000" w:themeColor="text1"/>
                      <w:sz w:val="21"/>
                      <w:szCs w:val="21"/>
                      <w:u w:val="none" w:color="auto"/>
                      <w14:textFill>
                        <w14:solidFill>
                          <w14:schemeClr w14:val="tx1"/>
                        </w14:solidFill>
                      </w14:textFill>
                    </w:rPr>
                  </w:pPr>
                  <w:r>
                    <w:rPr>
                      <w:rFonts w:hint="default" w:ascii="Times New Roman" w:hAnsi="Times New Roman" w:cs="Times New Roman"/>
                      <w:color w:val="000000" w:themeColor="text1"/>
                      <w:sz w:val="21"/>
                      <w:szCs w:val="21"/>
                      <w:u w:val="none" w:color="auto"/>
                      <w14:textFill>
                        <w14:solidFill>
                          <w14:schemeClr w14:val="tx1"/>
                        </w14:solidFill>
                      </w14:textFill>
                    </w:rPr>
                    <w:t>烘干废气汇总</w:t>
                  </w:r>
                </w:p>
              </w:tc>
              <w:tc>
                <w:tcPr>
                  <w:tcW w:w="474" w:type="pct"/>
                  <w:shd w:val="clear" w:color="auto" w:fill="auto"/>
                  <w:noWrap w:val="0"/>
                  <w:vAlign w:val="center"/>
                </w:tcPr>
                <w:p w14:paraId="0ACC56FC">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color w:val="000000" w:themeColor="text1"/>
                      <w:sz w:val="21"/>
                      <w:szCs w:val="21"/>
                      <w:u w:val="none" w:color="auto"/>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颗粒物</w:t>
                  </w:r>
                </w:p>
              </w:tc>
              <w:tc>
                <w:tcPr>
                  <w:tcW w:w="792" w:type="pct"/>
                  <w:shd w:val="clear" w:color="auto" w:fill="auto"/>
                  <w:noWrap w:val="0"/>
                  <w:vAlign w:val="center"/>
                </w:tcPr>
                <w:p w14:paraId="5D577D78">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cs="Times New Roman"/>
                      <w:color w:val="000000" w:themeColor="text1"/>
                      <w:sz w:val="21"/>
                      <w:szCs w:val="21"/>
                      <w:u w:val="none" w:color="auto"/>
                      <w14:textFill>
                        <w14:solidFill>
                          <w14:schemeClr w14:val="tx1"/>
                        </w14:solidFill>
                      </w14:textFill>
                    </w:rPr>
                  </w:pPr>
                  <w:r>
                    <w:rPr>
                      <w:rFonts w:hint="eastAsia"/>
                      <w:color w:val="000000" w:themeColor="text1"/>
                      <w:sz w:val="21"/>
                      <w:szCs w:val="21"/>
                      <w:u w:val="none" w:color="auto"/>
                      <w:lang w:val="en-US" w:eastAsia="zh-CN"/>
                      <w14:textFill>
                        <w14:solidFill>
                          <w14:schemeClr w14:val="tx1"/>
                        </w14:solidFill>
                      </w14:textFill>
                    </w:rPr>
                    <w:t>/</w:t>
                  </w:r>
                </w:p>
              </w:tc>
              <w:tc>
                <w:tcPr>
                  <w:tcW w:w="601" w:type="pct"/>
                  <w:shd w:val="clear" w:color="auto" w:fill="auto"/>
                  <w:noWrap w:val="0"/>
                  <w:vAlign w:val="center"/>
                </w:tcPr>
                <w:p w14:paraId="4E6CEC7A">
                  <w:pPr>
                    <w:keepNext w:val="0"/>
                    <w:keepLines w:val="0"/>
                    <w:suppressLineNumbers w:val="0"/>
                    <w:adjustRightInd w:val="0"/>
                    <w:snapToGrid w:val="0"/>
                    <w:spacing w:before="0" w:beforeAutospacing="0" w:after="0" w:afterAutospacing="0" w:line="240" w:lineRule="auto"/>
                    <w:ind w:left="0" w:leftChars="0" w:right="0" w:rightChars="0"/>
                    <w:jc w:val="cente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pPr>
                  <w:r>
                    <w:rPr>
                      <w:rFonts w:hint="eastAsia"/>
                      <w:color w:val="000000" w:themeColor="text1"/>
                      <w:sz w:val="21"/>
                      <w:szCs w:val="21"/>
                      <w:u w:val="none" w:color="auto"/>
                      <w:lang w:val="en-US" w:eastAsia="zh-CN"/>
                      <w14:textFill>
                        <w14:solidFill>
                          <w14:schemeClr w14:val="tx1"/>
                        </w14:solidFill>
                      </w14:textFill>
                    </w:rPr>
                    <w:t>/</w:t>
                  </w:r>
                </w:p>
              </w:tc>
              <w:tc>
                <w:tcPr>
                  <w:tcW w:w="525" w:type="pct"/>
                  <w:shd w:val="clear" w:color="auto" w:fill="auto"/>
                  <w:noWrap w:val="0"/>
                  <w:vAlign w:val="center"/>
                </w:tcPr>
                <w:p w14:paraId="5FBED134">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color w:val="000000" w:themeColor="text1"/>
                      <w:kern w:val="2"/>
                      <w:sz w:val="21"/>
                      <w:szCs w:val="21"/>
                      <w:u w:val="none" w:color="auto"/>
                      <w:lang w:val="en-US" w:eastAsia="zh-CN" w:bidi="ar"/>
                      <w14:textFill>
                        <w14:solidFill>
                          <w14:schemeClr w14:val="tx1"/>
                        </w14:solidFill>
                      </w14:textFill>
                    </w:rPr>
                  </w:pPr>
                  <w:r>
                    <w:rPr>
                      <w:rFonts w:hint="eastAsia" w:ascii="Times New Roman" w:hAnsi="Times New Roman" w:cs="Times New Roman"/>
                      <w:color w:val="000000" w:themeColor="text1"/>
                      <w:kern w:val="2"/>
                      <w:sz w:val="21"/>
                      <w:szCs w:val="21"/>
                      <w:u w:val="none" w:color="auto"/>
                      <w:lang w:val="en-US" w:eastAsia="zh-CN" w:bidi="ar"/>
                      <w14:textFill>
                        <w14:solidFill>
                          <w14:schemeClr w14:val="tx1"/>
                        </w14:solidFill>
                      </w14:textFill>
                    </w:rPr>
                    <w:t>12.052</w:t>
                  </w:r>
                </w:p>
              </w:tc>
              <w:tc>
                <w:tcPr>
                  <w:tcW w:w="501" w:type="pct"/>
                  <w:shd w:val="clear" w:color="auto" w:fill="auto"/>
                  <w:noWrap w:val="0"/>
                  <w:vAlign w:val="center"/>
                </w:tcPr>
                <w:p w14:paraId="1E406114">
                  <w:pPr>
                    <w:keepNext w:val="0"/>
                    <w:keepLines w:val="0"/>
                    <w:suppressLineNumbers w:val="0"/>
                    <w:adjustRightInd w:val="0"/>
                    <w:snapToGrid w:val="0"/>
                    <w:spacing w:before="0" w:beforeAutospacing="0" w:after="0" w:afterAutospacing="0" w:line="240" w:lineRule="auto"/>
                    <w:ind w:left="0" w:right="0"/>
                    <w:jc w:val="center"/>
                    <w:rPr>
                      <w:rFonts w:hint="eastAsia" w:ascii="Times New Roman" w:hAnsi="Times New Roman" w:cs="Times New Roman"/>
                      <w:color w:val="000000" w:themeColor="text1"/>
                      <w:kern w:val="2"/>
                      <w:sz w:val="21"/>
                      <w:szCs w:val="21"/>
                      <w:u w:val="none" w:color="auto"/>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u w:val="none" w:color="auto"/>
                      <w:lang w:val="en-US" w:eastAsia="zh-CN" w:bidi="ar-SA"/>
                      <w14:textFill>
                        <w14:solidFill>
                          <w14:schemeClr w14:val="tx1"/>
                        </w14:solidFill>
                      </w14:textFill>
                    </w:rPr>
                    <w:t>3.348</w:t>
                  </w:r>
                </w:p>
              </w:tc>
              <w:tc>
                <w:tcPr>
                  <w:tcW w:w="480" w:type="pct"/>
                  <w:shd w:val="clear" w:color="auto" w:fill="auto"/>
                  <w:noWrap w:val="0"/>
                  <w:vAlign w:val="center"/>
                </w:tcPr>
                <w:p w14:paraId="540E05AF">
                  <w:pPr>
                    <w:keepNext w:val="0"/>
                    <w:keepLines w:val="0"/>
                    <w:suppressLineNumbers w:val="0"/>
                    <w:adjustRightInd w:val="0"/>
                    <w:snapToGrid w:val="0"/>
                    <w:spacing w:before="0" w:beforeAutospacing="0" w:after="0" w:afterAutospacing="0" w:line="240" w:lineRule="auto"/>
                    <w:ind w:left="0" w:leftChars="0" w:right="0" w:rightChars="0"/>
                    <w:jc w:val="cente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36</w:t>
                  </w: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00h/a</w:t>
                  </w:r>
                </w:p>
              </w:tc>
            </w:tr>
            <w:tr w14:paraId="123DBB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23" w:type="pct"/>
                  <w:gridSpan w:val="2"/>
                  <w:vMerge w:val="continue"/>
                  <w:noWrap w:val="0"/>
                  <w:vAlign w:val="center"/>
                </w:tcPr>
                <w:p w14:paraId="49A4EE6B">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color w:val="000000" w:themeColor="text1"/>
                      <w:sz w:val="21"/>
                      <w:szCs w:val="21"/>
                      <w:u w:val="none" w:color="auto"/>
                      <w14:textFill>
                        <w14:solidFill>
                          <w14:schemeClr w14:val="tx1"/>
                        </w14:solidFill>
                      </w14:textFill>
                    </w:rPr>
                  </w:pPr>
                </w:p>
              </w:tc>
              <w:tc>
                <w:tcPr>
                  <w:tcW w:w="474" w:type="pct"/>
                  <w:shd w:val="clear" w:color="auto" w:fill="auto"/>
                  <w:noWrap w:val="0"/>
                  <w:vAlign w:val="center"/>
                </w:tcPr>
                <w:p w14:paraId="5E995E5A">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color w:val="000000" w:themeColor="text1"/>
                      <w:sz w:val="21"/>
                      <w:szCs w:val="21"/>
                      <w:u w:val="none" w:color="auto"/>
                      <w14:textFill>
                        <w14:solidFill>
                          <w14:schemeClr w14:val="tx1"/>
                        </w14:solidFill>
                      </w14:textFill>
                    </w:rPr>
                  </w:pPr>
                  <w:r>
                    <w:rPr>
                      <w:rFonts w:hint="default" w:ascii="Times New Roman" w:hAnsi="Times New Roman" w:cs="Times New Roman"/>
                      <w:color w:val="000000" w:themeColor="text1"/>
                      <w:sz w:val="21"/>
                      <w:szCs w:val="21"/>
                      <w:u w:val="none" w:color="auto"/>
                      <w14:textFill>
                        <w14:solidFill>
                          <w14:schemeClr w14:val="tx1"/>
                        </w14:solidFill>
                      </w14:textFill>
                    </w:rPr>
                    <w:t>SO</w:t>
                  </w:r>
                  <w:r>
                    <w:rPr>
                      <w:rFonts w:hint="default" w:ascii="Times New Roman" w:hAnsi="Times New Roman" w:cs="Times New Roman"/>
                      <w:color w:val="000000" w:themeColor="text1"/>
                      <w:sz w:val="21"/>
                      <w:szCs w:val="21"/>
                      <w:u w:val="none" w:color="auto"/>
                      <w:vertAlign w:val="subscript"/>
                      <w14:textFill>
                        <w14:solidFill>
                          <w14:schemeClr w14:val="tx1"/>
                        </w14:solidFill>
                      </w14:textFill>
                    </w:rPr>
                    <w:t>2</w:t>
                  </w:r>
                </w:p>
              </w:tc>
              <w:tc>
                <w:tcPr>
                  <w:tcW w:w="792" w:type="pct"/>
                  <w:shd w:val="clear" w:color="auto" w:fill="auto"/>
                  <w:noWrap w:val="0"/>
                  <w:vAlign w:val="center"/>
                </w:tcPr>
                <w:p w14:paraId="004D5075">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cs="Times New Roman"/>
                      <w:color w:val="000000" w:themeColor="text1"/>
                      <w:sz w:val="21"/>
                      <w:szCs w:val="21"/>
                      <w:u w:val="none" w:color="auto"/>
                      <w14:textFill>
                        <w14:solidFill>
                          <w14:schemeClr w14:val="tx1"/>
                        </w14:solidFill>
                      </w14:textFill>
                    </w:rPr>
                  </w:pPr>
                  <w:r>
                    <w:rPr>
                      <w:rFonts w:hint="eastAsia"/>
                      <w:color w:val="000000" w:themeColor="text1"/>
                      <w:sz w:val="21"/>
                      <w:szCs w:val="21"/>
                      <w:u w:val="none" w:color="auto"/>
                      <w:lang w:val="en-US" w:eastAsia="zh-CN"/>
                      <w14:textFill>
                        <w14:solidFill>
                          <w14:schemeClr w14:val="tx1"/>
                        </w14:solidFill>
                      </w14:textFill>
                    </w:rPr>
                    <w:t>/</w:t>
                  </w:r>
                </w:p>
              </w:tc>
              <w:tc>
                <w:tcPr>
                  <w:tcW w:w="601" w:type="pct"/>
                  <w:shd w:val="clear" w:color="auto" w:fill="auto"/>
                  <w:noWrap w:val="0"/>
                  <w:vAlign w:val="center"/>
                </w:tcPr>
                <w:p w14:paraId="5CBBDF6C">
                  <w:pPr>
                    <w:keepNext w:val="0"/>
                    <w:keepLines w:val="0"/>
                    <w:suppressLineNumbers w:val="0"/>
                    <w:adjustRightInd w:val="0"/>
                    <w:snapToGrid w:val="0"/>
                    <w:spacing w:before="0" w:beforeAutospacing="0" w:after="0" w:afterAutospacing="0" w:line="240" w:lineRule="auto"/>
                    <w:ind w:left="0" w:leftChars="0" w:right="0" w:rightChars="0"/>
                    <w:jc w:val="cente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pPr>
                  <w:r>
                    <w:rPr>
                      <w:rFonts w:hint="eastAsia"/>
                      <w:color w:val="000000" w:themeColor="text1"/>
                      <w:sz w:val="21"/>
                      <w:szCs w:val="21"/>
                      <w:u w:val="none" w:color="auto"/>
                      <w:lang w:val="en-US" w:eastAsia="zh-CN"/>
                      <w14:textFill>
                        <w14:solidFill>
                          <w14:schemeClr w14:val="tx1"/>
                        </w14:solidFill>
                      </w14:textFill>
                    </w:rPr>
                    <w:t>/</w:t>
                  </w:r>
                </w:p>
              </w:tc>
              <w:tc>
                <w:tcPr>
                  <w:tcW w:w="525" w:type="pct"/>
                  <w:shd w:val="clear" w:color="auto" w:fill="auto"/>
                  <w:noWrap w:val="0"/>
                  <w:vAlign w:val="center"/>
                </w:tcPr>
                <w:p w14:paraId="6E926E3E">
                  <w:pPr>
                    <w:keepNext w:val="0"/>
                    <w:keepLines w:val="0"/>
                    <w:suppressLineNumbers w:val="0"/>
                    <w:adjustRightInd w:val="0"/>
                    <w:snapToGrid w:val="0"/>
                    <w:spacing w:before="0" w:beforeAutospacing="0" w:after="0" w:afterAutospacing="0" w:line="240" w:lineRule="auto"/>
                    <w:ind w:left="0" w:right="0"/>
                    <w:jc w:val="center"/>
                    <w:rPr>
                      <w:rFonts w:hint="eastAsia" w:ascii="Times New Roman" w:hAnsi="Times New Roman" w:cs="Times New Roman"/>
                      <w:color w:val="000000" w:themeColor="text1"/>
                      <w:kern w:val="2"/>
                      <w:sz w:val="21"/>
                      <w:szCs w:val="21"/>
                      <w:u w:val="none" w:color="auto"/>
                      <w:lang w:val="en-US" w:eastAsia="zh-CN" w:bidi="ar"/>
                      <w14:textFill>
                        <w14:solidFill>
                          <w14:schemeClr w14:val="tx1"/>
                        </w14:solidFill>
                      </w14:textFill>
                    </w:rPr>
                  </w:pPr>
                  <w: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t>0.043</w:t>
                  </w:r>
                </w:p>
              </w:tc>
              <w:tc>
                <w:tcPr>
                  <w:tcW w:w="501" w:type="pct"/>
                  <w:shd w:val="clear" w:color="auto" w:fill="auto"/>
                  <w:noWrap w:val="0"/>
                  <w:vAlign w:val="center"/>
                </w:tcPr>
                <w:p w14:paraId="588BD7FB">
                  <w:pPr>
                    <w:keepNext w:val="0"/>
                    <w:keepLines w:val="0"/>
                    <w:suppressLineNumbers w:val="0"/>
                    <w:adjustRightInd w:val="0"/>
                    <w:snapToGrid w:val="0"/>
                    <w:spacing w:before="0" w:beforeAutospacing="0" w:after="0" w:afterAutospacing="0" w:line="240" w:lineRule="auto"/>
                    <w:ind w:left="0" w:right="0"/>
                    <w:jc w:val="center"/>
                    <w:rPr>
                      <w:rFonts w:hint="eastAsia" w:ascii="Times New Roman" w:hAnsi="Times New Roman" w:cs="Times New Roman"/>
                      <w:color w:val="000000" w:themeColor="text1"/>
                      <w:kern w:val="2"/>
                      <w:sz w:val="21"/>
                      <w:szCs w:val="21"/>
                      <w:u w:val="none" w:color="auto"/>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u w:val="none" w:color="auto"/>
                      <w:lang w:val="en-US" w:eastAsia="zh-CN" w:bidi="ar-SA"/>
                      <w14:textFill>
                        <w14:solidFill>
                          <w14:schemeClr w14:val="tx1"/>
                        </w14:solidFill>
                      </w14:textFill>
                    </w:rPr>
                    <w:t>0.012</w:t>
                  </w:r>
                </w:p>
              </w:tc>
              <w:tc>
                <w:tcPr>
                  <w:tcW w:w="480" w:type="pct"/>
                  <w:shd w:val="clear" w:color="auto" w:fill="auto"/>
                  <w:noWrap w:val="0"/>
                  <w:vAlign w:val="center"/>
                </w:tcPr>
                <w:p w14:paraId="16E19F81">
                  <w:pPr>
                    <w:keepNext w:val="0"/>
                    <w:keepLines w:val="0"/>
                    <w:suppressLineNumbers w:val="0"/>
                    <w:adjustRightInd w:val="0"/>
                    <w:snapToGrid w:val="0"/>
                    <w:spacing w:before="0" w:beforeAutospacing="0" w:after="0" w:afterAutospacing="0" w:line="240" w:lineRule="auto"/>
                    <w:ind w:left="0" w:leftChars="0" w:right="0" w:rightChars="0"/>
                    <w:jc w:val="cente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36</w:t>
                  </w: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00h/a</w:t>
                  </w:r>
                </w:p>
              </w:tc>
            </w:tr>
            <w:tr w14:paraId="524A69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23" w:type="pct"/>
                  <w:gridSpan w:val="2"/>
                  <w:vMerge w:val="continue"/>
                  <w:noWrap w:val="0"/>
                  <w:vAlign w:val="center"/>
                </w:tcPr>
                <w:p w14:paraId="79E8C7EA">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color w:val="000000" w:themeColor="text1"/>
                      <w:sz w:val="21"/>
                      <w:szCs w:val="21"/>
                      <w:u w:val="none" w:color="auto"/>
                      <w14:textFill>
                        <w14:solidFill>
                          <w14:schemeClr w14:val="tx1"/>
                        </w14:solidFill>
                      </w14:textFill>
                    </w:rPr>
                  </w:pPr>
                </w:p>
              </w:tc>
              <w:tc>
                <w:tcPr>
                  <w:tcW w:w="474" w:type="pct"/>
                  <w:shd w:val="clear" w:color="auto" w:fill="auto"/>
                  <w:noWrap w:val="0"/>
                  <w:vAlign w:val="center"/>
                </w:tcPr>
                <w:p w14:paraId="50552521">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color w:val="000000" w:themeColor="text1"/>
                      <w:sz w:val="21"/>
                      <w:szCs w:val="21"/>
                      <w:u w:val="none" w:color="auto"/>
                      <w14:textFill>
                        <w14:solidFill>
                          <w14:schemeClr w14:val="tx1"/>
                        </w14:solidFill>
                      </w14:textFill>
                    </w:rPr>
                  </w:pPr>
                  <w:r>
                    <w:rPr>
                      <w:rFonts w:hint="default" w:ascii="Times New Roman" w:hAnsi="Times New Roman" w:cs="Times New Roman"/>
                      <w:color w:val="000000" w:themeColor="text1"/>
                      <w:sz w:val="21"/>
                      <w:szCs w:val="21"/>
                      <w:u w:val="none" w:color="auto"/>
                      <w14:textFill>
                        <w14:solidFill>
                          <w14:schemeClr w14:val="tx1"/>
                        </w14:solidFill>
                      </w14:textFill>
                    </w:rPr>
                    <w:t>NO</w:t>
                  </w:r>
                  <w:r>
                    <w:rPr>
                      <w:rFonts w:hint="default" w:ascii="Times New Roman" w:hAnsi="Times New Roman" w:cs="Times New Roman"/>
                      <w:color w:val="000000" w:themeColor="text1"/>
                      <w:sz w:val="21"/>
                      <w:szCs w:val="21"/>
                      <w:u w:val="none" w:color="auto"/>
                      <w:vertAlign w:val="subscript"/>
                      <w14:textFill>
                        <w14:solidFill>
                          <w14:schemeClr w14:val="tx1"/>
                        </w14:solidFill>
                      </w14:textFill>
                    </w:rPr>
                    <w:t>X</w:t>
                  </w:r>
                </w:p>
              </w:tc>
              <w:tc>
                <w:tcPr>
                  <w:tcW w:w="792" w:type="pct"/>
                  <w:shd w:val="clear" w:color="auto" w:fill="auto"/>
                  <w:noWrap w:val="0"/>
                  <w:vAlign w:val="center"/>
                </w:tcPr>
                <w:p w14:paraId="79B27DB1">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cs="Times New Roman"/>
                      <w:color w:val="000000" w:themeColor="text1"/>
                      <w:sz w:val="21"/>
                      <w:szCs w:val="21"/>
                      <w:u w:val="none" w:color="auto"/>
                      <w14:textFill>
                        <w14:solidFill>
                          <w14:schemeClr w14:val="tx1"/>
                        </w14:solidFill>
                      </w14:textFill>
                    </w:rPr>
                  </w:pPr>
                  <w:r>
                    <w:rPr>
                      <w:rFonts w:hint="eastAsia"/>
                      <w:color w:val="000000" w:themeColor="text1"/>
                      <w:sz w:val="21"/>
                      <w:szCs w:val="21"/>
                      <w:u w:val="none" w:color="auto"/>
                      <w:lang w:val="en-US" w:eastAsia="zh-CN"/>
                      <w14:textFill>
                        <w14:solidFill>
                          <w14:schemeClr w14:val="tx1"/>
                        </w14:solidFill>
                      </w14:textFill>
                    </w:rPr>
                    <w:t>/</w:t>
                  </w:r>
                </w:p>
              </w:tc>
              <w:tc>
                <w:tcPr>
                  <w:tcW w:w="601" w:type="pct"/>
                  <w:shd w:val="clear" w:color="auto" w:fill="auto"/>
                  <w:noWrap w:val="0"/>
                  <w:vAlign w:val="center"/>
                </w:tcPr>
                <w:p w14:paraId="22F61651">
                  <w:pPr>
                    <w:keepNext w:val="0"/>
                    <w:keepLines w:val="0"/>
                    <w:suppressLineNumbers w:val="0"/>
                    <w:adjustRightInd w:val="0"/>
                    <w:snapToGrid w:val="0"/>
                    <w:spacing w:before="0" w:beforeAutospacing="0" w:after="0" w:afterAutospacing="0" w:line="240" w:lineRule="auto"/>
                    <w:ind w:left="0" w:leftChars="0" w:right="0" w:rightChars="0"/>
                    <w:jc w:val="cente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pPr>
                  <w:r>
                    <w:rPr>
                      <w:rFonts w:hint="eastAsia"/>
                      <w:color w:val="000000" w:themeColor="text1"/>
                      <w:sz w:val="21"/>
                      <w:szCs w:val="21"/>
                      <w:u w:val="none" w:color="auto"/>
                      <w:lang w:val="en-US" w:eastAsia="zh-CN"/>
                      <w14:textFill>
                        <w14:solidFill>
                          <w14:schemeClr w14:val="tx1"/>
                        </w14:solidFill>
                      </w14:textFill>
                    </w:rPr>
                    <w:t>/</w:t>
                  </w:r>
                </w:p>
              </w:tc>
              <w:tc>
                <w:tcPr>
                  <w:tcW w:w="525" w:type="pct"/>
                  <w:shd w:val="clear" w:color="auto" w:fill="auto"/>
                  <w:noWrap w:val="0"/>
                  <w:vAlign w:val="center"/>
                </w:tcPr>
                <w:p w14:paraId="31CD11A9">
                  <w:pPr>
                    <w:keepNext w:val="0"/>
                    <w:keepLines w:val="0"/>
                    <w:suppressLineNumbers w:val="0"/>
                    <w:adjustRightInd w:val="0"/>
                    <w:snapToGrid w:val="0"/>
                    <w:spacing w:before="0" w:beforeAutospacing="0" w:after="0" w:afterAutospacing="0" w:line="240" w:lineRule="auto"/>
                    <w:ind w:left="0" w:right="0"/>
                    <w:jc w:val="center"/>
                    <w:rPr>
                      <w:rFonts w:hint="eastAsia" w:ascii="Times New Roman" w:hAnsi="Times New Roman" w:cs="Times New Roman"/>
                      <w:color w:val="000000" w:themeColor="text1"/>
                      <w:kern w:val="2"/>
                      <w:sz w:val="21"/>
                      <w:szCs w:val="21"/>
                      <w:u w:val="none" w:color="auto"/>
                      <w:lang w:val="en-US" w:eastAsia="zh-CN" w:bidi="ar"/>
                      <w14:textFill>
                        <w14:solidFill>
                          <w14:schemeClr w14:val="tx1"/>
                        </w14:solidFill>
                      </w14:textFill>
                    </w:rPr>
                  </w:pPr>
                  <w:r>
                    <w:rPr>
                      <w:rFonts w:hint="eastAsia" w:ascii="Times New Roman" w:hAnsi="Times New Roman" w:cs="Times New Roman"/>
                      <w:color w:val="000000" w:themeColor="text1"/>
                      <w:kern w:val="2"/>
                      <w:sz w:val="21"/>
                      <w:szCs w:val="21"/>
                      <w:u w:val="none" w:color="auto"/>
                      <w:lang w:val="en-US" w:eastAsia="zh-CN" w:bidi="ar"/>
                      <w14:textFill>
                        <w14:solidFill>
                          <w14:schemeClr w14:val="tx1"/>
                        </w14:solidFill>
                      </w14:textFill>
                    </w:rPr>
                    <w:t>0.805</w:t>
                  </w:r>
                </w:p>
              </w:tc>
              <w:tc>
                <w:tcPr>
                  <w:tcW w:w="501" w:type="pct"/>
                  <w:shd w:val="clear" w:color="auto" w:fill="auto"/>
                  <w:noWrap w:val="0"/>
                  <w:vAlign w:val="center"/>
                </w:tcPr>
                <w:p w14:paraId="3EA4E7DD">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color w:val="000000" w:themeColor="text1"/>
                      <w:kern w:val="2"/>
                      <w:sz w:val="21"/>
                      <w:szCs w:val="21"/>
                      <w:u w:val="none" w:color="auto"/>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u w:val="none" w:color="auto"/>
                      <w:lang w:val="en-US" w:eastAsia="zh-CN" w:bidi="ar-SA"/>
                      <w14:textFill>
                        <w14:solidFill>
                          <w14:schemeClr w14:val="tx1"/>
                        </w14:solidFill>
                      </w14:textFill>
                    </w:rPr>
                    <w:t>0.224</w:t>
                  </w:r>
                </w:p>
              </w:tc>
              <w:tc>
                <w:tcPr>
                  <w:tcW w:w="480" w:type="pct"/>
                  <w:shd w:val="clear" w:color="auto" w:fill="auto"/>
                  <w:noWrap w:val="0"/>
                  <w:vAlign w:val="center"/>
                </w:tcPr>
                <w:p w14:paraId="65EC1C82">
                  <w:pPr>
                    <w:keepNext w:val="0"/>
                    <w:keepLines w:val="0"/>
                    <w:suppressLineNumbers w:val="0"/>
                    <w:adjustRightInd w:val="0"/>
                    <w:snapToGrid w:val="0"/>
                    <w:spacing w:before="0" w:beforeAutospacing="0" w:after="0" w:afterAutospacing="0" w:line="240" w:lineRule="auto"/>
                    <w:ind w:left="0" w:leftChars="0" w:right="0" w:rightChars="0"/>
                    <w:jc w:val="cente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36</w:t>
                  </w: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00h/a</w:t>
                  </w:r>
                </w:p>
              </w:tc>
            </w:tr>
          </w:tbl>
          <w:p w14:paraId="1A75F085">
            <w:pPr>
              <w:pStyle w:val="38"/>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b w:val="0"/>
                <w:bCs/>
                <w:color w:val="000000" w:themeColor="text1"/>
                <w:kern w:val="0"/>
                <w:sz w:val="24"/>
                <w:szCs w:val="21"/>
                <w:highlight w:val="none"/>
                <w:u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0"/>
                <w:sz w:val="24"/>
                <w:szCs w:val="21"/>
                <w:highlight w:val="none"/>
                <w:u w:val="none"/>
                <w:lang w:val="en-US" w:eastAsia="zh-CN" w:bidi="ar-SA"/>
                <w14:textFill>
                  <w14:solidFill>
                    <w14:schemeClr w14:val="tx1"/>
                  </w14:solidFill>
                </w14:textFill>
              </w:rPr>
              <w:t>3）炭化废气</w:t>
            </w:r>
          </w:p>
          <w:p w14:paraId="1821064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b w:val="0"/>
                <w:bCs w:val="0"/>
                <w:color w:val="000000" w:themeColor="text1"/>
                <w:kern w:val="0"/>
                <w:sz w:val="24"/>
                <w:szCs w:val="24"/>
                <w:highlight w:val="none"/>
                <w:lang w:val="en-US" w:eastAsia="zh-CN" w:bidi="ar"/>
                <w14:textFill>
                  <w14:solidFill>
                    <w14:schemeClr w14:val="tx1"/>
                  </w14:solidFill>
                </w14:textFill>
              </w:rPr>
            </w:pPr>
            <w:r>
              <w:rPr>
                <w:rFonts w:hint="default" w:ascii="Times New Roman" w:hAnsi="Times New Roman" w:eastAsia="宋体" w:cs="Times New Roman"/>
                <w:b w:val="0"/>
                <w:bCs w:val="0"/>
                <w:color w:val="000000" w:themeColor="text1"/>
                <w:kern w:val="0"/>
                <w:sz w:val="24"/>
                <w:szCs w:val="24"/>
                <w:highlight w:val="none"/>
                <w:lang w:val="en-US" w:eastAsia="zh-CN" w:bidi="ar"/>
                <w14:textFill>
                  <w14:solidFill>
                    <w14:schemeClr w14:val="tx1"/>
                  </w14:solidFill>
                </w14:textFill>
              </w:rPr>
              <w:t>项目炭化工艺对主要原材料在缺氧条件下进行炭化处理，炭化过程中会产生可燃气体木煤气（CO</w:t>
            </w:r>
            <w:r>
              <w:rPr>
                <w:rFonts w:hint="default" w:ascii="Times New Roman" w:hAnsi="Times New Roman" w:eastAsia="宋体" w:cs="Times New Roman"/>
                <w:b w:val="0"/>
                <w:bCs w:val="0"/>
                <w:color w:val="000000" w:themeColor="text1"/>
                <w:kern w:val="0"/>
                <w:sz w:val="24"/>
                <w:szCs w:val="24"/>
                <w:highlight w:val="none"/>
                <w:vertAlign w:val="subscript"/>
                <w:lang w:val="en-US" w:eastAsia="zh-CN" w:bidi="ar"/>
                <w14:textFill>
                  <w14:solidFill>
                    <w14:schemeClr w14:val="tx1"/>
                  </w14:solidFill>
                </w14:textFill>
              </w:rPr>
              <w:t>2</w:t>
            </w:r>
            <w:r>
              <w:rPr>
                <w:rFonts w:hint="default" w:ascii="Times New Roman" w:hAnsi="Times New Roman" w:eastAsia="宋体" w:cs="Times New Roman"/>
                <w:b w:val="0"/>
                <w:bCs w:val="0"/>
                <w:color w:val="000000" w:themeColor="text1"/>
                <w:kern w:val="0"/>
                <w:sz w:val="24"/>
                <w:szCs w:val="24"/>
                <w:highlight w:val="none"/>
                <w:lang w:val="en-US" w:eastAsia="zh-CN" w:bidi="ar"/>
                <w14:textFill>
                  <w14:solidFill>
                    <w14:schemeClr w14:val="tx1"/>
                  </w14:solidFill>
                </w14:textFill>
              </w:rPr>
              <w:t>、CO、甲烷、乙烯、H</w:t>
            </w:r>
            <w:r>
              <w:rPr>
                <w:rFonts w:hint="default" w:ascii="Times New Roman" w:hAnsi="Times New Roman" w:eastAsia="宋体" w:cs="Times New Roman"/>
                <w:b w:val="0"/>
                <w:bCs w:val="0"/>
                <w:color w:val="000000" w:themeColor="text1"/>
                <w:kern w:val="0"/>
                <w:sz w:val="24"/>
                <w:szCs w:val="24"/>
                <w:highlight w:val="none"/>
                <w:vertAlign w:val="subscript"/>
                <w:lang w:val="en-US" w:eastAsia="zh-CN" w:bidi="ar"/>
                <w14:textFill>
                  <w14:solidFill>
                    <w14:schemeClr w14:val="tx1"/>
                  </w14:solidFill>
                </w14:textFill>
              </w:rPr>
              <w:t>2</w:t>
            </w:r>
            <w:r>
              <w:rPr>
                <w:rFonts w:hint="default" w:ascii="Times New Roman" w:hAnsi="Times New Roman" w:eastAsia="宋体" w:cs="Times New Roman"/>
                <w:b w:val="0"/>
                <w:bCs w:val="0"/>
                <w:color w:val="000000" w:themeColor="text1"/>
                <w:kern w:val="0"/>
                <w:sz w:val="24"/>
                <w:szCs w:val="24"/>
                <w:highlight w:val="none"/>
                <w:lang w:val="en-US" w:eastAsia="zh-CN" w:bidi="ar"/>
                <w14:textFill>
                  <w14:solidFill>
                    <w14:schemeClr w14:val="tx1"/>
                  </w14:solidFill>
                </w14:textFill>
              </w:rPr>
              <w:t>等）、木醋液蒸汽、木焦油蒸汽，以及不可燃气体（颗粒物、SO</w:t>
            </w:r>
            <w:r>
              <w:rPr>
                <w:rFonts w:hint="default" w:ascii="Times New Roman" w:hAnsi="Times New Roman" w:eastAsia="宋体" w:cs="Times New Roman"/>
                <w:b w:val="0"/>
                <w:bCs w:val="0"/>
                <w:color w:val="000000" w:themeColor="text1"/>
                <w:kern w:val="0"/>
                <w:sz w:val="24"/>
                <w:szCs w:val="24"/>
                <w:highlight w:val="none"/>
                <w:vertAlign w:val="subscript"/>
                <w:lang w:val="en-US" w:eastAsia="zh-CN" w:bidi="ar"/>
                <w14:textFill>
                  <w14:solidFill>
                    <w14:schemeClr w14:val="tx1"/>
                  </w14:solidFill>
                </w14:textFill>
              </w:rPr>
              <w:t>2</w:t>
            </w:r>
            <w:r>
              <w:rPr>
                <w:rFonts w:hint="default" w:ascii="Times New Roman" w:hAnsi="Times New Roman" w:eastAsia="宋体" w:cs="Times New Roman"/>
                <w:b w:val="0"/>
                <w:bCs w:val="0"/>
                <w:color w:val="000000" w:themeColor="text1"/>
                <w:kern w:val="0"/>
                <w:sz w:val="24"/>
                <w:szCs w:val="24"/>
                <w:highlight w:val="none"/>
                <w:lang w:val="en-US" w:eastAsia="zh-CN" w:bidi="ar"/>
                <w14:textFill>
                  <w14:solidFill>
                    <w14:schemeClr w14:val="tx1"/>
                  </w14:solidFill>
                </w14:textFill>
              </w:rPr>
              <w:t>、NO</w:t>
            </w:r>
            <w:r>
              <w:rPr>
                <w:rFonts w:hint="default" w:ascii="Times New Roman" w:hAnsi="Times New Roman" w:eastAsia="宋体" w:cs="Times New Roman"/>
                <w:b w:val="0"/>
                <w:bCs w:val="0"/>
                <w:color w:val="000000" w:themeColor="text1"/>
                <w:kern w:val="0"/>
                <w:sz w:val="24"/>
                <w:szCs w:val="24"/>
                <w:highlight w:val="none"/>
                <w:vertAlign w:val="subscript"/>
                <w:lang w:val="en-US" w:eastAsia="zh-CN" w:bidi="ar"/>
                <w14:textFill>
                  <w14:solidFill>
                    <w14:schemeClr w14:val="tx1"/>
                  </w14:solidFill>
                </w14:textFill>
              </w:rPr>
              <w:t>x</w:t>
            </w:r>
            <w:r>
              <w:rPr>
                <w:rFonts w:hint="default" w:ascii="Times New Roman" w:hAnsi="Times New Roman" w:eastAsia="宋体" w:cs="Times New Roman"/>
                <w:b w:val="0"/>
                <w:bCs w:val="0"/>
                <w:color w:val="000000" w:themeColor="text1"/>
                <w:kern w:val="0"/>
                <w:sz w:val="24"/>
                <w:szCs w:val="24"/>
                <w:highlight w:val="none"/>
                <w:lang w:val="en-US" w:eastAsia="zh-CN" w:bidi="ar"/>
                <w14:textFill>
                  <w14:solidFill>
                    <w14:schemeClr w14:val="tx1"/>
                  </w14:solidFill>
                </w14:textFill>
              </w:rPr>
              <w:t>）。项目炭化</w:t>
            </w:r>
            <w:r>
              <w:rPr>
                <w:rFonts w:hint="eastAsia" w:ascii="Times New Roman" w:hAnsi="Times New Roman" w:cs="Times New Roman"/>
                <w:b w:val="0"/>
                <w:bCs w:val="0"/>
                <w:color w:val="000000" w:themeColor="text1"/>
                <w:kern w:val="0"/>
                <w:sz w:val="24"/>
                <w:szCs w:val="24"/>
                <w:highlight w:val="none"/>
                <w:lang w:val="en-US" w:eastAsia="zh-CN" w:bidi="ar"/>
                <w14:textFill>
                  <w14:solidFill>
                    <w14:schemeClr w14:val="tx1"/>
                  </w14:solidFill>
                </w14:textFill>
              </w:rPr>
              <w:t>炉</w:t>
            </w:r>
            <w:r>
              <w:rPr>
                <w:rFonts w:hint="default" w:ascii="Times New Roman" w:hAnsi="Times New Roman" w:eastAsia="宋体" w:cs="Times New Roman"/>
                <w:b w:val="0"/>
                <w:bCs w:val="0"/>
                <w:color w:val="000000" w:themeColor="text1"/>
                <w:kern w:val="0"/>
                <w:sz w:val="24"/>
                <w:szCs w:val="24"/>
                <w:highlight w:val="none"/>
                <w:lang w:val="en-US" w:eastAsia="zh-CN" w:bidi="ar"/>
                <w14:textFill>
                  <w14:solidFill>
                    <w14:schemeClr w14:val="tx1"/>
                  </w14:solidFill>
                </w14:textFill>
              </w:rPr>
              <w:t>每天工作24h，每年工作时间约为3</w:t>
            </w:r>
            <w:r>
              <w:rPr>
                <w:rFonts w:hint="eastAsia" w:ascii="Times New Roman" w:hAnsi="Times New Roman" w:cs="Times New Roman"/>
                <w:b w:val="0"/>
                <w:bCs w:val="0"/>
                <w:color w:val="000000" w:themeColor="text1"/>
                <w:kern w:val="0"/>
                <w:sz w:val="24"/>
                <w:szCs w:val="24"/>
                <w:highlight w:val="none"/>
                <w:lang w:val="en-US" w:eastAsia="zh-CN" w:bidi="ar"/>
                <w14:textFill>
                  <w14:solidFill>
                    <w14:schemeClr w14:val="tx1"/>
                  </w14:solidFill>
                </w14:textFill>
              </w:rPr>
              <w:t>0</w:t>
            </w:r>
            <w:r>
              <w:rPr>
                <w:rFonts w:hint="default" w:ascii="Times New Roman" w:hAnsi="Times New Roman" w:eastAsia="宋体" w:cs="Times New Roman"/>
                <w:b w:val="0"/>
                <w:bCs w:val="0"/>
                <w:color w:val="000000" w:themeColor="text1"/>
                <w:kern w:val="0"/>
                <w:sz w:val="24"/>
                <w:szCs w:val="24"/>
                <w:highlight w:val="none"/>
                <w:lang w:val="en-US" w:eastAsia="zh-CN" w:bidi="ar"/>
                <w14:textFill>
                  <w14:solidFill>
                    <w14:schemeClr w14:val="tx1"/>
                  </w14:solidFill>
                </w14:textFill>
              </w:rPr>
              <w:t>0天。</w:t>
            </w:r>
          </w:p>
          <w:p w14:paraId="44C1EB4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b w:val="0"/>
                <w:bCs w:val="0"/>
                <w:color w:val="000000" w:themeColor="text1"/>
                <w:kern w:val="0"/>
                <w:sz w:val="24"/>
                <w:szCs w:val="24"/>
                <w:highlight w:val="none"/>
                <w:lang w:val="en-US" w:eastAsia="zh-CN" w:bidi="ar"/>
                <w14:textFill>
                  <w14:solidFill>
                    <w14:schemeClr w14:val="tx1"/>
                  </w14:solidFill>
                </w14:textFill>
              </w:rPr>
            </w:pPr>
            <w:r>
              <w:rPr>
                <w:rFonts w:hint="default" w:ascii="Times New Roman" w:hAnsi="Times New Roman" w:eastAsia="宋体" w:cs="Times New Roman"/>
                <w:b w:val="0"/>
                <w:bCs w:val="0"/>
                <w:color w:val="000000" w:themeColor="text1"/>
                <w:kern w:val="0"/>
                <w:sz w:val="24"/>
                <w:szCs w:val="24"/>
                <w:highlight w:val="none"/>
                <w:lang w:val="en-US" w:eastAsia="zh-CN" w:bidi="ar"/>
                <w14:textFill>
                  <w14:solidFill>
                    <w14:schemeClr w14:val="tx1"/>
                  </w14:solidFill>
                </w14:textFill>
              </w:rPr>
              <w:t>①引火及炭化窑启动初始过程：</w:t>
            </w:r>
          </w:p>
          <w:p w14:paraId="427BAF0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cs="Times New Roman"/>
                <w:color w:val="000000" w:themeColor="text1"/>
                <w:kern w:val="0"/>
                <w:sz w:val="24"/>
                <w:szCs w:val="24"/>
                <w:highlight w:val="none"/>
                <w:u w:val="none"/>
                <w:lang w:val="en-US" w:eastAsia="zh-CN" w:bidi="ar"/>
                <w14:textFill>
                  <w14:solidFill>
                    <w14:schemeClr w14:val="tx1"/>
                  </w14:solidFill>
                </w14:textFill>
              </w:rPr>
            </w:pPr>
            <w:r>
              <w:rPr>
                <w:rFonts w:hint="default" w:ascii="Times New Roman" w:hAnsi="Times New Roman" w:cs="Times New Roman"/>
                <w:color w:val="000000" w:themeColor="text1"/>
                <w:kern w:val="0"/>
                <w:sz w:val="24"/>
                <w:szCs w:val="24"/>
                <w:highlight w:val="none"/>
                <w:u w:val="none"/>
                <w:lang w:val="en-US" w:eastAsia="zh-CN" w:bidi="ar"/>
                <w14:textFill>
                  <w14:solidFill>
                    <w14:schemeClr w14:val="tx1"/>
                  </w14:solidFill>
                </w14:textFill>
              </w:rPr>
              <w:t>A无木煤气使用时采用生物质</w:t>
            </w:r>
          </w:p>
          <w:p w14:paraId="29E2A9F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000000" w:themeColor="text1"/>
                <w:sz w:val="24"/>
                <w:szCs w:val="24"/>
                <w:highlight w:val="none"/>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根据建设单位提供的资料，</w:t>
            </w:r>
            <w:r>
              <w:rPr>
                <w:rFonts w:hint="default" w:ascii="Times New Roman" w:hAnsi="Times New Roman" w:cs="Times New Roman"/>
                <w:color w:val="000000" w:themeColor="text1"/>
                <w:kern w:val="0"/>
                <w:sz w:val="24"/>
                <w:szCs w:val="24"/>
                <w:highlight w:val="none"/>
                <w:lang w:val="en-US" w:eastAsia="zh-CN" w:bidi="ar"/>
                <w14:textFill>
                  <w14:solidFill>
                    <w14:schemeClr w14:val="tx1"/>
                  </w14:solidFill>
                </w14:textFill>
              </w:rPr>
              <w:t>生产线刚开启无木煤气储存和产生时，炭窑采用生物质燃料</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引火及炭化窑</w:t>
            </w:r>
            <w:r>
              <w:rPr>
                <w:rFonts w:hint="default" w:ascii="Times New Roman" w:hAnsi="Times New Roman" w:cs="Times New Roman"/>
                <w:b w:val="0"/>
                <w:bCs w:val="0"/>
                <w:color w:val="000000" w:themeColor="text1"/>
                <w:sz w:val="24"/>
                <w:szCs w:val="24"/>
                <w:highlight w:val="none"/>
                <w:lang w:val="en-US" w:eastAsia="zh-CN"/>
                <w14:textFill>
                  <w14:solidFill>
                    <w14:schemeClr w14:val="tx1"/>
                  </w14:solidFill>
                </w14:textFill>
              </w:rPr>
              <w:t>启动初始过程中燃料</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。该过程时间为</w:t>
            </w:r>
            <w:r>
              <w:rPr>
                <w:rFonts w:hint="default" w:ascii="Times New Roman" w:hAnsi="Times New Roman" w:cs="Times New Roman"/>
                <w:color w:val="000000" w:themeColor="text1"/>
                <w:kern w:val="0"/>
                <w:sz w:val="24"/>
                <w:szCs w:val="24"/>
                <w:highlight w:val="none"/>
                <w:lang w:val="en-US" w:eastAsia="zh-CN" w:bidi="ar"/>
                <w14:textFill>
                  <w14:solidFill>
                    <w14:schemeClr w14:val="tx1"/>
                  </w14:solidFill>
                </w14:textFill>
              </w:rPr>
              <w:t>2</w:t>
            </w:r>
            <w:r>
              <w:rPr>
                <w:rFonts w:hint="eastAsia" w:ascii="Times New Roman" w:hAnsi="Times New Roman" w:cs="Times New Roman"/>
                <w:color w:val="000000" w:themeColor="text1"/>
                <w:kern w:val="0"/>
                <w:sz w:val="24"/>
                <w:szCs w:val="24"/>
                <w:highlight w:val="none"/>
                <w:lang w:val="en-US" w:eastAsia="zh-CN" w:bidi="ar"/>
                <w14:textFill>
                  <w14:solidFill>
                    <w14:schemeClr w14:val="tx1"/>
                  </w14:solidFill>
                </w14:textFill>
              </w:rPr>
              <w:t>0</w:t>
            </w:r>
            <w:r>
              <w:rPr>
                <w:rFonts w:hint="default" w:ascii="Times New Roman" w:hAnsi="Times New Roman" w:cs="Times New Roman"/>
                <w:color w:val="000000" w:themeColor="text1"/>
                <w:kern w:val="0"/>
                <w:sz w:val="24"/>
                <w:szCs w:val="24"/>
                <w:highlight w:val="none"/>
                <w:lang w:val="en-US" w:eastAsia="zh-CN" w:bidi="ar"/>
                <w14:textFill>
                  <w14:solidFill>
                    <w14:schemeClr w14:val="tx1"/>
                  </w14:solidFill>
                </w14:textFill>
              </w:rPr>
              <w:t>0</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h。燃料燃烧过程中产生颗粒物、</w:t>
            </w:r>
            <w:r>
              <w:rPr>
                <w:rFonts w:hint="default" w:ascii="Times New Roman" w:hAnsi="Times New Roman" w:cs="Times New Roman"/>
                <w:color w:val="000000" w:themeColor="text1"/>
                <w:sz w:val="24"/>
                <w:szCs w:val="24"/>
                <w:highlight w:val="none"/>
                <w14:textFill>
                  <w14:solidFill>
                    <w14:schemeClr w14:val="tx1"/>
                  </w14:solidFill>
                </w14:textFill>
              </w:rPr>
              <w:t>SO</w:t>
            </w:r>
            <w:r>
              <w:rPr>
                <w:rFonts w:hint="default" w:ascii="Times New Roman" w:hAnsi="Times New Roman" w:cs="Times New Roman"/>
                <w:color w:val="000000" w:themeColor="text1"/>
                <w:sz w:val="24"/>
                <w:szCs w:val="24"/>
                <w:highlight w:val="none"/>
                <w:vertAlign w:val="subscript"/>
                <w14:textFill>
                  <w14:solidFill>
                    <w14:schemeClr w14:val="tx1"/>
                  </w14:solidFill>
                </w14:textFill>
              </w:rPr>
              <w:t>2</w:t>
            </w:r>
            <w:r>
              <w:rPr>
                <w:rFonts w:hint="default" w:ascii="Times New Roman" w:hAnsi="Times New Roman" w:cs="Times New Roman"/>
                <w:color w:val="000000" w:themeColor="text1"/>
                <w:sz w:val="24"/>
                <w:szCs w:val="24"/>
                <w:highlight w:val="none"/>
                <w14:textFill>
                  <w14:solidFill>
                    <w14:schemeClr w14:val="tx1"/>
                  </w14:solidFill>
                </w14:textFill>
              </w:rPr>
              <w:t>、NO</w:t>
            </w:r>
            <w:r>
              <w:rPr>
                <w:rFonts w:hint="default" w:ascii="Times New Roman" w:hAnsi="Times New Roman" w:cs="Times New Roman"/>
                <w:color w:val="000000" w:themeColor="text1"/>
                <w:sz w:val="24"/>
                <w:szCs w:val="24"/>
                <w:highlight w:val="none"/>
                <w:vertAlign w:val="subscript"/>
                <w14:textFill>
                  <w14:solidFill>
                    <w14:schemeClr w14:val="tx1"/>
                  </w14:solidFill>
                </w14:textFill>
              </w:rPr>
              <w:t>X</w:t>
            </w:r>
            <w:r>
              <w:rPr>
                <w:rFonts w:hint="default" w:ascii="Times New Roman" w:hAnsi="Times New Roman" w:cs="Times New Roman"/>
                <w:color w:val="000000" w:themeColor="text1"/>
                <w:sz w:val="24"/>
                <w:szCs w:val="24"/>
                <w:highlight w:val="none"/>
                <w:lang w:eastAsia="zh-CN"/>
                <w14:textFill>
                  <w14:solidFill>
                    <w14:schemeClr w14:val="tx1"/>
                  </w14:solidFill>
                </w14:textFill>
              </w:rPr>
              <w:t>。</w:t>
            </w:r>
            <w:r>
              <w:rPr>
                <w:rFonts w:hint="default" w:ascii="Times New Roman" w:hAnsi="Times New Roman" w:cs="Times New Roman"/>
                <w:color w:val="000000" w:themeColor="text1"/>
                <w:sz w:val="24"/>
                <w:szCs w:val="24"/>
                <w:highlight w:val="none"/>
                <w:u w:val="none"/>
                <w:lang w:val="en-US" w:eastAsia="zh-CN"/>
                <w14:textFill>
                  <w14:solidFill>
                    <w14:schemeClr w14:val="tx1"/>
                  </w14:solidFill>
                </w14:textFill>
              </w:rPr>
              <w:t>产污参照</w:t>
            </w:r>
            <w:r>
              <w:rPr>
                <w:rFonts w:hint="default" w:ascii="Times New Roman" w:hAnsi="Times New Roman" w:eastAsia="宋体" w:cs="Times New Roman"/>
                <w:color w:val="000000" w:themeColor="text1"/>
                <w:kern w:val="2"/>
                <w:sz w:val="24"/>
                <w:szCs w:val="24"/>
                <w:highlight w:val="none"/>
                <w:u w:val="none" w:color="auto"/>
                <w:lang w:val="en-US" w:eastAsia="zh-CN" w:bidi="ar"/>
                <w14:textFill>
                  <w14:solidFill>
                    <w14:schemeClr w14:val="tx1"/>
                  </w14:solidFill>
                </w14:textFill>
              </w:rPr>
              <w:t>《</w:t>
            </w:r>
            <w:r>
              <w:rPr>
                <w:rFonts w:hint="default" w:ascii="Times New Roman" w:hAnsi="Times New Roman" w:cs="Times New Roman"/>
                <w:color w:val="000000" w:themeColor="text1"/>
                <w:kern w:val="2"/>
                <w:sz w:val="24"/>
                <w:szCs w:val="24"/>
                <w:highlight w:val="none"/>
                <w:u w:val="none" w:color="auto"/>
                <w:lang w:val="en-US" w:eastAsia="zh-CN" w:bidi="ar"/>
                <w14:textFill>
                  <w14:solidFill>
                    <w14:schemeClr w14:val="tx1"/>
                  </w14:solidFill>
                </w14:textFill>
              </w:rPr>
              <w:t>排污源统计调查产排污核算方法和系数手册</w:t>
            </w:r>
            <w:r>
              <w:rPr>
                <w:rFonts w:hint="default" w:ascii="Times New Roman" w:hAnsi="Times New Roman" w:eastAsia="宋体" w:cs="Times New Roman"/>
                <w:color w:val="000000" w:themeColor="text1"/>
                <w:kern w:val="2"/>
                <w:sz w:val="24"/>
                <w:szCs w:val="24"/>
                <w:highlight w:val="none"/>
                <w:u w:val="none" w:color="auto"/>
                <w:lang w:val="en-US" w:eastAsia="zh-CN" w:bidi="ar"/>
                <w14:textFill>
                  <w14:solidFill>
                    <w14:schemeClr w14:val="tx1"/>
                  </w14:solidFill>
                </w14:textFill>
              </w:rPr>
              <w:t>》</w:t>
            </w:r>
            <w:r>
              <w:rPr>
                <w:rFonts w:hint="default" w:ascii="Times New Roman" w:hAnsi="Times New Roman" w:cs="Times New Roman"/>
                <w:color w:val="000000" w:themeColor="text1"/>
                <w:kern w:val="2"/>
                <w:sz w:val="24"/>
                <w:szCs w:val="24"/>
                <w:highlight w:val="none"/>
                <w:u w:val="none" w:color="auto"/>
                <w:lang w:val="en-US" w:eastAsia="zh-CN" w:bidi="ar"/>
                <w14:textFill>
                  <w14:solidFill>
                    <w14:schemeClr w14:val="tx1"/>
                  </w14:solidFill>
                </w14:textFill>
              </w:rPr>
              <w:t>（部令公告2021年第24号）</w:t>
            </w:r>
            <w:r>
              <w:rPr>
                <w:rFonts w:hint="default" w:ascii="Times New Roman" w:hAnsi="Times New Roman" w:eastAsia="宋体" w:cs="Times New Roman"/>
                <w:color w:val="000000" w:themeColor="text1"/>
                <w:kern w:val="2"/>
                <w:sz w:val="24"/>
                <w:szCs w:val="24"/>
                <w:highlight w:val="none"/>
                <w:u w:val="none" w:color="auto"/>
                <w:lang w:val="en-US" w:eastAsia="zh-CN" w:bidi="ar"/>
                <w14:textFill>
                  <w14:solidFill>
                    <w14:schemeClr w14:val="tx1"/>
                  </w14:solidFill>
                </w14:textFill>
              </w:rPr>
              <w:t>，</w:t>
            </w:r>
            <w:r>
              <w:rPr>
                <w:rFonts w:hint="default" w:ascii="Times New Roman" w:hAnsi="Times New Roman" w:cs="Times New Roman"/>
                <w:color w:val="000000" w:themeColor="text1"/>
                <w:sz w:val="24"/>
                <w:highlight w:val="none"/>
                <w:u w:val="none" w:color="auto"/>
                <w14:textFill>
                  <w14:solidFill>
                    <w14:schemeClr w14:val="tx1"/>
                  </w14:solidFill>
                </w14:textFill>
              </w:rPr>
              <w:t>烟尘产污系数为0.5kg/</w:t>
            </w:r>
            <w:r>
              <w:rPr>
                <w:rFonts w:hint="default" w:ascii="Times New Roman" w:hAnsi="Times New Roman" w:cs="Times New Roman"/>
                <w:color w:val="000000" w:themeColor="text1"/>
                <w:sz w:val="24"/>
                <w:highlight w:val="none"/>
                <w:u w:val="none" w:color="auto"/>
                <w:lang w:val="en-US" w:eastAsia="zh-CN"/>
                <w14:textFill>
                  <w14:solidFill>
                    <w14:schemeClr w14:val="tx1"/>
                  </w14:solidFill>
                </w14:textFill>
              </w:rPr>
              <w:t>t</w:t>
            </w:r>
            <w:r>
              <w:rPr>
                <w:rFonts w:hint="default" w:ascii="Times New Roman" w:hAnsi="Times New Roman" w:cs="Times New Roman"/>
                <w:color w:val="000000" w:themeColor="text1"/>
                <w:sz w:val="24"/>
                <w:highlight w:val="none"/>
                <w:u w:val="none" w:color="auto"/>
                <w14:textFill>
                  <w14:solidFill>
                    <w14:schemeClr w14:val="tx1"/>
                  </w14:solidFill>
                </w14:textFill>
              </w:rPr>
              <w:t>-原料</w:t>
            </w:r>
            <w:r>
              <w:rPr>
                <w:rFonts w:hint="default" w:ascii="Times New Roman" w:hAnsi="Times New Roman" w:cs="Times New Roman"/>
                <w:color w:val="000000" w:themeColor="text1"/>
                <w:sz w:val="24"/>
                <w:highlight w:val="none"/>
                <w:u w:val="none" w:color="auto"/>
                <w:lang w:eastAsia="zh-CN"/>
                <w14:textFill>
                  <w14:solidFill>
                    <w14:schemeClr w14:val="tx1"/>
                  </w14:solidFill>
                </w14:textFill>
              </w:rPr>
              <w:t>；</w:t>
            </w:r>
            <w:r>
              <w:rPr>
                <w:rFonts w:hint="default" w:ascii="Times New Roman" w:hAnsi="Times New Roman" w:eastAsia="宋体" w:cs="Times New Roman"/>
                <w:color w:val="000000" w:themeColor="text1"/>
                <w:kern w:val="2"/>
                <w:sz w:val="24"/>
                <w:szCs w:val="24"/>
                <w:highlight w:val="none"/>
                <w:u w:val="none" w:color="auto"/>
                <w:lang w:val="en-US" w:eastAsia="zh-CN" w:bidi="ar"/>
                <w14:textFill>
                  <w14:solidFill>
                    <w14:schemeClr w14:val="tx1"/>
                  </w14:solidFill>
                </w14:textFill>
              </w:rPr>
              <w:t>氮氧化物产生系数为</w:t>
            </w:r>
            <w:r>
              <w:rPr>
                <w:rFonts w:hint="default" w:ascii="Times New Roman" w:hAnsi="Times New Roman" w:cs="Times New Roman"/>
                <w:color w:val="000000" w:themeColor="text1"/>
                <w:kern w:val="2"/>
                <w:sz w:val="24"/>
                <w:szCs w:val="24"/>
                <w:highlight w:val="none"/>
                <w:u w:val="none" w:color="auto"/>
                <w:lang w:val="en-US" w:eastAsia="zh-CN" w:bidi="ar"/>
                <w14:textFill>
                  <w14:solidFill>
                    <w14:schemeClr w14:val="tx1"/>
                  </w14:solidFill>
                </w14:textFill>
              </w:rPr>
              <w:t>1.02</w:t>
            </w:r>
            <w:r>
              <w:rPr>
                <w:rFonts w:hint="default" w:ascii="Times New Roman" w:hAnsi="Times New Roman" w:eastAsia="宋体" w:cs="Times New Roman"/>
                <w:color w:val="000000" w:themeColor="text1"/>
                <w:kern w:val="2"/>
                <w:sz w:val="24"/>
                <w:szCs w:val="24"/>
                <w:highlight w:val="none"/>
                <w:u w:val="none" w:color="auto"/>
                <w:lang w:val="en-US" w:eastAsia="zh-CN" w:bidi="ar"/>
                <w14:textFill>
                  <w14:solidFill>
                    <w14:schemeClr w14:val="tx1"/>
                  </w14:solidFill>
                </w14:textFill>
              </w:rPr>
              <w:t>kg/</w:t>
            </w:r>
            <w:r>
              <w:rPr>
                <w:rFonts w:hint="default" w:ascii="Times New Roman" w:hAnsi="Times New Roman" w:cs="Times New Roman"/>
                <w:color w:val="000000" w:themeColor="text1"/>
                <w:kern w:val="2"/>
                <w:sz w:val="24"/>
                <w:szCs w:val="24"/>
                <w:highlight w:val="none"/>
                <w:u w:val="none" w:color="auto"/>
                <w:lang w:val="en-US" w:eastAsia="zh-CN" w:bidi="ar"/>
                <w14:textFill>
                  <w14:solidFill>
                    <w14:schemeClr w14:val="tx1"/>
                  </w14:solidFill>
                </w14:textFill>
              </w:rPr>
              <w:t>t-原料</w:t>
            </w:r>
            <w:r>
              <w:rPr>
                <w:rFonts w:hint="default" w:ascii="Times New Roman" w:hAnsi="Times New Roman" w:eastAsia="宋体" w:cs="Times New Roman"/>
                <w:color w:val="000000" w:themeColor="text1"/>
                <w:kern w:val="2"/>
                <w:sz w:val="24"/>
                <w:szCs w:val="24"/>
                <w:highlight w:val="none"/>
                <w:u w:val="none" w:color="auto"/>
                <w:lang w:val="en-US" w:eastAsia="zh-CN" w:bidi="ar"/>
                <w14:textFill>
                  <w14:solidFill>
                    <w14:schemeClr w14:val="tx1"/>
                  </w14:solidFill>
                </w14:textFill>
              </w:rPr>
              <w:t>；二氧化硫产生系数为</w:t>
            </w:r>
            <w:r>
              <w:rPr>
                <w:rFonts w:hint="default" w:ascii="Times New Roman" w:hAnsi="Times New Roman" w:cs="Times New Roman"/>
                <w:color w:val="000000" w:themeColor="text1"/>
                <w:kern w:val="2"/>
                <w:sz w:val="24"/>
                <w:szCs w:val="24"/>
                <w:highlight w:val="none"/>
                <w:u w:val="none" w:color="auto"/>
                <w:lang w:val="en-US" w:eastAsia="zh-CN" w:bidi="ar"/>
                <w14:textFill>
                  <w14:solidFill>
                    <w14:schemeClr w14:val="tx1"/>
                  </w14:solidFill>
                </w14:textFill>
              </w:rPr>
              <w:t>17</w:t>
            </w:r>
            <w:r>
              <w:rPr>
                <w:rFonts w:hint="default" w:ascii="Times New Roman" w:hAnsi="Times New Roman" w:eastAsia="宋体" w:cs="Times New Roman"/>
                <w:color w:val="000000" w:themeColor="text1"/>
                <w:kern w:val="2"/>
                <w:sz w:val="24"/>
                <w:szCs w:val="24"/>
                <w:highlight w:val="none"/>
                <w:u w:val="none" w:color="auto"/>
                <w:lang w:val="en-US" w:eastAsia="zh-CN" w:bidi="ar"/>
                <w14:textFill>
                  <w14:solidFill>
                    <w14:schemeClr w14:val="tx1"/>
                  </w14:solidFill>
                </w14:textFill>
              </w:rPr>
              <w:t>Skg/</w:t>
            </w:r>
            <w:r>
              <w:rPr>
                <w:rFonts w:hint="default" w:ascii="Times New Roman" w:hAnsi="Times New Roman" w:cs="Times New Roman"/>
                <w:color w:val="000000" w:themeColor="text1"/>
                <w:kern w:val="2"/>
                <w:sz w:val="24"/>
                <w:szCs w:val="24"/>
                <w:highlight w:val="none"/>
                <w:u w:val="none" w:color="auto"/>
                <w:lang w:val="en-US" w:eastAsia="zh-CN" w:bidi="ar"/>
                <w14:textFill>
                  <w14:solidFill>
                    <w14:schemeClr w14:val="tx1"/>
                  </w14:solidFill>
                </w14:textFill>
              </w:rPr>
              <w:t>t-原料</w:t>
            </w:r>
            <w:r>
              <w:rPr>
                <w:rFonts w:hint="default" w:ascii="Times New Roman" w:hAnsi="Times New Roman" w:eastAsia="宋体" w:cs="Times New Roman"/>
                <w:color w:val="000000" w:themeColor="text1"/>
                <w:kern w:val="2"/>
                <w:sz w:val="24"/>
                <w:szCs w:val="24"/>
                <w:highlight w:val="none"/>
                <w:u w:val="none" w:color="auto"/>
                <w:lang w:val="en-US" w:eastAsia="zh-CN" w:bidi="ar"/>
                <w14:textFill>
                  <w14:solidFill>
                    <w14:schemeClr w14:val="tx1"/>
                  </w14:solidFill>
                </w14:textFill>
              </w:rPr>
              <w:t>（</w:t>
            </w:r>
            <w:r>
              <w:rPr>
                <w:rFonts w:hint="default" w:ascii="Times New Roman" w:hAnsi="Times New Roman" w:cs="Times New Roman"/>
                <w:color w:val="000000" w:themeColor="text1"/>
                <w:sz w:val="24"/>
                <w:szCs w:val="24"/>
                <w:highlight w:val="none"/>
                <w:u w:val="none"/>
                <w14:textFill>
                  <w14:solidFill>
                    <w14:schemeClr w14:val="tx1"/>
                  </w14:solidFill>
                </w14:textFill>
              </w:rPr>
              <w:t>二氧化硫的产排污系数是以含硫量S%的形式表示的，其中含硫量S%是指生物质收到基硫分含量，以质量百分数的行式表示。含硫量S%为0.01%，则S=0.01</w:t>
            </w:r>
            <w:r>
              <w:rPr>
                <w:rFonts w:hint="default" w:ascii="Times New Roman" w:hAnsi="Times New Roman" w:cs="Times New Roman"/>
                <w:color w:val="000000" w:themeColor="text1"/>
                <w:sz w:val="24"/>
                <w:szCs w:val="24"/>
                <w:highlight w:val="none"/>
                <w:u w:val="none"/>
                <w:lang w:eastAsia="zh-CN"/>
                <w14:textFill>
                  <w14:solidFill>
                    <w14:schemeClr w14:val="tx1"/>
                  </w14:solidFill>
                </w14:textFill>
              </w:rPr>
              <w:t>）</w:t>
            </w:r>
            <w:r>
              <w:rPr>
                <w:rFonts w:hint="default" w:ascii="Times New Roman" w:hAnsi="Times New Roman" w:cs="Times New Roman"/>
                <w:color w:val="000000" w:themeColor="text1"/>
                <w:sz w:val="24"/>
                <w:szCs w:val="24"/>
                <w:highlight w:val="none"/>
                <w:u w:val="none"/>
                <w14:textFill>
                  <w14:solidFill>
                    <w14:schemeClr w14:val="tx1"/>
                  </w14:solidFill>
                </w14:textFill>
              </w:rPr>
              <w:t>。</w:t>
            </w:r>
            <w:r>
              <w:rPr>
                <w:rFonts w:hint="default" w:ascii="Times New Roman" w:hAnsi="Times New Roman" w:eastAsia="宋体" w:cs="Times New Roman"/>
                <w:color w:val="000000" w:themeColor="text1"/>
                <w:sz w:val="24"/>
                <w:szCs w:val="24"/>
                <w:highlight w:val="none"/>
                <w:u w:val="none"/>
                <w:lang w:val="en-US" w:eastAsia="zh-CN"/>
                <w14:textFill>
                  <w14:solidFill>
                    <w14:schemeClr w14:val="tx1"/>
                  </w14:solidFill>
                </w14:textFill>
              </w:rPr>
              <w:t>本项目燃烧的生物质颗粒含硫量以0.07%计，则S=0.07。</w:t>
            </w:r>
          </w:p>
          <w:p w14:paraId="7B6F87A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default" w:ascii="Times New Roman" w:hAnsi="Times New Roman" w:eastAsia="宋体" w:cs="Times New Roman"/>
                <w:color w:val="000000" w:themeColor="text1"/>
                <w:highlight w:val="none"/>
                <w:u w:val="none"/>
                <w:lang w:val="en-US" w:eastAsia="zh-CN"/>
                <w14:textFill>
                  <w14:solidFill>
                    <w14:schemeClr w14:val="tx1"/>
                  </w14:solidFill>
                </w14:textFill>
              </w:rPr>
            </w:pPr>
            <w:r>
              <w:rPr>
                <w:rFonts w:hint="default" w:ascii="Times New Roman" w:hAnsi="Times New Roman" w:cs="Times New Roman"/>
                <w:color w:val="000000" w:themeColor="text1"/>
                <w:sz w:val="24"/>
                <w:szCs w:val="24"/>
                <w:highlight w:val="none"/>
                <w:u w:val="none"/>
                <w14:textFill>
                  <w14:solidFill>
                    <w14:schemeClr w14:val="tx1"/>
                  </w14:solidFill>
                </w14:textFill>
              </w:rPr>
              <w:t>根据业主提供的资料，</w:t>
            </w:r>
            <w:r>
              <w:rPr>
                <w:rFonts w:hint="default" w:ascii="Times New Roman" w:hAnsi="Times New Roman" w:cs="Times New Roman"/>
                <w:color w:val="000000" w:themeColor="text1"/>
                <w:sz w:val="24"/>
                <w:szCs w:val="24"/>
                <w:highlight w:val="none"/>
                <w:u w:val="none"/>
                <w:lang w:val="en-US" w:eastAsia="zh-CN"/>
                <w14:textFill>
                  <w14:solidFill>
                    <w14:schemeClr w14:val="tx1"/>
                  </w14:solidFill>
                </w14:textFill>
              </w:rPr>
              <w:t>该过程燃料消耗量为0.</w:t>
            </w:r>
            <w:r>
              <w:rPr>
                <w:rFonts w:hint="eastAsia" w:ascii="Times New Roman" w:hAnsi="Times New Roman" w:cs="Times New Roman"/>
                <w:color w:val="000000" w:themeColor="text1"/>
                <w:sz w:val="24"/>
                <w:szCs w:val="24"/>
                <w:highlight w:val="none"/>
                <w:u w:val="none"/>
                <w:lang w:val="en-US" w:eastAsia="zh-CN"/>
                <w14:textFill>
                  <w14:solidFill>
                    <w14:schemeClr w14:val="tx1"/>
                  </w14:solidFill>
                </w14:textFill>
              </w:rPr>
              <w:t>6</w:t>
            </w:r>
            <w:r>
              <w:rPr>
                <w:rFonts w:hint="default" w:ascii="Times New Roman" w:hAnsi="Times New Roman" w:cs="Times New Roman"/>
                <w:color w:val="000000" w:themeColor="text1"/>
                <w:sz w:val="24"/>
                <w:szCs w:val="24"/>
                <w:highlight w:val="none"/>
                <w:u w:val="none"/>
                <w:lang w:val="en-US" w:eastAsia="zh-CN"/>
                <w14:textFill>
                  <w14:solidFill>
                    <w14:schemeClr w14:val="tx1"/>
                  </w14:solidFill>
                </w14:textFill>
              </w:rPr>
              <w:t>t/a，</w:t>
            </w:r>
            <w:r>
              <w:rPr>
                <w:rFonts w:hint="default" w:ascii="Times New Roman" w:hAnsi="Times New Roman" w:eastAsia="宋体" w:cs="Times New Roman"/>
                <w:color w:val="000000" w:themeColor="text1"/>
                <w:kern w:val="0"/>
                <w:sz w:val="24"/>
                <w:szCs w:val="24"/>
                <w:highlight w:val="none"/>
                <w:u w:val="none"/>
                <w:lang w:val="en-US" w:eastAsia="zh-CN" w:bidi="ar"/>
                <w14:textFill>
                  <w14:solidFill>
                    <w14:schemeClr w14:val="tx1"/>
                  </w14:solidFill>
                </w14:textFill>
              </w:rPr>
              <w:t>则</w:t>
            </w:r>
            <w:r>
              <w:rPr>
                <w:rFonts w:hint="default" w:ascii="Times New Roman" w:hAnsi="Times New Roman" w:cs="Times New Roman"/>
                <w:color w:val="000000" w:themeColor="text1"/>
                <w:sz w:val="24"/>
                <w:szCs w:val="24"/>
                <w:highlight w:val="none"/>
                <w:u w:val="none"/>
                <w:lang w:val="en-US" w:eastAsia="zh-CN"/>
                <w14:textFill>
                  <w14:solidFill>
                    <w14:schemeClr w14:val="tx1"/>
                  </w14:solidFill>
                </w14:textFill>
              </w:rPr>
              <w:t>燃料燃烧废气中颗粒物产生量为0.</w:t>
            </w:r>
            <w:r>
              <w:rPr>
                <w:rFonts w:hint="eastAsia" w:ascii="Times New Roman" w:hAnsi="Times New Roman" w:cs="Times New Roman"/>
                <w:color w:val="000000" w:themeColor="text1"/>
                <w:sz w:val="24"/>
                <w:szCs w:val="24"/>
                <w:highlight w:val="none"/>
                <w:u w:val="none"/>
                <w:lang w:val="en-US" w:eastAsia="zh-CN"/>
                <w14:textFill>
                  <w14:solidFill>
                    <w14:schemeClr w14:val="tx1"/>
                  </w14:solidFill>
                </w14:textFill>
              </w:rPr>
              <w:t>3</w:t>
            </w:r>
            <w:r>
              <w:rPr>
                <w:rFonts w:hint="default" w:ascii="Times New Roman" w:hAnsi="Times New Roman" w:cs="Times New Roman"/>
                <w:color w:val="000000" w:themeColor="text1"/>
                <w:sz w:val="24"/>
                <w:szCs w:val="24"/>
                <w:highlight w:val="none"/>
                <w:u w:val="none"/>
                <w:lang w:val="en-US" w:eastAsia="zh-CN"/>
                <w14:textFill>
                  <w14:solidFill>
                    <w14:schemeClr w14:val="tx1"/>
                  </w14:solidFill>
                </w14:textFill>
              </w:rPr>
              <w:t>kg</w:t>
            </w:r>
            <w:r>
              <w:rPr>
                <w:rFonts w:hint="default" w:ascii="Times New Roman" w:hAnsi="Times New Roman" w:cs="Times New Roman"/>
                <w:color w:val="000000" w:themeColor="text1"/>
                <w:sz w:val="24"/>
                <w:szCs w:val="24"/>
                <w:highlight w:val="none"/>
                <w:u w:val="none"/>
                <w14:textFill>
                  <w14:solidFill>
                    <w14:schemeClr w14:val="tx1"/>
                  </w14:solidFill>
                </w14:textFill>
              </w:rPr>
              <w:t>/a</w:t>
            </w:r>
            <w:r>
              <w:rPr>
                <w:rFonts w:hint="default" w:ascii="Times New Roman" w:hAnsi="Times New Roman" w:cs="Times New Roman"/>
                <w:color w:val="000000" w:themeColor="text1"/>
                <w:sz w:val="24"/>
                <w:szCs w:val="24"/>
                <w:highlight w:val="none"/>
                <w:u w:val="none"/>
                <w:lang w:eastAsia="zh-CN"/>
                <w14:textFill>
                  <w14:solidFill>
                    <w14:schemeClr w14:val="tx1"/>
                  </w14:solidFill>
                </w14:textFill>
              </w:rPr>
              <w:t>，</w:t>
            </w:r>
            <w:r>
              <w:rPr>
                <w:rFonts w:hint="default" w:ascii="Times New Roman" w:hAnsi="Times New Roman" w:cs="Times New Roman"/>
                <w:color w:val="000000" w:themeColor="text1"/>
                <w:sz w:val="24"/>
                <w:szCs w:val="24"/>
                <w:highlight w:val="none"/>
                <w:u w:val="none"/>
                <w:lang w:val="en-US" w:eastAsia="zh-CN"/>
                <w14:textFill>
                  <w14:solidFill>
                    <w14:schemeClr w14:val="tx1"/>
                  </w14:solidFill>
                </w14:textFill>
              </w:rPr>
              <w:t>速率0.00</w:t>
            </w:r>
            <w:r>
              <w:rPr>
                <w:rFonts w:hint="eastAsia" w:ascii="Times New Roman" w:hAnsi="Times New Roman" w:cs="Times New Roman"/>
                <w:color w:val="000000" w:themeColor="text1"/>
                <w:sz w:val="24"/>
                <w:szCs w:val="24"/>
                <w:highlight w:val="none"/>
                <w:u w:val="none"/>
                <w:lang w:val="en-US" w:eastAsia="zh-CN"/>
                <w14:textFill>
                  <w14:solidFill>
                    <w14:schemeClr w14:val="tx1"/>
                  </w14:solidFill>
                </w14:textFill>
              </w:rPr>
              <w:t>2</w:t>
            </w:r>
            <w:r>
              <w:rPr>
                <w:rFonts w:hint="default" w:ascii="Times New Roman" w:hAnsi="Times New Roman" w:cs="Times New Roman"/>
                <w:color w:val="000000" w:themeColor="text1"/>
                <w:sz w:val="24"/>
                <w:szCs w:val="24"/>
                <w:highlight w:val="none"/>
                <w:u w:val="none"/>
                <w:lang w:val="en-US" w:eastAsia="zh-CN"/>
                <w14:textFill>
                  <w14:solidFill>
                    <w14:schemeClr w14:val="tx1"/>
                  </w14:solidFill>
                </w14:textFill>
              </w:rPr>
              <w:t>kg/h；</w:t>
            </w:r>
            <w:r>
              <w:rPr>
                <w:rFonts w:hint="default" w:ascii="Times New Roman" w:hAnsi="Times New Roman" w:cs="Times New Roman"/>
                <w:color w:val="000000" w:themeColor="text1"/>
                <w:sz w:val="24"/>
                <w:szCs w:val="24"/>
                <w:highlight w:val="none"/>
                <w:u w:val="none"/>
                <w14:textFill>
                  <w14:solidFill>
                    <w14:schemeClr w14:val="tx1"/>
                  </w14:solidFill>
                </w14:textFill>
              </w:rPr>
              <w:t>SO</w:t>
            </w:r>
            <w:r>
              <w:rPr>
                <w:rFonts w:hint="default" w:ascii="Times New Roman" w:hAnsi="Times New Roman" w:cs="Times New Roman"/>
                <w:color w:val="000000" w:themeColor="text1"/>
                <w:sz w:val="24"/>
                <w:szCs w:val="24"/>
                <w:highlight w:val="none"/>
                <w:u w:val="none"/>
                <w:vertAlign w:val="subscript"/>
                <w14:textFill>
                  <w14:solidFill>
                    <w14:schemeClr w14:val="tx1"/>
                  </w14:solidFill>
                </w14:textFill>
              </w:rPr>
              <w:t>2</w:t>
            </w:r>
            <w:r>
              <w:rPr>
                <w:rFonts w:hint="default" w:ascii="Times New Roman" w:hAnsi="Times New Roman" w:cs="Times New Roman"/>
                <w:color w:val="000000" w:themeColor="text1"/>
                <w:sz w:val="24"/>
                <w:szCs w:val="24"/>
                <w:highlight w:val="none"/>
                <w:u w:val="none"/>
                <w:lang w:val="en-US" w:eastAsia="zh-CN"/>
                <w14:textFill>
                  <w14:solidFill>
                    <w14:schemeClr w14:val="tx1"/>
                  </w14:solidFill>
                </w14:textFill>
              </w:rPr>
              <w:t>产生量0.</w:t>
            </w:r>
            <w:r>
              <w:rPr>
                <w:rFonts w:hint="eastAsia" w:ascii="Times New Roman" w:hAnsi="Times New Roman" w:cs="Times New Roman"/>
                <w:color w:val="000000" w:themeColor="text1"/>
                <w:sz w:val="24"/>
                <w:szCs w:val="24"/>
                <w:highlight w:val="none"/>
                <w:u w:val="none"/>
                <w:lang w:val="en-US" w:eastAsia="zh-CN"/>
                <w14:textFill>
                  <w14:solidFill>
                    <w14:schemeClr w14:val="tx1"/>
                  </w14:solidFill>
                </w14:textFill>
              </w:rPr>
              <w:t>714</w:t>
            </w:r>
            <w:r>
              <w:rPr>
                <w:rFonts w:hint="default" w:ascii="Times New Roman" w:hAnsi="Times New Roman" w:cs="Times New Roman"/>
                <w:color w:val="000000" w:themeColor="text1"/>
                <w:sz w:val="24"/>
                <w:szCs w:val="24"/>
                <w:highlight w:val="none"/>
                <w:u w:val="none"/>
                <w:lang w:val="en-US" w:eastAsia="zh-CN"/>
                <w14:textFill>
                  <w14:solidFill>
                    <w14:schemeClr w14:val="tx1"/>
                  </w14:solidFill>
                </w14:textFill>
              </w:rPr>
              <w:t>kg/a</w:t>
            </w:r>
            <w:r>
              <w:rPr>
                <w:rFonts w:hint="default" w:ascii="Times New Roman" w:hAnsi="Times New Roman" w:cs="Times New Roman"/>
                <w:color w:val="000000" w:themeColor="text1"/>
                <w:sz w:val="24"/>
                <w:szCs w:val="24"/>
                <w:highlight w:val="none"/>
                <w:u w:val="none"/>
                <w14:textFill>
                  <w14:solidFill>
                    <w14:schemeClr w14:val="tx1"/>
                  </w14:solidFill>
                </w14:textFill>
              </w:rPr>
              <w:t>、</w:t>
            </w:r>
            <w:r>
              <w:rPr>
                <w:rFonts w:hint="default" w:ascii="Times New Roman" w:hAnsi="Times New Roman" w:cs="Times New Roman"/>
                <w:color w:val="000000" w:themeColor="text1"/>
                <w:sz w:val="24"/>
                <w:szCs w:val="24"/>
                <w:highlight w:val="none"/>
                <w:u w:val="none"/>
                <w:lang w:val="en-US" w:eastAsia="zh-CN"/>
                <w14:textFill>
                  <w14:solidFill>
                    <w14:schemeClr w14:val="tx1"/>
                  </w14:solidFill>
                </w14:textFill>
              </w:rPr>
              <w:t>速率0.00</w:t>
            </w:r>
            <w:r>
              <w:rPr>
                <w:rFonts w:hint="eastAsia" w:ascii="Times New Roman" w:hAnsi="Times New Roman" w:cs="Times New Roman"/>
                <w:color w:val="000000" w:themeColor="text1"/>
                <w:sz w:val="24"/>
                <w:szCs w:val="24"/>
                <w:highlight w:val="none"/>
                <w:u w:val="none"/>
                <w:lang w:val="en-US" w:eastAsia="zh-CN"/>
                <w14:textFill>
                  <w14:solidFill>
                    <w14:schemeClr w14:val="tx1"/>
                  </w14:solidFill>
                </w14:textFill>
              </w:rPr>
              <w:t>4</w:t>
            </w:r>
            <w:r>
              <w:rPr>
                <w:rFonts w:hint="default" w:ascii="Times New Roman" w:hAnsi="Times New Roman" w:cs="Times New Roman"/>
                <w:color w:val="000000" w:themeColor="text1"/>
                <w:sz w:val="24"/>
                <w:szCs w:val="24"/>
                <w:highlight w:val="none"/>
                <w:u w:val="none"/>
                <w:lang w:val="en-US" w:eastAsia="zh-CN"/>
                <w14:textFill>
                  <w14:solidFill>
                    <w14:schemeClr w14:val="tx1"/>
                  </w14:solidFill>
                </w14:textFill>
              </w:rPr>
              <w:t>kg/h，</w:t>
            </w:r>
            <w:r>
              <w:rPr>
                <w:rFonts w:hint="default" w:ascii="Times New Roman" w:hAnsi="Times New Roman" w:cs="Times New Roman"/>
                <w:color w:val="000000" w:themeColor="text1"/>
                <w:sz w:val="24"/>
                <w:szCs w:val="24"/>
                <w:highlight w:val="none"/>
                <w:u w:val="none"/>
                <w14:textFill>
                  <w14:solidFill>
                    <w14:schemeClr w14:val="tx1"/>
                  </w14:solidFill>
                </w14:textFill>
              </w:rPr>
              <w:t>NO</w:t>
            </w:r>
            <w:r>
              <w:rPr>
                <w:rFonts w:hint="default" w:ascii="Times New Roman" w:hAnsi="Times New Roman" w:cs="Times New Roman"/>
                <w:color w:val="000000" w:themeColor="text1"/>
                <w:sz w:val="24"/>
                <w:szCs w:val="24"/>
                <w:highlight w:val="none"/>
                <w:u w:val="none"/>
                <w:vertAlign w:val="subscript"/>
                <w14:textFill>
                  <w14:solidFill>
                    <w14:schemeClr w14:val="tx1"/>
                  </w14:solidFill>
                </w14:textFill>
              </w:rPr>
              <w:t>X</w:t>
            </w:r>
            <w:r>
              <w:rPr>
                <w:rFonts w:hint="default" w:ascii="Times New Roman" w:hAnsi="Times New Roman" w:cs="Times New Roman"/>
                <w:color w:val="000000" w:themeColor="text1"/>
                <w:sz w:val="24"/>
                <w:szCs w:val="24"/>
                <w:highlight w:val="none"/>
                <w:u w:val="none"/>
                <w:lang w:val="en-US" w:eastAsia="zh-CN"/>
                <w14:textFill>
                  <w14:solidFill>
                    <w14:schemeClr w14:val="tx1"/>
                  </w14:solidFill>
                </w14:textFill>
              </w:rPr>
              <w:t>产生量</w:t>
            </w:r>
            <w:r>
              <w:rPr>
                <w:rFonts w:hint="default" w:ascii="Times New Roman" w:hAnsi="Times New Roman" w:cs="Times New Roman"/>
                <w:color w:val="000000" w:themeColor="text1"/>
                <w:sz w:val="24"/>
                <w:szCs w:val="24"/>
                <w:highlight w:val="none"/>
                <w:u w:val="none"/>
                <w:vertAlign w:val="baseline"/>
                <w:lang w:val="en-US" w:eastAsia="zh-CN"/>
                <w14:textFill>
                  <w14:solidFill>
                    <w14:schemeClr w14:val="tx1"/>
                  </w14:solidFill>
                </w14:textFill>
              </w:rPr>
              <w:t>0.</w:t>
            </w:r>
            <w:r>
              <w:rPr>
                <w:rFonts w:hint="eastAsia" w:ascii="Times New Roman" w:hAnsi="Times New Roman" w:cs="Times New Roman"/>
                <w:color w:val="000000" w:themeColor="text1"/>
                <w:sz w:val="24"/>
                <w:szCs w:val="24"/>
                <w:highlight w:val="none"/>
                <w:u w:val="none"/>
                <w:vertAlign w:val="baseline"/>
                <w:lang w:val="en-US" w:eastAsia="zh-CN"/>
                <w14:textFill>
                  <w14:solidFill>
                    <w14:schemeClr w14:val="tx1"/>
                  </w14:solidFill>
                </w14:textFill>
              </w:rPr>
              <w:t>612</w:t>
            </w:r>
            <w:r>
              <w:rPr>
                <w:rFonts w:hint="default" w:ascii="Times New Roman" w:hAnsi="Times New Roman" w:cs="Times New Roman"/>
                <w:color w:val="000000" w:themeColor="text1"/>
                <w:sz w:val="24"/>
                <w:szCs w:val="24"/>
                <w:highlight w:val="none"/>
                <w:u w:val="none"/>
                <w:vertAlign w:val="baseline"/>
                <w:lang w:val="en-US" w:eastAsia="zh-CN"/>
                <w14:textFill>
                  <w14:solidFill>
                    <w14:schemeClr w14:val="tx1"/>
                  </w14:solidFill>
                </w14:textFill>
              </w:rPr>
              <w:t>kg/a、</w:t>
            </w:r>
            <w:r>
              <w:rPr>
                <w:rFonts w:hint="default" w:ascii="Times New Roman" w:hAnsi="Times New Roman" w:cs="Times New Roman"/>
                <w:color w:val="000000" w:themeColor="text1"/>
                <w:sz w:val="24"/>
                <w:szCs w:val="24"/>
                <w:highlight w:val="none"/>
                <w:u w:val="none"/>
                <w:lang w:val="en-US" w:eastAsia="zh-CN"/>
                <w14:textFill>
                  <w14:solidFill>
                    <w14:schemeClr w14:val="tx1"/>
                  </w14:solidFill>
                </w14:textFill>
              </w:rPr>
              <w:t>速率0.00</w:t>
            </w:r>
            <w:r>
              <w:rPr>
                <w:rFonts w:hint="eastAsia" w:ascii="Times New Roman" w:hAnsi="Times New Roman" w:cs="Times New Roman"/>
                <w:color w:val="000000" w:themeColor="text1"/>
                <w:sz w:val="24"/>
                <w:szCs w:val="24"/>
                <w:highlight w:val="none"/>
                <w:u w:val="none"/>
                <w:lang w:val="en-US" w:eastAsia="zh-CN"/>
                <w14:textFill>
                  <w14:solidFill>
                    <w14:schemeClr w14:val="tx1"/>
                  </w14:solidFill>
                </w14:textFill>
              </w:rPr>
              <w:t>3</w:t>
            </w:r>
            <w:r>
              <w:rPr>
                <w:rFonts w:hint="default" w:ascii="Times New Roman" w:hAnsi="Times New Roman" w:cs="Times New Roman"/>
                <w:color w:val="000000" w:themeColor="text1"/>
                <w:sz w:val="24"/>
                <w:szCs w:val="24"/>
                <w:highlight w:val="none"/>
                <w:u w:val="none"/>
                <w:lang w:val="en-US" w:eastAsia="zh-CN"/>
                <w14:textFill>
                  <w14:solidFill>
                    <w14:schemeClr w14:val="tx1"/>
                  </w14:solidFill>
                </w14:textFill>
              </w:rPr>
              <w:t>kg/h</w:t>
            </w:r>
            <w:r>
              <w:rPr>
                <w:rFonts w:hint="default" w:ascii="Times New Roman" w:hAnsi="Times New Roman" w:cs="Times New Roman"/>
                <w:color w:val="000000" w:themeColor="text1"/>
                <w:sz w:val="24"/>
                <w:szCs w:val="24"/>
                <w:highlight w:val="none"/>
                <w:u w:val="none"/>
                <w:vertAlign w:val="baseline"/>
                <w:lang w:val="en-US" w:eastAsia="zh-CN"/>
                <w14:textFill>
                  <w14:solidFill>
                    <w14:schemeClr w14:val="tx1"/>
                  </w14:solidFill>
                </w14:textFill>
              </w:rPr>
              <w:t>。</w:t>
            </w:r>
          </w:p>
          <w:p w14:paraId="7211F5C7">
            <w:pPr>
              <w:pStyle w:val="20"/>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000000" w:themeColor="text1"/>
                <w:kern w:val="0"/>
                <w:sz w:val="24"/>
                <w:szCs w:val="24"/>
                <w:highlight w:val="none"/>
                <w:u w:val="none" w:color="auto"/>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4"/>
                <w:szCs w:val="24"/>
                <w:highlight w:val="none"/>
                <w:u w:val="none" w:color="auto"/>
                <w:lang w:val="en-US" w:eastAsia="zh-CN" w:bidi="ar"/>
                <w14:textFill>
                  <w14:solidFill>
                    <w14:schemeClr w14:val="tx1"/>
                  </w14:solidFill>
                </w14:textFill>
              </w:rPr>
              <w:t>B有木煤气使用时采用木煤气</w:t>
            </w:r>
          </w:p>
          <w:p w14:paraId="75956716">
            <w:pPr>
              <w:pStyle w:val="20"/>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cs="Times New Roman"/>
                <w:color w:val="000000" w:themeColor="text1"/>
                <w:sz w:val="24"/>
                <w:szCs w:val="24"/>
                <w:highlight w:val="none"/>
                <w:u w:val="none" w:color="auto"/>
                <w:lang w:eastAsia="zh-CN"/>
                <w14:textFill>
                  <w14:solidFill>
                    <w14:schemeClr w14:val="tx1"/>
                  </w14:solidFill>
                </w14:textFill>
              </w:rPr>
            </w:pPr>
            <w:r>
              <w:rPr>
                <w:rFonts w:hint="default" w:ascii="Times New Roman" w:hAnsi="Times New Roman" w:eastAsia="宋体" w:cs="Times New Roman"/>
                <w:color w:val="000000" w:themeColor="text1"/>
                <w:kern w:val="0"/>
                <w:sz w:val="24"/>
                <w:szCs w:val="24"/>
                <w:highlight w:val="none"/>
                <w:u w:val="none" w:color="auto"/>
                <w:lang w:val="en-US" w:eastAsia="zh-CN" w:bidi="ar"/>
                <w14:textFill>
                  <w14:solidFill>
                    <w14:schemeClr w14:val="tx1"/>
                  </w14:solidFill>
                </w14:textFill>
              </w:rPr>
              <w:t>木煤气产生储存后，炭窑引火及炭化窑</w:t>
            </w:r>
            <w:r>
              <w:rPr>
                <w:rFonts w:hint="default" w:ascii="Times New Roman" w:hAnsi="Times New Roman" w:cs="Times New Roman"/>
                <w:b w:val="0"/>
                <w:bCs w:val="0"/>
                <w:color w:val="000000" w:themeColor="text1"/>
                <w:sz w:val="24"/>
                <w:szCs w:val="24"/>
                <w:highlight w:val="none"/>
                <w:u w:val="none" w:color="auto"/>
                <w:lang w:val="en-US" w:eastAsia="zh-CN"/>
                <w14:textFill>
                  <w14:solidFill>
                    <w14:schemeClr w14:val="tx1"/>
                  </w14:solidFill>
                </w14:textFill>
              </w:rPr>
              <w:t>启动初始过程中燃料为木煤气</w:t>
            </w:r>
            <w:r>
              <w:rPr>
                <w:rFonts w:hint="default" w:ascii="Times New Roman" w:hAnsi="Times New Roman" w:eastAsia="宋体" w:cs="Times New Roman"/>
                <w:color w:val="000000" w:themeColor="text1"/>
                <w:kern w:val="0"/>
                <w:sz w:val="24"/>
                <w:szCs w:val="24"/>
                <w:highlight w:val="none"/>
                <w:u w:val="none" w:color="auto"/>
                <w:lang w:val="en-US" w:eastAsia="zh-CN" w:bidi="ar"/>
                <w14:textFill>
                  <w14:solidFill>
                    <w14:schemeClr w14:val="tx1"/>
                  </w14:solidFill>
                </w14:textFill>
              </w:rPr>
              <w:t>。该过程时间为400h。燃料燃烧过程中产生颗粒物、</w:t>
            </w:r>
            <w:r>
              <w:rPr>
                <w:rFonts w:hint="default" w:ascii="Times New Roman" w:hAnsi="Times New Roman" w:cs="Times New Roman"/>
                <w:color w:val="000000" w:themeColor="text1"/>
                <w:sz w:val="24"/>
                <w:szCs w:val="24"/>
                <w:highlight w:val="none"/>
                <w:u w:val="none" w:color="auto"/>
                <w14:textFill>
                  <w14:solidFill>
                    <w14:schemeClr w14:val="tx1"/>
                  </w14:solidFill>
                </w14:textFill>
              </w:rPr>
              <w:t>SO</w:t>
            </w:r>
            <w:r>
              <w:rPr>
                <w:rFonts w:hint="default" w:ascii="Times New Roman" w:hAnsi="Times New Roman" w:cs="Times New Roman"/>
                <w:color w:val="000000" w:themeColor="text1"/>
                <w:sz w:val="24"/>
                <w:szCs w:val="24"/>
                <w:highlight w:val="none"/>
                <w:u w:val="none" w:color="auto"/>
                <w:vertAlign w:val="subscript"/>
                <w14:textFill>
                  <w14:solidFill>
                    <w14:schemeClr w14:val="tx1"/>
                  </w14:solidFill>
                </w14:textFill>
              </w:rPr>
              <w:t>2</w:t>
            </w:r>
            <w:r>
              <w:rPr>
                <w:rFonts w:hint="default" w:ascii="Times New Roman" w:hAnsi="Times New Roman" w:cs="Times New Roman"/>
                <w:color w:val="000000" w:themeColor="text1"/>
                <w:sz w:val="24"/>
                <w:szCs w:val="24"/>
                <w:highlight w:val="none"/>
                <w:u w:val="none" w:color="auto"/>
                <w14:textFill>
                  <w14:solidFill>
                    <w14:schemeClr w14:val="tx1"/>
                  </w14:solidFill>
                </w14:textFill>
              </w:rPr>
              <w:t>、NO</w:t>
            </w:r>
            <w:r>
              <w:rPr>
                <w:rFonts w:hint="default" w:ascii="Times New Roman" w:hAnsi="Times New Roman" w:cs="Times New Roman"/>
                <w:color w:val="000000" w:themeColor="text1"/>
                <w:sz w:val="24"/>
                <w:szCs w:val="24"/>
                <w:highlight w:val="none"/>
                <w:u w:val="none" w:color="auto"/>
                <w:vertAlign w:val="subscript"/>
                <w14:textFill>
                  <w14:solidFill>
                    <w14:schemeClr w14:val="tx1"/>
                  </w14:solidFill>
                </w14:textFill>
              </w:rPr>
              <w:t>X</w:t>
            </w:r>
            <w:r>
              <w:rPr>
                <w:rFonts w:hint="default" w:ascii="Times New Roman" w:hAnsi="Times New Roman" w:cs="Times New Roman"/>
                <w:color w:val="000000" w:themeColor="text1"/>
                <w:sz w:val="24"/>
                <w:szCs w:val="24"/>
                <w:highlight w:val="none"/>
                <w:u w:val="none" w:color="auto"/>
                <w:lang w:eastAsia="zh-CN"/>
                <w14:textFill>
                  <w14:solidFill>
                    <w14:schemeClr w14:val="tx1"/>
                  </w14:solidFill>
                </w14:textFill>
              </w:rPr>
              <w:t>。</w:t>
            </w:r>
          </w:p>
          <w:p w14:paraId="6AF5011E">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000000" w:themeColor="text1"/>
                <w:sz w:val="24"/>
                <w:szCs w:val="24"/>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u w:val="none" w:color="auto"/>
                <w:lang w:val="en-US" w:eastAsia="zh-CN"/>
                <w14:textFill>
                  <w14:solidFill>
                    <w14:schemeClr w14:val="tx1"/>
                  </w14:solidFill>
                </w14:textFill>
              </w:rPr>
              <w:t>本项目所用木煤气中S=0.01%，</w:t>
            </w:r>
            <w:r>
              <w:rPr>
                <w:rFonts w:hint="default" w:ascii="Times New Roman" w:hAnsi="Times New Roman" w:cs="Times New Roman"/>
                <w:color w:val="000000" w:themeColor="text1"/>
                <w:sz w:val="24"/>
                <w:szCs w:val="24"/>
                <w:highlight w:val="none"/>
                <w:u w:val="none" w:color="auto"/>
                <w14:textFill>
                  <w14:solidFill>
                    <w14:schemeClr w14:val="tx1"/>
                  </w14:solidFill>
                </w14:textFill>
              </w:rPr>
              <w:t>密度按0.5kg/Nm</w:t>
            </w:r>
            <w:r>
              <w:rPr>
                <w:rFonts w:hint="default" w:ascii="Times New Roman" w:hAnsi="Times New Roman" w:cs="Times New Roman"/>
                <w:color w:val="000000" w:themeColor="text1"/>
                <w:sz w:val="24"/>
                <w:szCs w:val="24"/>
                <w:highlight w:val="none"/>
                <w:u w:val="none" w:color="auto"/>
                <w:vertAlign w:val="superscript"/>
                <w14:textFill>
                  <w14:solidFill>
                    <w14:schemeClr w14:val="tx1"/>
                  </w14:solidFill>
                </w14:textFill>
              </w:rPr>
              <w:t>3</w:t>
            </w:r>
            <w:r>
              <w:rPr>
                <w:rFonts w:hint="default" w:ascii="Times New Roman" w:hAnsi="Times New Roman" w:cs="Times New Roman"/>
                <w:color w:val="000000" w:themeColor="text1"/>
                <w:sz w:val="24"/>
                <w:szCs w:val="24"/>
                <w:highlight w:val="none"/>
                <w:u w:val="none" w:color="auto"/>
                <w14:textFill>
                  <w14:solidFill>
                    <w14:schemeClr w14:val="tx1"/>
                  </w14:solidFill>
                </w14:textFill>
              </w:rPr>
              <w:t>计，</w:t>
            </w:r>
            <w:r>
              <w:rPr>
                <w:rFonts w:hint="default" w:ascii="Times New Roman" w:hAnsi="Times New Roman" w:cs="Times New Roman"/>
                <w:color w:val="000000" w:themeColor="text1"/>
                <w:sz w:val="24"/>
                <w:szCs w:val="24"/>
                <w:u w:val="none" w:color="auto"/>
                <w:lang w:val="en-US" w:eastAsia="zh-CN"/>
                <w14:textFill>
                  <w14:solidFill>
                    <w14:schemeClr w14:val="tx1"/>
                  </w14:solidFill>
                </w14:textFill>
              </w:rPr>
              <w:t>根据前文木煤气及热量平衡分析，采用木煤气引火</w:t>
            </w:r>
            <w:r>
              <w:rPr>
                <w:rFonts w:hint="default" w:ascii="Times New Roman" w:hAnsi="Times New Roman" w:eastAsia="宋体" w:cs="Times New Roman"/>
                <w:color w:val="000000" w:themeColor="text1"/>
                <w:kern w:val="0"/>
                <w:sz w:val="24"/>
                <w:szCs w:val="24"/>
                <w:highlight w:val="none"/>
                <w:u w:val="none" w:color="auto"/>
                <w:lang w:val="en-US" w:eastAsia="zh-CN" w:bidi="ar"/>
                <w14:textFill>
                  <w14:solidFill>
                    <w14:schemeClr w14:val="tx1"/>
                  </w14:solidFill>
                </w14:textFill>
              </w:rPr>
              <w:t>及炭化窑</w:t>
            </w:r>
            <w:r>
              <w:rPr>
                <w:rFonts w:hint="default" w:ascii="Times New Roman" w:hAnsi="Times New Roman" w:cs="Times New Roman"/>
                <w:b w:val="0"/>
                <w:bCs w:val="0"/>
                <w:color w:val="000000" w:themeColor="text1"/>
                <w:sz w:val="24"/>
                <w:szCs w:val="24"/>
                <w:highlight w:val="none"/>
                <w:u w:val="none" w:color="auto"/>
                <w:lang w:val="en-US" w:eastAsia="zh-CN"/>
                <w14:textFill>
                  <w14:solidFill>
                    <w14:schemeClr w14:val="tx1"/>
                  </w14:solidFill>
                </w14:textFill>
              </w:rPr>
              <w:t>启动初始过程采用</w:t>
            </w:r>
            <w:r>
              <w:rPr>
                <w:rFonts w:hint="default" w:ascii="Times New Roman" w:hAnsi="Times New Roman" w:cs="Times New Roman"/>
                <w:color w:val="000000" w:themeColor="text1"/>
                <w:sz w:val="24"/>
                <w:szCs w:val="24"/>
                <w:highlight w:val="none"/>
                <w:u w:val="none" w:color="auto"/>
                <w:lang w:val="en-US" w:eastAsia="zh-CN"/>
                <w14:textFill>
                  <w14:solidFill>
                    <w14:schemeClr w14:val="tx1"/>
                  </w14:solidFill>
                </w14:textFill>
              </w:rPr>
              <w:t>木煤气量为0.</w:t>
            </w:r>
            <w:r>
              <w:rPr>
                <w:rFonts w:hint="eastAsia" w:ascii="Times New Roman" w:hAnsi="Times New Roman" w:cs="Times New Roman"/>
                <w:color w:val="000000" w:themeColor="text1"/>
                <w:sz w:val="24"/>
                <w:szCs w:val="24"/>
                <w:highlight w:val="none"/>
                <w:u w:val="none" w:color="auto"/>
                <w:lang w:val="en-US" w:eastAsia="zh-CN"/>
                <w14:textFill>
                  <w14:solidFill>
                    <w14:schemeClr w14:val="tx1"/>
                  </w14:solidFill>
                </w14:textFill>
              </w:rPr>
              <w:t>03</w:t>
            </w:r>
            <w:r>
              <w:rPr>
                <w:rFonts w:hint="default" w:ascii="Times New Roman" w:hAnsi="Times New Roman" w:cs="Times New Roman"/>
                <w:color w:val="000000" w:themeColor="text1"/>
                <w:kern w:val="0"/>
                <w:sz w:val="24"/>
                <w:szCs w:val="24"/>
                <w:u w:val="none" w:color="auto"/>
                <w14:textFill>
                  <w14:solidFill>
                    <w14:schemeClr w14:val="tx1"/>
                  </w14:solidFill>
                </w14:textFill>
              </w:rPr>
              <w:t>×10</w:t>
            </w:r>
            <w:r>
              <w:rPr>
                <w:rFonts w:hint="eastAsia" w:ascii="Times New Roman" w:hAnsi="Times New Roman" w:cs="Times New Roman"/>
                <w:color w:val="000000" w:themeColor="text1"/>
                <w:kern w:val="0"/>
                <w:sz w:val="24"/>
                <w:szCs w:val="24"/>
                <w:u w:val="none" w:color="auto"/>
                <w:vertAlign w:val="superscript"/>
                <w:lang w:val="en-US" w:eastAsia="zh-CN"/>
                <w14:textFill>
                  <w14:solidFill>
                    <w14:schemeClr w14:val="tx1"/>
                  </w14:solidFill>
                </w14:textFill>
              </w:rPr>
              <w:t>6</w:t>
            </w:r>
            <w:r>
              <w:rPr>
                <w:rFonts w:hint="default" w:ascii="Times New Roman" w:hAnsi="Times New Roman" w:cs="Times New Roman"/>
                <w:color w:val="000000" w:themeColor="text1"/>
                <w:kern w:val="0"/>
                <w:sz w:val="24"/>
                <w:szCs w:val="24"/>
                <w:u w:val="none" w:color="auto"/>
                <w14:textFill>
                  <w14:solidFill>
                    <w14:schemeClr w14:val="tx1"/>
                  </w14:solidFill>
                </w14:textFill>
              </w:rPr>
              <w:t>Nm</w:t>
            </w:r>
            <w:r>
              <w:rPr>
                <w:rFonts w:hint="default" w:ascii="Times New Roman" w:hAnsi="Times New Roman" w:cs="Times New Roman"/>
                <w:color w:val="000000" w:themeColor="text1"/>
                <w:kern w:val="0"/>
                <w:sz w:val="24"/>
                <w:szCs w:val="24"/>
                <w:u w:val="none" w:color="auto"/>
                <w:vertAlign w:val="superscript"/>
                <w14:textFill>
                  <w14:solidFill>
                    <w14:schemeClr w14:val="tx1"/>
                  </w14:solidFill>
                </w14:textFill>
              </w:rPr>
              <w:t>3</w:t>
            </w:r>
            <w:r>
              <w:rPr>
                <w:rFonts w:hint="default" w:ascii="Times New Roman" w:hAnsi="Times New Roman" w:cs="Times New Roman"/>
                <w:color w:val="000000" w:themeColor="text1"/>
                <w:kern w:val="0"/>
                <w:sz w:val="24"/>
                <w:szCs w:val="24"/>
                <w:u w:val="none" w:color="auto"/>
                <w14:textFill>
                  <w14:solidFill>
                    <w14:schemeClr w14:val="tx1"/>
                  </w14:solidFill>
                </w14:textFill>
              </w:rPr>
              <w:t>/a</w:t>
            </w:r>
            <w:r>
              <w:rPr>
                <w:rFonts w:hint="default" w:ascii="Times New Roman" w:hAnsi="Times New Roman" w:cs="Times New Roman"/>
                <w:color w:val="000000" w:themeColor="text1"/>
                <w:kern w:val="0"/>
                <w:sz w:val="24"/>
                <w:szCs w:val="24"/>
                <w:u w:val="none" w:color="auto"/>
                <w:lang w:eastAsia="zh-CN"/>
                <w14:textFill>
                  <w14:solidFill>
                    <w14:schemeClr w14:val="tx1"/>
                  </w14:solidFill>
                </w14:textFill>
              </w:rPr>
              <w:t>，</w:t>
            </w:r>
            <w:r>
              <w:rPr>
                <w:rFonts w:hint="default" w:ascii="Times New Roman" w:hAnsi="Times New Roman" w:cs="Times New Roman"/>
                <w:color w:val="000000" w:themeColor="text1"/>
                <w:kern w:val="0"/>
                <w:sz w:val="24"/>
                <w:szCs w:val="24"/>
                <w:u w:val="none" w:color="auto"/>
                <w:lang w:val="en-US" w:eastAsia="zh-CN"/>
                <w14:textFill>
                  <w14:solidFill>
                    <w14:schemeClr w14:val="tx1"/>
                  </w14:solidFill>
                </w14:textFill>
              </w:rPr>
              <w:t>则该木煤气中硫含量为</w:t>
            </w:r>
            <w:r>
              <w:rPr>
                <w:rFonts w:hint="eastAsia" w:ascii="Times New Roman" w:hAnsi="Times New Roman" w:cs="Times New Roman"/>
                <w:color w:val="000000" w:themeColor="text1"/>
                <w:kern w:val="0"/>
                <w:sz w:val="24"/>
                <w:szCs w:val="24"/>
                <w:u w:val="none" w:color="auto"/>
                <w:lang w:val="en-US" w:eastAsia="zh-CN"/>
                <w14:textFill>
                  <w14:solidFill>
                    <w14:schemeClr w14:val="tx1"/>
                  </w14:solidFill>
                </w14:textFill>
              </w:rPr>
              <w:t>1.5</w:t>
            </w:r>
            <w:r>
              <w:rPr>
                <w:rFonts w:hint="default" w:ascii="Times New Roman" w:hAnsi="Times New Roman" w:cs="Times New Roman"/>
                <w:color w:val="000000" w:themeColor="text1"/>
                <w:kern w:val="0"/>
                <w:sz w:val="24"/>
                <w:szCs w:val="24"/>
                <w:u w:val="none" w:color="auto"/>
                <w:lang w:val="en-US" w:eastAsia="zh-CN"/>
                <w14:textFill>
                  <w14:solidFill>
                    <w14:schemeClr w14:val="tx1"/>
                  </w14:solidFill>
                </w14:textFill>
              </w:rPr>
              <w:t>kg/a，环评按全部转化为二氧化硫，</w:t>
            </w:r>
            <w:r>
              <w:rPr>
                <w:rFonts w:hint="default" w:ascii="Times New Roman" w:hAnsi="Times New Roman" w:eastAsia="宋体" w:cs="Times New Roman"/>
                <w:color w:val="000000" w:themeColor="text1"/>
                <w:sz w:val="24"/>
                <w:szCs w:val="24"/>
                <w:highlight w:val="none"/>
                <w:u w:val="none" w:color="auto"/>
                <w:lang w:val="en-US" w:eastAsia="zh-CN"/>
                <w14:textFill>
                  <w14:solidFill>
                    <w14:schemeClr w14:val="tx1"/>
                  </w14:solidFill>
                </w14:textFill>
              </w:rPr>
              <w:t>根据硫平衡计算，</w:t>
            </w:r>
            <w:r>
              <w:rPr>
                <w:rFonts w:hint="default" w:ascii="Times New Roman" w:hAnsi="Times New Roman" w:cs="Times New Roman"/>
                <w:color w:val="000000" w:themeColor="text1"/>
                <w:kern w:val="0"/>
                <w:sz w:val="24"/>
                <w:szCs w:val="24"/>
                <w:u w:val="none" w:color="auto"/>
                <w:lang w:val="en-US" w:eastAsia="zh-CN"/>
                <w14:textFill>
                  <w14:solidFill>
                    <w14:schemeClr w14:val="tx1"/>
                  </w14:solidFill>
                </w14:textFill>
              </w:rPr>
              <w:t>产生的二氧化硫量为</w:t>
            </w:r>
            <w:r>
              <w:rPr>
                <w:rFonts w:hint="eastAsia" w:ascii="Times New Roman" w:hAnsi="Times New Roman" w:cs="Times New Roman"/>
                <w:color w:val="000000" w:themeColor="text1"/>
                <w:kern w:val="0"/>
                <w:sz w:val="24"/>
                <w:szCs w:val="24"/>
                <w:u w:val="none" w:color="auto"/>
                <w:lang w:val="en-US" w:eastAsia="zh-CN"/>
                <w14:textFill>
                  <w14:solidFill>
                    <w14:schemeClr w14:val="tx1"/>
                  </w14:solidFill>
                </w14:textFill>
              </w:rPr>
              <w:t>3.0</w:t>
            </w:r>
            <w:r>
              <w:rPr>
                <w:rFonts w:hint="default" w:ascii="Times New Roman" w:hAnsi="Times New Roman" w:cs="Times New Roman"/>
                <w:color w:val="000000" w:themeColor="text1"/>
                <w:kern w:val="0"/>
                <w:sz w:val="24"/>
                <w:szCs w:val="24"/>
                <w:u w:val="none" w:color="auto"/>
                <w:lang w:val="en-US" w:eastAsia="zh-CN"/>
                <w14:textFill>
                  <w14:solidFill>
                    <w14:schemeClr w14:val="tx1"/>
                  </w14:solidFill>
                </w14:textFill>
              </w:rPr>
              <w:t>kg/a</w:t>
            </w:r>
            <w:r>
              <w:rPr>
                <w:rFonts w:hint="eastAsia" w:ascii="Times New Roman" w:hAnsi="Times New Roman" w:cs="Times New Roman"/>
                <w:color w:val="000000" w:themeColor="text1"/>
                <w:kern w:val="0"/>
                <w:sz w:val="24"/>
                <w:szCs w:val="24"/>
                <w:u w:val="none" w:color="auto"/>
                <w:lang w:val="en-US" w:eastAsia="zh-CN"/>
                <w14:textFill>
                  <w14:solidFill>
                    <w14:schemeClr w14:val="tx1"/>
                  </w14:solidFill>
                </w14:textFill>
              </w:rPr>
              <w:t>（0.003t/a）</w:t>
            </w:r>
            <w:r>
              <w:rPr>
                <w:rFonts w:hint="default" w:ascii="Times New Roman" w:hAnsi="Times New Roman" w:cs="Times New Roman"/>
                <w:color w:val="000000" w:themeColor="text1"/>
                <w:kern w:val="0"/>
                <w:sz w:val="24"/>
                <w:szCs w:val="24"/>
                <w:u w:val="none" w:color="auto"/>
                <w:lang w:val="en-US" w:eastAsia="zh-CN"/>
                <w14:textFill>
                  <w14:solidFill>
                    <w14:schemeClr w14:val="tx1"/>
                  </w14:solidFill>
                </w14:textFill>
              </w:rPr>
              <w:t>。</w:t>
            </w:r>
          </w:p>
          <w:p w14:paraId="51F59D2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cs="Times New Roman"/>
                <w:color w:val="000000" w:themeColor="text1"/>
                <w:sz w:val="24"/>
                <w:szCs w:val="24"/>
                <w:u w:val="none" w:color="auto"/>
                <w:lang w:val="en-US" w:eastAsia="zh-CN"/>
                <w14:textFill>
                  <w14:solidFill>
                    <w14:schemeClr w14:val="tx1"/>
                  </w14:solidFill>
                </w14:textFill>
              </w:rPr>
            </w:pPr>
            <w:r>
              <w:rPr>
                <w:rFonts w:hint="default" w:ascii="Times New Roman" w:hAnsi="Times New Roman" w:cs="Times New Roman"/>
                <w:b w:val="0"/>
                <w:bCs/>
                <w:color w:val="000000" w:themeColor="text1"/>
                <w:sz w:val="24"/>
                <w:szCs w:val="24"/>
                <w:highlight w:val="none"/>
                <w:u w:val="none" w:color="auto"/>
                <w:lang w:val="en-US" w:eastAsia="zh-CN"/>
                <w14:textFill>
                  <w14:solidFill>
                    <w14:schemeClr w14:val="tx1"/>
                  </w14:solidFill>
                </w14:textFill>
              </w:rPr>
              <w:t>参考</w:t>
            </w:r>
            <w:r>
              <w:rPr>
                <w:rFonts w:hint="default" w:ascii="Times New Roman" w:hAnsi="Times New Roman" w:eastAsia="宋体" w:cs="Times New Roman"/>
                <w:color w:val="000000" w:themeColor="text1"/>
                <w:kern w:val="2"/>
                <w:sz w:val="24"/>
                <w:szCs w:val="24"/>
                <w:u w:val="none" w:color="auto"/>
                <w:lang w:val="en-US" w:eastAsia="zh-CN" w:bidi="ar"/>
                <w14:textFill>
                  <w14:solidFill>
                    <w14:schemeClr w14:val="tx1"/>
                  </w14:solidFill>
                </w14:textFill>
              </w:rPr>
              <w:t>《排污许可证申请与核发技术规范 锅炉》（HJ953-2018）表F.3燃气工业锅炉废气产排污系数</w:t>
            </w:r>
            <w:r>
              <w:rPr>
                <w:rFonts w:hint="default" w:ascii="Times New Roman" w:hAnsi="Times New Roman" w:cs="Times New Roman"/>
                <w:b w:val="0"/>
                <w:bCs/>
                <w:color w:val="000000" w:themeColor="text1"/>
                <w:sz w:val="24"/>
                <w:szCs w:val="24"/>
                <w:highlight w:val="none"/>
                <w:u w:val="none" w:color="auto"/>
                <w:lang w:val="en-US" w:eastAsia="zh-CN"/>
                <w14:textFill>
                  <w14:solidFill>
                    <w14:schemeClr w14:val="tx1"/>
                  </w14:solidFill>
                </w14:textFill>
              </w:rPr>
              <w:t>中天然气工业锅炉氮氧化物产污系数计算木煤气燃烧废气中氮氧化物量。根据该产污系数：</w:t>
            </w:r>
            <w:r>
              <w:rPr>
                <w:rFonts w:hint="default" w:ascii="Times New Roman" w:hAnsi="Times New Roman" w:cs="Times New Roman"/>
                <w:color w:val="000000" w:themeColor="text1"/>
                <w:sz w:val="24"/>
                <w:szCs w:val="24"/>
                <w:u w:val="none" w:color="auto"/>
                <w:lang w:bidi="ar"/>
                <w14:textFill>
                  <w14:solidFill>
                    <w14:schemeClr w14:val="tx1"/>
                  </w14:solidFill>
                </w14:textFill>
              </w:rPr>
              <w:t>氮氧化物产生系数为18.71kg/万立方米-燃料</w:t>
            </w:r>
            <w:r>
              <w:rPr>
                <w:rFonts w:hint="default" w:ascii="Times New Roman" w:hAnsi="Times New Roman" w:eastAsia="宋体" w:cs="Times New Roman"/>
                <w:color w:val="000000" w:themeColor="text1"/>
                <w:kern w:val="2"/>
                <w:sz w:val="24"/>
                <w:szCs w:val="24"/>
                <w:u w:val="none" w:color="auto"/>
                <w:lang w:val="en-US" w:eastAsia="zh-CN" w:bidi="ar"/>
                <w14:textFill>
                  <w14:solidFill>
                    <w14:schemeClr w14:val="tx1"/>
                  </w14:solidFill>
                </w14:textFill>
              </w:rPr>
              <w:t>，则氮氧化物产生量为</w:t>
            </w:r>
            <w:r>
              <w:rPr>
                <w:rFonts w:hint="eastAsia" w:ascii="Times New Roman" w:hAnsi="Times New Roman" w:eastAsia="宋体" w:cs="Times New Roman"/>
                <w:color w:val="000000" w:themeColor="text1"/>
                <w:kern w:val="2"/>
                <w:sz w:val="24"/>
                <w:szCs w:val="24"/>
                <w:u w:val="none" w:color="auto"/>
                <w:lang w:val="en-US" w:eastAsia="zh-CN" w:bidi="ar"/>
                <w14:textFill>
                  <w14:solidFill>
                    <w14:schemeClr w14:val="tx1"/>
                  </w14:solidFill>
                </w14:textFill>
              </w:rPr>
              <w:t>0.056t</w:t>
            </w:r>
            <w:r>
              <w:rPr>
                <w:rFonts w:hint="default" w:ascii="Times New Roman" w:hAnsi="Times New Roman" w:eastAsia="宋体" w:cs="Times New Roman"/>
                <w:color w:val="000000" w:themeColor="text1"/>
                <w:kern w:val="2"/>
                <w:sz w:val="24"/>
                <w:szCs w:val="24"/>
                <w:u w:val="none" w:color="auto"/>
                <w:lang w:val="en-US" w:eastAsia="zh-CN" w:bidi="ar"/>
                <w14:textFill>
                  <w14:solidFill>
                    <w14:schemeClr w14:val="tx1"/>
                  </w14:solidFill>
                </w14:textFill>
              </w:rPr>
              <w:t>/a。烟尘产污系数参照</w:t>
            </w:r>
            <w:r>
              <w:rPr>
                <w:rFonts w:hint="default" w:ascii="Times New Roman" w:hAnsi="Times New Roman" w:cs="Times New Roman"/>
                <w:color w:val="000000" w:themeColor="text1"/>
                <w:sz w:val="24"/>
                <w:u w:val="none" w:color="auto"/>
                <w14:textFill>
                  <w14:solidFill>
                    <w14:schemeClr w14:val="tx1"/>
                  </w14:solidFill>
                </w14:textFill>
              </w:rPr>
              <w:t>《社会区域类环境影响评价》（环评工程师培训教材）</w:t>
            </w:r>
            <w:r>
              <w:rPr>
                <w:rFonts w:hint="default" w:ascii="Times New Roman" w:hAnsi="Times New Roman" w:cs="Times New Roman"/>
                <w:color w:val="000000" w:themeColor="text1"/>
                <w:sz w:val="24"/>
                <w:u w:val="none" w:color="auto"/>
                <w:lang w:val="en-US" w:eastAsia="zh-CN"/>
                <w14:textFill>
                  <w14:solidFill>
                    <w14:schemeClr w14:val="tx1"/>
                  </w14:solidFill>
                </w14:textFill>
              </w:rPr>
              <w:t>中</w:t>
            </w:r>
            <w:r>
              <w:rPr>
                <w:rFonts w:hint="default" w:ascii="Times New Roman" w:hAnsi="Times New Roman" w:cs="Times New Roman"/>
                <w:color w:val="000000" w:themeColor="text1"/>
                <w:sz w:val="24"/>
                <w:u w:val="none" w:color="auto"/>
                <w14:textFill>
                  <w14:solidFill>
                    <w14:schemeClr w14:val="tx1"/>
                  </w14:solidFill>
                </w14:textFill>
              </w:rPr>
              <w:t>天然气燃烧产生的烟尘产污系数</w:t>
            </w:r>
            <w:r>
              <w:rPr>
                <w:rFonts w:hint="default" w:ascii="Times New Roman" w:hAnsi="Times New Roman" w:cs="Times New Roman"/>
                <w:color w:val="000000" w:themeColor="text1"/>
                <w:sz w:val="24"/>
                <w:u w:val="none" w:color="auto"/>
                <w:lang w:eastAsia="zh-CN"/>
                <w14:textFill>
                  <w14:solidFill>
                    <w14:schemeClr w14:val="tx1"/>
                  </w14:solidFill>
                </w14:textFill>
              </w:rPr>
              <w:t>，</w:t>
            </w:r>
            <w:r>
              <w:rPr>
                <w:rFonts w:hint="default" w:ascii="Times New Roman" w:hAnsi="Times New Roman" w:cs="Times New Roman"/>
                <w:color w:val="000000" w:themeColor="text1"/>
                <w:sz w:val="24"/>
                <w:u w:val="none" w:color="auto"/>
                <w:lang w:val="en-US" w:eastAsia="zh-CN"/>
                <w14:textFill>
                  <w14:solidFill>
                    <w14:schemeClr w14:val="tx1"/>
                  </w14:solidFill>
                </w14:textFill>
              </w:rPr>
              <w:t>则本项目木煤气燃烧后烟尘产生量为</w:t>
            </w:r>
            <w:r>
              <w:rPr>
                <w:rFonts w:hint="default" w:ascii="Times New Roman" w:hAnsi="Times New Roman" w:cs="Times New Roman"/>
                <w:color w:val="000000" w:themeColor="text1"/>
                <w:sz w:val="24"/>
                <w:u w:val="none" w:color="auto"/>
                <w14:textFill>
                  <w14:solidFill>
                    <w14:schemeClr w14:val="tx1"/>
                  </w14:solidFill>
                </w14:textFill>
              </w:rPr>
              <w:t>0.5kg/万m</w:t>
            </w:r>
            <w:r>
              <w:rPr>
                <w:rFonts w:hint="default" w:ascii="Times New Roman" w:hAnsi="Times New Roman" w:cs="Times New Roman"/>
                <w:color w:val="000000" w:themeColor="text1"/>
                <w:sz w:val="24"/>
                <w:u w:val="none" w:color="auto"/>
                <w:vertAlign w:val="superscript"/>
                <w14:textFill>
                  <w14:solidFill>
                    <w14:schemeClr w14:val="tx1"/>
                  </w14:solidFill>
                </w14:textFill>
              </w:rPr>
              <w:t>3</w:t>
            </w:r>
            <w:r>
              <w:rPr>
                <w:rFonts w:hint="default" w:ascii="Times New Roman" w:hAnsi="Times New Roman" w:cs="Times New Roman"/>
                <w:color w:val="000000" w:themeColor="text1"/>
                <w:sz w:val="24"/>
                <w:u w:val="none" w:color="auto"/>
                <w14:textFill>
                  <w14:solidFill>
                    <w14:schemeClr w14:val="tx1"/>
                  </w14:solidFill>
                </w14:textFill>
              </w:rPr>
              <w:t>-原料</w:t>
            </w:r>
            <w:r>
              <w:rPr>
                <w:rFonts w:hint="default" w:ascii="Times New Roman" w:hAnsi="Times New Roman" w:cs="Times New Roman"/>
                <w:color w:val="000000" w:themeColor="text1"/>
                <w:sz w:val="24"/>
                <w:u w:val="none" w:color="auto"/>
                <w:lang w:eastAsia="zh-CN"/>
                <w14:textFill>
                  <w14:solidFill>
                    <w14:schemeClr w14:val="tx1"/>
                  </w14:solidFill>
                </w14:textFill>
              </w:rPr>
              <w:t>，</w:t>
            </w:r>
            <w:r>
              <w:rPr>
                <w:rFonts w:hint="default" w:ascii="Times New Roman" w:hAnsi="Times New Roman" w:cs="Times New Roman"/>
                <w:color w:val="000000" w:themeColor="text1"/>
                <w:sz w:val="24"/>
                <w:u w:val="none" w:color="auto"/>
                <w:lang w:val="en-US" w:eastAsia="zh-CN"/>
                <w14:textFill>
                  <w14:solidFill>
                    <w14:schemeClr w14:val="tx1"/>
                  </w14:solidFill>
                </w14:textFill>
              </w:rPr>
              <w:t>即0.</w:t>
            </w:r>
            <w:r>
              <w:rPr>
                <w:rFonts w:hint="eastAsia" w:ascii="Times New Roman" w:hAnsi="Times New Roman" w:cs="Times New Roman"/>
                <w:color w:val="000000" w:themeColor="text1"/>
                <w:sz w:val="24"/>
                <w:u w:val="none" w:color="auto"/>
                <w:lang w:val="en-US" w:eastAsia="zh-CN"/>
                <w14:textFill>
                  <w14:solidFill>
                    <w14:schemeClr w14:val="tx1"/>
                  </w14:solidFill>
                </w14:textFill>
              </w:rPr>
              <w:t>002t</w:t>
            </w:r>
            <w:r>
              <w:rPr>
                <w:rFonts w:hint="default" w:ascii="Times New Roman" w:hAnsi="Times New Roman" w:cs="Times New Roman"/>
                <w:color w:val="000000" w:themeColor="text1"/>
                <w:sz w:val="24"/>
                <w:u w:val="none" w:color="auto"/>
                <w:lang w:val="en-US" w:eastAsia="zh-CN"/>
                <w14:textFill>
                  <w14:solidFill>
                    <w14:schemeClr w14:val="tx1"/>
                  </w14:solidFill>
                </w14:textFill>
              </w:rPr>
              <w:t>/a</w:t>
            </w:r>
            <w:r>
              <w:rPr>
                <w:rFonts w:hint="default" w:ascii="Times New Roman" w:hAnsi="Times New Roman" w:cs="Times New Roman"/>
                <w:color w:val="000000" w:themeColor="text1"/>
                <w:sz w:val="24"/>
                <w:u w:val="none" w:color="auto"/>
                <w:lang w:eastAsia="zh-CN"/>
                <w14:textFill>
                  <w14:solidFill>
                    <w14:schemeClr w14:val="tx1"/>
                  </w14:solidFill>
                </w14:textFill>
              </w:rPr>
              <w:t>。</w:t>
            </w:r>
          </w:p>
          <w:p w14:paraId="074EA499">
            <w:pPr>
              <w:keepNext w:val="0"/>
              <w:keepLines w:val="0"/>
              <w:suppressLineNumbers w:val="0"/>
              <w:adjustRightInd w:val="0"/>
              <w:snapToGrid w:val="0"/>
              <w:spacing w:before="0" w:beforeAutospacing="0" w:after="0" w:afterAutospacing="0" w:line="360" w:lineRule="auto"/>
              <w:ind w:left="0" w:right="0" w:firstLine="480" w:firstLineChars="200"/>
              <w:jc w:val="both"/>
              <w:rPr>
                <w:rFonts w:hint="eastAsia"/>
                <w:color w:val="auto"/>
                <w:sz w:val="24"/>
                <w:szCs w:val="24"/>
              </w:rPr>
            </w:pPr>
            <w:r>
              <w:rPr>
                <w:rFonts w:hint="eastAsia"/>
                <w:color w:val="auto"/>
                <w:sz w:val="24"/>
                <w:szCs w:val="24"/>
              </w:rPr>
              <w:t>计算结果见</w:t>
            </w:r>
            <w:r>
              <w:rPr>
                <w:rFonts w:hint="eastAsia"/>
                <w:color w:val="auto"/>
                <w:sz w:val="24"/>
                <w:szCs w:val="24"/>
                <w:lang w:val="en-US" w:eastAsia="zh-CN"/>
              </w:rPr>
              <w:t>下表</w:t>
            </w:r>
            <w:r>
              <w:rPr>
                <w:rFonts w:hint="eastAsia"/>
                <w:color w:val="auto"/>
                <w:sz w:val="24"/>
                <w:szCs w:val="24"/>
              </w:rPr>
              <w:t>。</w:t>
            </w:r>
          </w:p>
          <w:p w14:paraId="224CDA91">
            <w:pPr>
              <w:keepNext w:val="0"/>
              <w:keepLines w:val="0"/>
              <w:suppressLineNumbers w:val="0"/>
              <w:spacing w:before="0" w:beforeAutospacing="0" w:after="0" w:afterAutospacing="0" w:line="360" w:lineRule="auto"/>
              <w:ind w:left="0" w:right="0"/>
              <w:jc w:val="center"/>
              <w:rPr>
                <w:rFonts w:hint="default"/>
                <w:b/>
                <w:color w:val="000000" w:themeColor="text1"/>
                <w:sz w:val="24"/>
                <w:szCs w:val="24"/>
                <w:u w:val="none" w:color="auto"/>
                <w14:textFill>
                  <w14:solidFill>
                    <w14:schemeClr w14:val="tx1"/>
                  </w14:solidFill>
                </w14:textFill>
              </w:rPr>
            </w:pPr>
            <w:r>
              <w:rPr>
                <w:rFonts w:hint="default"/>
                <w:b/>
                <w:color w:val="000000" w:themeColor="text1"/>
                <w:sz w:val="24"/>
                <w:szCs w:val="24"/>
                <w:u w:val="none" w:color="auto"/>
                <w14:textFill>
                  <w14:solidFill>
                    <w14:schemeClr w14:val="tx1"/>
                  </w14:solidFill>
                </w14:textFill>
              </w:rPr>
              <w:t>表</w:t>
            </w:r>
            <w:r>
              <w:rPr>
                <w:rFonts w:hint="eastAsia"/>
                <w:b/>
                <w:color w:val="000000" w:themeColor="text1"/>
                <w:sz w:val="24"/>
                <w:szCs w:val="24"/>
                <w:u w:val="none" w:color="auto"/>
                <w:lang w:val="en-US" w:eastAsia="zh-CN"/>
                <w14:textFill>
                  <w14:solidFill>
                    <w14:schemeClr w14:val="tx1"/>
                  </w14:solidFill>
                </w14:textFill>
              </w:rPr>
              <w:t>4-3</w:t>
            </w:r>
            <w:r>
              <w:rPr>
                <w:rFonts w:hint="default"/>
                <w:b/>
                <w:color w:val="000000" w:themeColor="text1"/>
                <w:sz w:val="24"/>
                <w:szCs w:val="24"/>
                <w:u w:val="none" w:color="auto"/>
                <w14:textFill>
                  <w14:solidFill>
                    <w14:schemeClr w14:val="tx1"/>
                  </w14:solidFill>
                </w14:textFill>
              </w:rPr>
              <w:t xml:space="preserve"> </w:t>
            </w:r>
            <w:r>
              <w:rPr>
                <w:rFonts w:hint="eastAsia"/>
                <w:b/>
                <w:color w:val="000000" w:themeColor="text1"/>
                <w:sz w:val="24"/>
                <w:szCs w:val="24"/>
                <w:u w:val="none" w:color="auto"/>
                <w:lang w:val="en-US" w:eastAsia="zh-CN"/>
                <w14:textFill>
                  <w14:solidFill>
                    <w14:schemeClr w14:val="tx1"/>
                  </w14:solidFill>
                </w14:textFill>
              </w:rPr>
              <w:t>炭化炉引火</w:t>
            </w:r>
            <w:r>
              <w:rPr>
                <w:rFonts w:hint="eastAsia" w:ascii="宋体" w:hAnsi="宋体" w:eastAsia="宋体" w:cs="宋体"/>
                <w:b/>
                <w:bCs/>
                <w:color w:val="000000" w:themeColor="text1"/>
                <w:kern w:val="0"/>
                <w:sz w:val="24"/>
                <w:szCs w:val="24"/>
                <w:highlight w:val="none"/>
                <w:u w:val="none" w:color="auto"/>
                <w:lang w:val="en-US" w:eastAsia="zh-CN" w:bidi="ar"/>
                <w14:textFill>
                  <w14:solidFill>
                    <w14:schemeClr w14:val="tx1"/>
                  </w14:solidFill>
                </w14:textFill>
              </w:rPr>
              <w:t>及炭化窑启动初始过程污染物</w:t>
            </w:r>
            <w:r>
              <w:rPr>
                <w:rFonts w:hint="eastAsia"/>
                <w:b/>
                <w:color w:val="000000" w:themeColor="text1"/>
                <w:sz w:val="24"/>
                <w:szCs w:val="24"/>
                <w:u w:val="none" w:color="auto"/>
                <w:lang w:val="en-US" w:eastAsia="zh-CN"/>
                <w14:textFill>
                  <w14:solidFill>
                    <w14:schemeClr w14:val="tx1"/>
                  </w14:solidFill>
                </w14:textFill>
              </w:rPr>
              <w:t>产生情况一览表</w:t>
            </w:r>
          </w:p>
          <w:tbl>
            <w:tblPr>
              <w:tblStyle w:val="29"/>
              <w:tblW w:w="4947"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027"/>
              <w:gridCol w:w="1155"/>
              <w:gridCol w:w="1482"/>
              <w:gridCol w:w="933"/>
              <w:gridCol w:w="1335"/>
              <w:gridCol w:w="1123"/>
              <w:gridCol w:w="1123"/>
            </w:tblGrid>
            <w:tr w14:paraId="43018D1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75" w:type="pct"/>
                  <w:tcBorders>
                    <w:top w:val="single" w:color="auto" w:sz="4" w:space="0"/>
                    <w:left w:val="single" w:color="auto" w:sz="4" w:space="0"/>
                  </w:tcBorders>
                  <w:noWrap w:val="0"/>
                  <w:vAlign w:val="center"/>
                </w:tcPr>
                <w:p w14:paraId="1218BBCB">
                  <w:pPr>
                    <w:keepNext w:val="0"/>
                    <w:keepLines w:val="0"/>
                    <w:suppressLineNumbers w:val="0"/>
                    <w:adjustRightInd w:val="0"/>
                    <w:snapToGrid w:val="0"/>
                    <w:spacing w:before="0" w:beforeAutospacing="0" w:after="0" w:afterAutospacing="0" w:line="240" w:lineRule="auto"/>
                    <w:ind w:left="0" w:right="0"/>
                    <w:jc w:val="center"/>
                    <w:rPr>
                      <w:rFonts w:hint="default"/>
                      <w:color w:val="000000" w:themeColor="text1"/>
                      <w:sz w:val="21"/>
                      <w:szCs w:val="21"/>
                      <w:u w:val="none" w:color="auto"/>
                      <w:lang w:val="en-US" w:eastAsia="zh-CN"/>
                      <w14:textFill>
                        <w14:solidFill>
                          <w14:schemeClr w14:val="tx1"/>
                        </w14:solidFill>
                      </w14:textFill>
                    </w:rPr>
                  </w:pPr>
                  <w:r>
                    <w:rPr>
                      <w:rFonts w:hint="eastAsia"/>
                      <w:color w:val="000000" w:themeColor="text1"/>
                      <w:sz w:val="21"/>
                      <w:szCs w:val="21"/>
                      <w:u w:val="none" w:color="auto"/>
                      <w:lang w:val="en-US" w:eastAsia="zh-CN"/>
                      <w14:textFill>
                        <w14:solidFill>
                          <w14:schemeClr w14:val="tx1"/>
                        </w14:solidFill>
                      </w14:textFill>
                    </w:rPr>
                    <w:t>燃料名称</w:t>
                  </w:r>
                </w:p>
              </w:tc>
              <w:tc>
                <w:tcPr>
                  <w:tcW w:w="667" w:type="pct"/>
                  <w:tcBorders>
                    <w:top w:val="single" w:color="auto" w:sz="4" w:space="0"/>
                  </w:tcBorders>
                  <w:shd w:val="clear" w:color="auto" w:fill="auto"/>
                  <w:noWrap w:val="0"/>
                  <w:vAlign w:val="center"/>
                </w:tcPr>
                <w:p w14:paraId="7FB17FFD">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color w:val="000000" w:themeColor="text1"/>
                      <w:sz w:val="21"/>
                      <w:szCs w:val="21"/>
                      <w:u w:val="none" w:color="auto"/>
                      <w14:textFill>
                        <w14:solidFill>
                          <w14:schemeClr w14:val="tx1"/>
                        </w14:solidFill>
                      </w14:textFill>
                    </w:rPr>
                    <w:t>污染物指标</w:t>
                  </w:r>
                </w:p>
              </w:tc>
              <w:tc>
                <w:tcPr>
                  <w:tcW w:w="845" w:type="pct"/>
                  <w:tcBorders>
                    <w:top w:val="single" w:color="auto" w:sz="4" w:space="0"/>
                  </w:tcBorders>
                  <w:shd w:val="clear" w:color="auto" w:fill="auto"/>
                  <w:noWrap w:val="0"/>
                  <w:vAlign w:val="center"/>
                </w:tcPr>
                <w:p w14:paraId="0D3968C0">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color w:val="000000" w:themeColor="text1"/>
                      <w:sz w:val="21"/>
                      <w:szCs w:val="21"/>
                      <w:u w:val="none" w:color="auto"/>
                      <w14:textFill>
                        <w14:solidFill>
                          <w14:schemeClr w14:val="tx1"/>
                        </w14:solidFill>
                      </w14:textFill>
                    </w:rPr>
                    <w:t>单位</w:t>
                  </w:r>
                </w:p>
              </w:tc>
              <w:tc>
                <w:tcPr>
                  <w:tcW w:w="546" w:type="pct"/>
                  <w:tcBorders>
                    <w:top w:val="single" w:color="auto" w:sz="4" w:space="0"/>
                  </w:tcBorders>
                  <w:shd w:val="clear" w:color="auto" w:fill="auto"/>
                  <w:noWrap w:val="0"/>
                  <w:vAlign w:val="center"/>
                </w:tcPr>
                <w:p w14:paraId="66943FB0">
                  <w:pPr>
                    <w:keepNext w:val="0"/>
                    <w:keepLines w:val="0"/>
                    <w:suppressLineNumbers w:val="0"/>
                    <w:adjustRightInd w:val="0"/>
                    <w:snapToGrid w:val="0"/>
                    <w:spacing w:before="0" w:beforeAutospacing="0" w:after="0" w:afterAutospacing="0" w:line="240" w:lineRule="auto"/>
                    <w:ind w:left="0" w:leftChars="0" w:right="0" w:rightChars="0"/>
                    <w:jc w:val="center"/>
                    <w:rPr>
                      <w:rFonts w:hint="eastAsia"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color w:val="000000" w:themeColor="text1"/>
                      <w:sz w:val="21"/>
                      <w:szCs w:val="21"/>
                      <w:u w:val="none" w:color="auto"/>
                      <w14:textFill>
                        <w14:solidFill>
                          <w14:schemeClr w14:val="tx1"/>
                        </w14:solidFill>
                      </w14:textFill>
                    </w:rPr>
                    <w:t>产污系数</w:t>
                  </w:r>
                </w:p>
              </w:tc>
              <w:tc>
                <w:tcPr>
                  <w:tcW w:w="765" w:type="pct"/>
                  <w:tcBorders>
                    <w:top w:val="single" w:color="auto" w:sz="4" w:space="0"/>
                  </w:tcBorders>
                  <w:shd w:val="clear" w:color="auto" w:fill="auto"/>
                  <w:noWrap w:val="0"/>
                  <w:vAlign w:val="center"/>
                </w:tcPr>
                <w:p w14:paraId="3B69D172">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color w:val="000000" w:themeColor="text1"/>
                      <w:sz w:val="21"/>
                      <w:szCs w:val="21"/>
                      <w:u w:val="none" w:color="auto"/>
                      <w14:textFill>
                        <w14:solidFill>
                          <w14:schemeClr w14:val="tx1"/>
                        </w14:solidFill>
                      </w14:textFill>
                    </w:rPr>
                    <w:t>产生量</w:t>
                  </w:r>
                  <w:r>
                    <w:rPr>
                      <w:rFonts w:hint="eastAsia"/>
                      <w:color w:val="000000" w:themeColor="text1"/>
                      <w:sz w:val="21"/>
                      <w:szCs w:val="21"/>
                      <w:u w:val="none" w:color="auto"/>
                      <w:lang w:val="en-US" w:eastAsia="zh-CN"/>
                      <w14:textFill>
                        <w14:solidFill>
                          <w14:schemeClr w14:val="tx1"/>
                        </w14:solidFill>
                      </w14:textFill>
                    </w:rPr>
                    <w:t>t/a</w:t>
                  </w:r>
                </w:p>
              </w:tc>
              <w:tc>
                <w:tcPr>
                  <w:tcW w:w="649" w:type="pct"/>
                  <w:tcBorders>
                    <w:top w:val="single" w:color="auto" w:sz="4" w:space="0"/>
                    <w:right w:val="single" w:color="auto" w:sz="4" w:space="0"/>
                  </w:tcBorders>
                  <w:shd w:val="clear" w:color="auto" w:fill="auto"/>
                  <w:noWrap w:val="0"/>
                  <w:vAlign w:val="center"/>
                </w:tcPr>
                <w:p w14:paraId="78F49B1C">
                  <w:pPr>
                    <w:keepNext w:val="0"/>
                    <w:keepLines w:val="0"/>
                    <w:suppressLineNumbers w:val="0"/>
                    <w:adjustRightInd w:val="0"/>
                    <w:snapToGrid w:val="0"/>
                    <w:spacing w:before="0" w:beforeAutospacing="0" w:after="0" w:afterAutospacing="0" w:line="240" w:lineRule="auto"/>
                    <w:ind w:left="0" w:leftChars="0" w:right="0" w:rightChars="0"/>
                    <w:jc w:val="center"/>
                    <w:rPr>
                      <w:rFonts w:hint="eastAsia"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eastAsia"/>
                      <w:color w:val="000000" w:themeColor="text1"/>
                      <w:sz w:val="21"/>
                      <w:szCs w:val="21"/>
                      <w:u w:val="none" w:color="auto"/>
                      <w:lang w:val="en-US" w:eastAsia="zh-CN"/>
                      <w14:textFill>
                        <w14:solidFill>
                          <w14:schemeClr w14:val="tx1"/>
                        </w14:solidFill>
                      </w14:textFill>
                    </w:rPr>
                    <w:t>产生速率kg/h</w:t>
                  </w:r>
                </w:p>
              </w:tc>
              <w:tc>
                <w:tcPr>
                  <w:tcW w:w="649" w:type="pct"/>
                  <w:tcBorders>
                    <w:top w:val="single" w:color="auto" w:sz="4" w:space="0"/>
                    <w:right w:val="single" w:color="auto" w:sz="4" w:space="0"/>
                  </w:tcBorders>
                  <w:shd w:val="clear" w:color="auto" w:fill="auto"/>
                  <w:noWrap w:val="0"/>
                  <w:vAlign w:val="center"/>
                </w:tcPr>
                <w:p w14:paraId="08A3FCD7">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color w:val="000000" w:themeColor="text1"/>
                      <w:sz w:val="21"/>
                      <w:szCs w:val="21"/>
                      <w:u w:val="none" w:color="auto"/>
                      <w:lang w:val="en-US" w:eastAsia="zh-CN"/>
                      <w14:textFill>
                        <w14:solidFill>
                          <w14:schemeClr w14:val="tx1"/>
                        </w14:solidFill>
                      </w14:textFill>
                    </w:rPr>
                  </w:pPr>
                  <w:r>
                    <w:rPr>
                      <w:rFonts w:hint="eastAsia"/>
                      <w:color w:val="000000" w:themeColor="text1"/>
                      <w:sz w:val="21"/>
                      <w:szCs w:val="21"/>
                      <w:u w:val="none" w:color="auto"/>
                      <w:lang w:val="en-US" w:eastAsia="zh-CN"/>
                      <w14:textFill>
                        <w14:solidFill>
                          <w14:schemeClr w14:val="tx1"/>
                        </w14:solidFill>
                      </w14:textFill>
                    </w:rPr>
                    <w:t>时间</w:t>
                  </w:r>
                </w:p>
              </w:tc>
            </w:tr>
            <w:tr w14:paraId="22FA0D4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75" w:type="pct"/>
                  <w:vMerge w:val="restart"/>
                  <w:tcBorders>
                    <w:left w:val="single" w:color="auto" w:sz="4" w:space="0"/>
                  </w:tcBorders>
                  <w:noWrap w:val="0"/>
                  <w:vAlign w:val="center"/>
                </w:tcPr>
                <w:p w14:paraId="526BF0BF">
                  <w:pPr>
                    <w:keepNext w:val="0"/>
                    <w:keepLines w:val="0"/>
                    <w:suppressLineNumbers w:val="0"/>
                    <w:spacing w:before="0" w:beforeAutospacing="0" w:after="0" w:afterAutospacing="0"/>
                    <w:ind w:left="0" w:right="0"/>
                    <w:jc w:val="center"/>
                    <w:rPr>
                      <w:rFonts w:hint="default" w:eastAsia="宋体"/>
                      <w:color w:val="000000" w:themeColor="text1"/>
                      <w:sz w:val="21"/>
                      <w:szCs w:val="21"/>
                      <w:u w:val="none" w:color="auto"/>
                      <w:lang w:val="en-US" w:eastAsia="zh-CN"/>
                      <w14:textFill>
                        <w14:solidFill>
                          <w14:schemeClr w14:val="tx1"/>
                        </w14:solidFill>
                      </w14:textFill>
                    </w:rPr>
                  </w:pPr>
                  <w:r>
                    <w:rPr>
                      <w:rFonts w:hint="eastAsia"/>
                      <w:color w:val="000000" w:themeColor="text1"/>
                      <w:sz w:val="21"/>
                      <w:szCs w:val="21"/>
                      <w:u w:val="none" w:color="auto"/>
                      <w:lang w:val="en-US" w:eastAsia="zh-CN"/>
                      <w14:textFill>
                        <w14:solidFill>
                          <w14:schemeClr w14:val="tx1"/>
                        </w14:solidFill>
                      </w14:textFill>
                    </w:rPr>
                    <w:t>木煤气（</w:t>
                  </w:r>
                  <w:r>
                    <w:rPr>
                      <w:rFonts w:hint="eastAsia"/>
                      <w:color w:val="000000" w:themeColor="text1"/>
                      <w:sz w:val="21"/>
                      <w:szCs w:val="21"/>
                      <w:highlight w:val="none"/>
                      <w:u w:val="none" w:color="auto"/>
                      <w:lang w:val="en-US" w:eastAsia="zh-CN"/>
                      <w14:textFill>
                        <w14:solidFill>
                          <w14:schemeClr w14:val="tx1"/>
                        </w14:solidFill>
                      </w14:textFill>
                    </w:rPr>
                    <w:t>0.03</w:t>
                  </w:r>
                  <w:r>
                    <w:rPr>
                      <w:rFonts w:hint="eastAsia"/>
                      <w:color w:val="000000" w:themeColor="text1"/>
                      <w:kern w:val="0"/>
                      <w:sz w:val="21"/>
                      <w:szCs w:val="21"/>
                      <w:u w:val="none" w:color="auto"/>
                      <w14:textFill>
                        <w14:solidFill>
                          <w14:schemeClr w14:val="tx1"/>
                        </w14:solidFill>
                      </w14:textFill>
                    </w:rPr>
                    <w:t>×</w:t>
                  </w:r>
                  <w:r>
                    <w:rPr>
                      <w:rFonts w:hint="default"/>
                      <w:color w:val="000000" w:themeColor="text1"/>
                      <w:kern w:val="0"/>
                      <w:sz w:val="21"/>
                      <w:szCs w:val="21"/>
                      <w:u w:val="none" w:color="auto"/>
                      <w14:textFill>
                        <w14:solidFill>
                          <w14:schemeClr w14:val="tx1"/>
                        </w14:solidFill>
                      </w14:textFill>
                    </w:rPr>
                    <w:t>10</w:t>
                  </w:r>
                  <w:r>
                    <w:rPr>
                      <w:rFonts w:hint="eastAsia"/>
                      <w:color w:val="000000" w:themeColor="text1"/>
                      <w:kern w:val="0"/>
                      <w:sz w:val="21"/>
                      <w:szCs w:val="21"/>
                      <w:u w:val="none" w:color="auto"/>
                      <w:vertAlign w:val="superscript"/>
                      <w:lang w:val="en-US" w:eastAsia="zh-CN"/>
                      <w14:textFill>
                        <w14:solidFill>
                          <w14:schemeClr w14:val="tx1"/>
                        </w14:solidFill>
                      </w14:textFill>
                    </w:rPr>
                    <w:t>6</w:t>
                  </w:r>
                  <w:r>
                    <w:rPr>
                      <w:rFonts w:hint="default"/>
                      <w:color w:val="000000" w:themeColor="text1"/>
                      <w:kern w:val="0"/>
                      <w:sz w:val="21"/>
                      <w:szCs w:val="21"/>
                      <w:u w:val="none" w:color="auto"/>
                      <w14:textFill>
                        <w14:solidFill>
                          <w14:schemeClr w14:val="tx1"/>
                        </w14:solidFill>
                      </w14:textFill>
                    </w:rPr>
                    <w:t>Nm</w:t>
                  </w:r>
                  <w:r>
                    <w:rPr>
                      <w:rFonts w:hint="default"/>
                      <w:color w:val="000000" w:themeColor="text1"/>
                      <w:kern w:val="0"/>
                      <w:sz w:val="21"/>
                      <w:szCs w:val="21"/>
                      <w:u w:val="none" w:color="auto"/>
                      <w:vertAlign w:val="superscript"/>
                      <w14:textFill>
                        <w14:solidFill>
                          <w14:schemeClr w14:val="tx1"/>
                        </w14:solidFill>
                      </w14:textFill>
                    </w:rPr>
                    <w:t>3</w:t>
                  </w:r>
                  <w:r>
                    <w:rPr>
                      <w:rFonts w:hint="default"/>
                      <w:color w:val="000000" w:themeColor="text1"/>
                      <w:kern w:val="0"/>
                      <w:sz w:val="21"/>
                      <w:szCs w:val="21"/>
                      <w:u w:val="none" w:color="auto"/>
                      <w14:textFill>
                        <w14:solidFill>
                          <w14:schemeClr w14:val="tx1"/>
                        </w14:solidFill>
                      </w14:textFill>
                    </w:rPr>
                    <w:t>/a</w:t>
                  </w:r>
                  <w:r>
                    <w:rPr>
                      <w:rFonts w:hint="eastAsia"/>
                      <w:color w:val="000000" w:themeColor="text1"/>
                      <w:sz w:val="21"/>
                      <w:szCs w:val="21"/>
                      <w:u w:val="none" w:color="auto"/>
                      <w:lang w:val="en-US" w:eastAsia="zh-CN"/>
                      <w14:textFill>
                        <w14:solidFill>
                          <w14:schemeClr w14:val="tx1"/>
                        </w14:solidFill>
                      </w14:textFill>
                    </w:rPr>
                    <w:t>）</w:t>
                  </w:r>
                </w:p>
              </w:tc>
              <w:tc>
                <w:tcPr>
                  <w:tcW w:w="667" w:type="pct"/>
                  <w:shd w:val="clear" w:color="auto" w:fill="auto"/>
                  <w:noWrap w:val="0"/>
                  <w:vAlign w:val="center"/>
                </w:tcPr>
                <w:p w14:paraId="1639D083">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color w:val="000000" w:themeColor="text1"/>
                      <w:sz w:val="21"/>
                      <w:szCs w:val="21"/>
                      <w:u w:val="none" w:color="auto"/>
                      <w14:textFill>
                        <w14:solidFill>
                          <w14:schemeClr w14:val="tx1"/>
                        </w14:solidFill>
                      </w14:textFill>
                    </w:rPr>
                    <w:t>SO</w:t>
                  </w:r>
                  <w:r>
                    <w:rPr>
                      <w:rFonts w:hint="default"/>
                      <w:color w:val="000000" w:themeColor="text1"/>
                      <w:sz w:val="21"/>
                      <w:szCs w:val="21"/>
                      <w:u w:val="none" w:color="auto"/>
                      <w:vertAlign w:val="subscript"/>
                      <w14:textFill>
                        <w14:solidFill>
                          <w14:schemeClr w14:val="tx1"/>
                        </w14:solidFill>
                      </w14:textFill>
                    </w:rPr>
                    <w:t>2</w:t>
                  </w:r>
                </w:p>
              </w:tc>
              <w:tc>
                <w:tcPr>
                  <w:tcW w:w="845" w:type="pct"/>
                  <w:shd w:val="clear" w:color="auto" w:fill="auto"/>
                  <w:noWrap w:val="0"/>
                  <w:vAlign w:val="center"/>
                </w:tcPr>
                <w:p w14:paraId="14326235">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eastAsia" w:cs="Times New Roman"/>
                      <w:color w:val="000000" w:themeColor="text1"/>
                      <w:kern w:val="2"/>
                      <w:sz w:val="21"/>
                      <w:szCs w:val="21"/>
                      <w:u w:val="none" w:color="auto"/>
                      <w:lang w:val="en-US" w:eastAsia="zh-CN" w:bidi="ar-SA"/>
                      <w14:textFill>
                        <w14:solidFill>
                          <w14:schemeClr w14:val="tx1"/>
                        </w14:solidFill>
                      </w14:textFill>
                    </w:rPr>
                    <w:t>硫平衡</w:t>
                  </w:r>
                </w:p>
              </w:tc>
              <w:tc>
                <w:tcPr>
                  <w:tcW w:w="546" w:type="pct"/>
                  <w:shd w:val="clear" w:color="auto" w:fill="auto"/>
                  <w:noWrap w:val="0"/>
                  <w:vAlign w:val="center"/>
                </w:tcPr>
                <w:p w14:paraId="140E29C3">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eastAsia"/>
                      <w:color w:val="000000" w:themeColor="text1"/>
                      <w:kern w:val="0"/>
                      <w:sz w:val="21"/>
                      <w:szCs w:val="21"/>
                      <w:u w:val="none" w:color="auto"/>
                      <w:lang w:val="en-US" w:eastAsia="zh-CN"/>
                      <w14:textFill>
                        <w14:solidFill>
                          <w14:schemeClr w14:val="tx1"/>
                        </w14:solidFill>
                      </w14:textFill>
                    </w:rPr>
                    <w:t>/</w:t>
                  </w:r>
                </w:p>
              </w:tc>
              <w:tc>
                <w:tcPr>
                  <w:tcW w:w="765" w:type="pct"/>
                  <w:shd w:val="clear" w:color="auto" w:fill="auto"/>
                  <w:noWrap w:val="0"/>
                  <w:vAlign w:val="center"/>
                </w:tcPr>
                <w:p w14:paraId="5A7A22AD">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t>0.003</w:t>
                  </w:r>
                </w:p>
              </w:tc>
              <w:tc>
                <w:tcPr>
                  <w:tcW w:w="649" w:type="pct"/>
                  <w:tcBorders>
                    <w:right w:val="single" w:color="auto" w:sz="4" w:space="0"/>
                  </w:tcBorders>
                  <w:shd w:val="clear" w:color="auto" w:fill="auto"/>
                  <w:noWrap w:val="0"/>
                  <w:vAlign w:val="center"/>
                </w:tcPr>
                <w:p w14:paraId="48B083D9">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t>0.003</w:t>
                  </w:r>
                </w:p>
              </w:tc>
              <w:tc>
                <w:tcPr>
                  <w:tcW w:w="649" w:type="pct"/>
                  <w:tcBorders>
                    <w:right w:val="single" w:color="auto" w:sz="4" w:space="0"/>
                  </w:tcBorders>
                  <w:shd w:val="clear" w:color="auto" w:fill="auto"/>
                  <w:noWrap w:val="0"/>
                  <w:vAlign w:val="center"/>
                </w:tcPr>
                <w:p w14:paraId="2178F3F4">
                  <w:pPr>
                    <w:keepNext w:val="0"/>
                    <w:keepLines w:val="0"/>
                    <w:suppressLineNumbers w:val="0"/>
                    <w:adjustRightInd w:val="0"/>
                    <w:snapToGrid w:val="0"/>
                    <w:spacing w:before="0" w:beforeAutospacing="0" w:after="0" w:afterAutospacing="0" w:line="240" w:lineRule="auto"/>
                    <w:ind w:left="0" w:right="0"/>
                    <w:jc w:val="center"/>
                    <w:rPr>
                      <w:rFonts w:hint="default"/>
                      <w:color w:val="000000" w:themeColor="text1"/>
                      <w:sz w:val="21"/>
                      <w:szCs w:val="21"/>
                      <w:highlight w:val="none"/>
                      <w:u w:val="none" w:color="auto"/>
                      <w:lang w:val="en-US" w:eastAsia="zh-CN"/>
                      <w14:textFill>
                        <w14:solidFill>
                          <w14:schemeClr w14:val="tx1"/>
                        </w14:solidFill>
                      </w14:textFill>
                    </w:rPr>
                  </w:pPr>
                  <w:r>
                    <w:rPr>
                      <w:rFonts w:hint="eastAsia"/>
                      <w:color w:val="000000" w:themeColor="text1"/>
                      <w:sz w:val="21"/>
                      <w:szCs w:val="21"/>
                      <w:highlight w:val="none"/>
                      <w:u w:val="none" w:color="auto"/>
                      <w:lang w:val="en-US" w:eastAsia="zh-CN"/>
                      <w14:textFill>
                        <w14:solidFill>
                          <w14:schemeClr w14:val="tx1"/>
                        </w14:solidFill>
                      </w14:textFill>
                    </w:rPr>
                    <w:t>1000h/a</w:t>
                  </w:r>
                </w:p>
              </w:tc>
            </w:tr>
            <w:tr w14:paraId="43A8C49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75" w:type="pct"/>
                  <w:vMerge w:val="continue"/>
                  <w:tcBorders>
                    <w:left w:val="single" w:color="auto" w:sz="4" w:space="0"/>
                  </w:tcBorders>
                  <w:noWrap w:val="0"/>
                  <w:vAlign w:val="center"/>
                </w:tcPr>
                <w:p w14:paraId="2EFCAEAD">
                  <w:pPr>
                    <w:keepNext w:val="0"/>
                    <w:keepLines w:val="0"/>
                    <w:suppressLineNumbers w:val="0"/>
                    <w:adjustRightInd w:val="0"/>
                    <w:snapToGrid w:val="0"/>
                    <w:spacing w:before="0" w:beforeAutospacing="0" w:after="0" w:afterAutospacing="0" w:line="240" w:lineRule="auto"/>
                    <w:ind w:left="0" w:right="0"/>
                    <w:jc w:val="center"/>
                    <w:rPr>
                      <w:rFonts w:hint="default"/>
                      <w:color w:val="000000" w:themeColor="text1"/>
                      <w:sz w:val="21"/>
                      <w:szCs w:val="21"/>
                      <w:u w:val="none" w:color="auto"/>
                      <w14:textFill>
                        <w14:solidFill>
                          <w14:schemeClr w14:val="tx1"/>
                        </w14:solidFill>
                      </w14:textFill>
                    </w:rPr>
                  </w:pPr>
                </w:p>
              </w:tc>
              <w:tc>
                <w:tcPr>
                  <w:tcW w:w="667" w:type="pct"/>
                  <w:shd w:val="clear" w:color="auto" w:fill="auto"/>
                  <w:noWrap w:val="0"/>
                  <w:vAlign w:val="center"/>
                </w:tcPr>
                <w:p w14:paraId="072B6E5C">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color w:val="000000" w:themeColor="text1"/>
                      <w:sz w:val="21"/>
                      <w:szCs w:val="21"/>
                      <w:u w:val="none" w:color="auto"/>
                      <w14:textFill>
                        <w14:solidFill>
                          <w14:schemeClr w14:val="tx1"/>
                        </w14:solidFill>
                      </w14:textFill>
                    </w:rPr>
                    <w:t>烟尘</w:t>
                  </w:r>
                </w:p>
              </w:tc>
              <w:tc>
                <w:tcPr>
                  <w:tcW w:w="845" w:type="pct"/>
                  <w:shd w:val="clear" w:color="auto" w:fill="auto"/>
                  <w:noWrap w:val="0"/>
                  <w:vAlign w:val="center"/>
                </w:tcPr>
                <w:p w14:paraId="55062255">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cs="Times New Roman"/>
                      <w:color w:val="000000" w:themeColor="text1"/>
                      <w:sz w:val="21"/>
                      <w:szCs w:val="21"/>
                      <w:u w:val="none" w:color="auto"/>
                      <w14:textFill>
                        <w14:solidFill>
                          <w14:schemeClr w14:val="tx1"/>
                        </w14:solidFill>
                      </w14:textFill>
                    </w:rPr>
                    <w:t>kg/万m</w:t>
                  </w:r>
                  <w:r>
                    <w:rPr>
                      <w:rFonts w:hint="default" w:ascii="Times New Roman" w:hAnsi="Times New Roman" w:cs="Times New Roman"/>
                      <w:color w:val="000000" w:themeColor="text1"/>
                      <w:sz w:val="21"/>
                      <w:szCs w:val="21"/>
                      <w:u w:val="none" w:color="auto"/>
                      <w:vertAlign w:val="superscript"/>
                      <w14:textFill>
                        <w14:solidFill>
                          <w14:schemeClr w14:val="tx1"/>
                        </w14:solidFill>
                      </w14:textFill>
                    </w:rPr>
                    <w:t>3</w:t>
                  </w:r>
                  <w:r>
                    <w:rPr>
                      <w:rFonts w:hint="default" w:ascii="Times New Roman" w:hAnsi="Times New Roman" w:cs="Times New Roman"/>
                      <w:color w:val="000000" w:themeColor="text1"/>
                      <w:sz w:val="21"/>
                      <w:szCs w:val="21"/>
                      <w:u w:val="none" w:color="auto"/>
                      <w14:textFill>
                        <w14:solidFill>
                          <w14:schemeClr w14:val="tx1"/>
                        </w14:solidFill>
                      </w14:textFill>
                    </w:rPr>
                    <w:t>-原料</w:t>
                  </w:r>
                </w:p>
              </w:tc>
              <w:tc>
                <w:tcPr>
                  <w:tcW w:w="546" w:type="pct"/>
                  <w:shd w:val="clear" w:color="auto" w:fill="auto"/>
                  <w:noWrap w:val="0"/>
                  <w:vAlign w:val="center"/>
                </w:tcPr>
                <w:p w14:paraId="28C3EAC2">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eastAsia"/>
                      <w:color w:val="000000" w:themeColor="text1"/>
                      <w:sz w:val="21"/>
                      <w:szCs w:val="21"/>
                      <w:u w:val="none" w:color="auto"/>
                      <w:lang w:val="en-US" w:eastAsia="zh-CN"/>
                      <w14:textFill>
                        <w14:solidFill>
                          <w14:schemeClr w14:val="tx1"/>
                        </w14:solidFill>
                      </w14:textFill>
                    </w:rPr>
                    <w:t>0.5</w:t>
                  </w:r>
                </w:p>
              </w:tc>
              <w:tc>
                <w:tcPr>
                  <w:tcW w:w="765" w:type="pct"/>
                  <w:shd w:val="clear" w:color="auto" w:fill="auto"/>
                  <w:noWrap w:val="0"/>
                  <w:vAlign w:val="center"/>
                </w:tcPr>
                <w:p w14:paraId="2AE07A18">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t>0.002</w:t>
                  </w:r>
                </w:p>
              </w:tc>
              <w:tc>
                <w:tcPr>
                  <w:tcW w:w="649" w:type="pct"/>
                  <w:tcBorders>
                    <w:right w:val="single" w:color="auto" w:sz="4" w:space="0"/>
                  </w:tcBorders>
                  <w:shd w:val="clear" w:color="auto" w:fill="auto"/>
                  <w:noWrap w:val="0"/>
                  <w:vAlign w:val="center"/>
                </w:tcPr>
                <w:p w14:paraId="4C29AD32">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t>0.002</w:t>
                  </w:r>
                </w:p>
              </w:tc>
              <w:tc>
                <w:tcPr>
                  <w:tcW w:w="649" w:type="pct"/>
                  <w:tcBorders>
                    <w:right w:val="single" w:color="auto" w:sz="4" w:space="0"/>
                  </w:tcBorders>
                  <w:shd w:val="clear" w:color="auto" w:fill="auto"/>
                  <w:noWrap w:val="0"/>
                  <w:vAlign w:val="center"/>
                </w:tcPr>
                <w:p w14:paraId="61C55B58">
                  <w:pPr>
                    <w:keepNext w:val="0"/>
                    <w:keepLines w:val="0"/>
                    <w:suppressLineNumbers w:val="0"/>
                    <w:adjustRightInd w:val="0"/>
                    <w:snapToGrid w:val="0"/>
                    <w:spacing w:before="0" w:beforeAutospacing="0" w:after="0" w:afterAutospacing="0" w:line="240" w:lineRule="auto"/>
                    <w:ind w:left="0" w:right="0"/>
                    <w:jc w:val="center"/>
                    <w:rPr>
                      <w:rFonts w:hint="eastAsia"/>
                      <w:color w:val="000000" w:themeColor="text1"/>
                      <w:sz w:val="21"/>
                      <w:szCs w:val="21"/>
                      <w:u w:val="none" w:color="auto"/>
                      <w:lang w:val="en-US" w:eastAsia="zh-CN"/>
                      <w14:textFill>
                        <w14:solidFill>
                          <w14:schemeClr w14:val="tx1"/>
                        </w14:solidFill>
                      </w14:textFill>
                    </w:rPr>
                  </w:pPr>
                  <w:r>
                    <w:rPr>
                      <w:rFonts w:hint="eastAsia"/>
                      <w:color w:val="000000" w:themeColor="text1"/>
                      <w:sz w:val="21"/>
                      <w:szCs w:val="21"/>
                      <w:u w:val="none" w:color="auto"/>
                      <w:lang w:val="en-US" w:eastAsia="zh-CN"/>
                      <w14:textFill>
                        <w14:solidFill>
                          <w14:schemeClr w14:val="tx1"/>
                        </w14:solidFill>
                      </w14:textFill>
                    </w:rPr>
                    <w:t>1000h/a</w:t>
                  </w:r>
                </w:p>
              </w:tc>
            </w:tr>
            <w:tr w14:paraId="2A09D40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75" w:type="pct"/>
                  <w:vMerge w:val="continue"/>
                  <w:tcBorders>
                    <w:left w:val="single" w:color="auto" w:sz="4" w:space="0"/>
                  </w:tcBorders>
                  <w:noWrap w:val="0"/>
                  <w:vAlign w:val="center"/>
                </w:tcPr>
                <w:p w14:paraId="0BEFF677">
                  <w:pPr>
                    <w:keepNext w:val="0"/>
                    <w:keepLines w:val="0"/>
                    <w:suppressLineNumbers w:val="0"/>
                    <w:adjustRightInd w:val="0"/>
                    <w:snapToGrid w:val="0"/>
                    <w:spacing w:before="0" w:beforeAutospacing="0" w:after="0" w:afterAutospacing="0" w:line="240" w:lineRule="auto"/>
                    <w:ind w:left="0" w:right="0"/>
                    <w:jc w:val="center"/>
                    <w:rPr>
                      <w:rFonts w:hint="default"/>
                      <w:color w:val="000000" w:themeColor="text1"/>
                      <w:sz w:val="21"/>
                      <w:szCs w:val="21"/>
                      <w:u w:val="none" w:color="auto"/>
                      <w14:textFill>
                        <w14:solidFill>
                          <w14:schemeClr w14:val="tx1"/>
                        </w14:solidFill>
                      </w14:textFill>
                    </w:rPr>
                  </w:pPr>
                </w:p>
              </w:tc>
              <w:tc>
                <w:tcPr>
                  <w:tcW w:w="667" w:type="pct"/>
                  <w:shd w:val="clear" w:color="auto" w:fill="auto"/>
                  <w:noWrap w:val="0"/>
                  <w:vAlign w:val="center"/>
                </w:tcPr>
                <w:p w14:paraId="7A720318">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color w:val="000000" w:themeColor="text1"/>
                      <w:sz w:val="21"/>
                      <w:szCs w:val="21"/>
                      <w:u w:val="none" w:color="auto"/>
                      <w14:textFill>
                        <w14:solidFill>
                          <w14:schemeClr w14:val="tx1"/>
                        </w14:solidFill>
                      </w14:textFill>
                    </w:rPr>
                    <w:t>NO</w:t>
                  </w:r>
                  <w:r>
                    <w:rPr>
                      <w:rFonts w:hint="default"/>
                      <w:color w:val="000000" w:themeColor="text1"/>
                      <w:sz w:val="21"/>
                      <w:szCs w:val="21"/>
                      <w:u w:val="none" w:color="auto"/>
                      <w:vertAlign w:val="subscript"/>
                      <w14:textFill>
                        <w14:solidFill>
                          <w14:schemeClr w14:val="tx1"/>
                        </w14:solidFill>
                      </w14:textFill>
                    </w:rPr>
                    <w:t>X</w:t>
                  </w:r>
                </w:p>
              </w:tc>
              <w:tc>
                <w:tcPr>
                  <w:tcW w:w="845" w:type="pct"/>
                  <w:shd w:val="clear" w:color="auto" w:fill="auto"/>
                  <w:noWrap w:val="0"/>
                  <w:vAlign w:val="center"/>
                </w:tcPr>
                <w:p w14:paraId="4093B638">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color w:val="000000" w:themeColor="text1"/>
                      <w:sz w:val="21"/>
                      <w:szCs w:val="21"/>
                      <w:u w:val="none" w:color="auto"/>
                      <w14:textFill>
                        <w14:solidFill>
                          <w14:schemeClr w14:val="tx1"/>
                        </w14:solidFill>
                      </w14:textFill>
                    </w:rPr>
                    <w:t>kg/</w:t>
                  </w:r>
                  <w:r>
                    <w:rPr>
                      <w:rFonts w:hint="eastAsia"/>
                      <w:color w:val="000000" w:themeColor="text1"/>
                      <w:sz w:val="21"/>
                      <w:szCs w:val="21"/>
                      <w:u w:val="none" w:color="auto"/>
                      <w:lang w:val="en-US" w:eastAsia="zh-CN"/>
                      <w14:textFill>
                        <w14:solidFill>
                          <w14:schemeClr w14:val="tx1"/>
                        </w14:solidFill>
                      </w14:textFill>
                    </w:rPr>
                    <w:t>万m</w:t>
                  </w:r>
                  <w:r>
                    <w:rPr>
                      <w:rFonts w:hint="eastAsia"/>
                      <w:color w:val="000000" w:themeColor="text1"/>
                      <w:sz w:val="21"/>
                      <w:szCs w:val="21"/>
                      <w:u w:val="none" w:color="auto"/>
                      <w:vertAlign w:val="superscript"/>
                      <w:lang w:val="en-US" w:eastAsia="zh-CN"/>
                      <w14:textFill>
                        <w14:solidFill>
                          <w14:schemeClr w14:val="tx1"/>
                        </w14:solidFill>
                      </w14:textFill>
                    </w:rPr>
                    <w:t>3</w:t>
                  </w:r>
                  <w:r>
                    <w:rPr>
                      <w:rFonts w:hint="default"/>
                      <w:color w:val="000000" w:themeColor="text1"/>
                      <w:sz w:val="21"/>
                      <w:szCs w:val="21"/>
                      <w:u w:val="none" w:color="auto"/>
                      <w14:textFill>
                        <w14:solidFill>
                          <w14:schemeClr w14:val="tx1"/>
                        </w14:solidFill>
                      </w14:textFill>
                    </w:rPr>
                    <w:t>-原料</w:t>
                  </w:r>
                </w:p>
              </w:tc>
              <w:tc>
                <w:tcPr>
                  <w:tcW w:w="546" w:type="pct"/>
                  <w:shd w:val="clear" w:color="auto" w:fill="auto"/>
                  <w:noWrap w:val="0"/>
                  <w:vAlign w:val="center"/>
                </w:tcPr>
                <w:p w14:paraId="6921A3D9">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eastAsia"/>
                      <w:color w:val="000000" w:themeColor="text1"/>
                      <w:sz w:val="21"/>
                      <w:szCs w:val="21"/>
                      <w:u w:val="none" w:color="auto"/>
                      <w:lang w:val="en-US" w:eastAsia="zh-CN"/>
                      <w14:textFill>
                        <w14:solidFill>
                          <w14:schemeClr w14:val="tx1"/>
                        </w14:solidFill>
                      </w14:textFill>
                    </w:rPr>
                    <w:t>18.71</w:t>
                  </w:r>
                </w:p>
              </w:tc>
              <w:tc>
                <w:tcPr>
                  <w:tcW w:w="765" w:type="pct"/>
                  <w:shd w:val="clear" w:color="auto" w:fill="auto"/>
                  <w:noWrap w:val="0"/>
                  <w:vAlign w:val="center"/>
                </w:tcPr>
                <w:p w14:paraId="254E49EA">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t>0.056</w:t>
                  </w:r>
                </w:p>
              </w:tc>
              <w:tc>
                <w:tcPr>
                  <w:tcW w:w="649" w:type="pct"/>
                  <w:tcBorders>
                    <w:right w:val="single" w:color="auto" w:sz="4" w:space="0"/>
                  </w:tcBorders>
                  <w:shd w:val="clear" w:color="auto" w:fill="auto"/>
                  <w:noWrap w:val="0"/>
                  <w:vAlign w:val="center"/>
                </w:tcPr>
                <w:p w14:paraId="16671C92">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t>0.056</w:t>
                  </w:r>
                </w:p>
              </w:tc>
              <w:tc>
                <w:tcPr>
                  <w:tcW w:w="649" w:type="pct"/>
                  <w:tcBorders>
                    <w:right w:val="single" w:color="auto" w:sz="4" w:space="0"/>
                  </w:tcBorders>
                  <w:shd w:val="clear" w:color="auto" w:fill="auto"/>
                  <w:noWrap w:val="0"/>
                  <w:vAlign w:val="center"/>
                </w:tcPr>
                <w:p w14:paraId="7F57F646">
                  <w:pPr>
                    <w:keepNext w:val="0"/>
                    <w:keepLines w:val="0"/>
                    <w:suppressLineNumbers w:val="0"/>
                    <w:adjustRightInd w:val="0"/>
                    <w:snapToGrid w:val="0"/>
                    <w:spacing w:before="0" w:beforeAutospacing="0" w:after="0" w:afterAutospacing="0" w:line="240" w:lineRule="auto"/>
                    <w:ind w:left="0" w:right="0"/>
                    <w:jc w:val="center"/>
                    <w:rPr>
                      <w:rFonts w:hint="eastAsia"/>
                      <w:color w:val="000000" w:themeColor="text1"/>
                      <w:sz w:val="21"/>
                      <w:szCs w:val="21"/>
                      <w:u w:val="none" w:color="auto"/>
                      <w:lang w:val="en-US" w:eastAsia="zh-CN"/>
                      <w14:textFill>
                        <w14:solidFill>
                          <w14:schemeClr w14:val="tx1"/>
                        </w14:solidFill>
                      </w14:textFill>
                    </w:rPr>
                  </w:pPr>
                  <w:r>
                    <w:rPr>
                      <w:rFonts w:hint="eastAsia"/>
                      <w:color w:val="000000" w:themeColor="text1"/>
                      <w:sz w:val="21"/>
                      <w:szCs w:val="21"/>
                      <w:u w:val="none" w:color="auto"/>
                      <w:lang w:val="en-US" w:eastAsia="zh-CN"/>
                      <w14:textFill>
                        <w14:solidFill>
                          <w14:schemeClr w14:val="tx1"/>
                        </w14:solidFill>
                      </w14:textFill>
                    </w:rPr>
                    <w:t>1000h/a</w:t>
                  </w:r>
                </w:p>
              </w:tc>
            </w:tr>
            <w:tr w14:paraId="7ED4CD6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75" w:type="pct"/>
                  <w:vMerge w:val="restart"/>
                  <w:tcBorders>
                    <w:left w:val="single" w:color="auto" w:sz="4" w:space="0"/>
                  </w:tcBorders>
                  <w:noWrap w:val="0"/>
                  <w:vAlign w:val="center"/>
                </w:tcPr>
                <w:p w14:paraId="0CDF6E7F">
                  <w:pPr>
                    <w:keepNext w:val="0"/>
                    <w:keepLines w:val="0"/>
                    <w:suppressLineNumbers w:val="0"/>
                    <w:spacing w:before="0" w:beforeAutospacing="0" w:after="0" w:afterAutospacing="0"/>
                    <w:ind w:left="0" w:right="0"/>
                    <w:jc w:val="center"/>
                    <w:rPr>
                      <w:rFonts w:hint="default"/>
                      <w:color w:val="000000" w:themeColor="text1"/>
                      <w:sz w:val="21"/>
                      <w:szCs w:val="21"/>
                      <w:u w:val="none" w:color="auto"/>
                      <w14:textFill>
                        <w14:solidFill>
                          <w14:schemeClr w14:val="tx1"/>
                        </w14:solidFill>
                      </w14:textFill>
                    </w:rPr>
                  </w:pPr>
                  <w:r>
                    <w:rPr>
                      <w:rFonts w:hint="eastAsia"/>
                      <w:color w:val="000000" w:themeColor="text1"/>
                      <w:sz w:val="21"/>
                      <w:szCs w:val="21"/>
                      <w:u w:val="none" w:color="auto"/>
                      <w:lang w:val="en-US" w:eastAsia="zh-CN"/>
                      <w14:textFill>
                        <w14:solidFill>
                          <w14:schemeClr w14:val="tx1"/>
                        </w14:solidFill>
                      </w14:textFill>
                    </w:rPr>
                    <w:t>生物质（储存柜无木煤气时）</w:t>
                  </w:r>
                  <w:r>
                    <w:rPr>
                      <w:rFonts w:hint="eastAsia"/>
                      <w:bCs/>
                      <w:color w:val="000000" w:themeColor="text1"/>
                      <w:sz w:val="21"/>
                      <w:szCs w:val="21"/>
                      <w:u w:val="none" w:color="auto"/>
                      <w:lang w:val="en-US" w:eastAsia="zh-CN"/>
                      <w14:textFill>
                        <w14:solidFill>
                          <w14:schemeClr w14:val="tx1"/>
                        </w14:solidFill>
                      </w14:textFill>
                    </w:rPr>
                    <w:t>0.05t</w:t>
                  </w:r>
                  <w:r>
                    <w:rPr>
                      <w:rFonts w:hint="default"/>
                      <w:color w:val="000000" w:themeColor="text1"/>
                      <w:kern w:val="0"/>
                      <w:sz w:val="21"/>
                      <w:szCs w:val="21"/>
                      <w:u w:val="none" w:color="auto"/>
                      <w14:textFill>
                        <w14:solidFill>
                          <w14:schemeClr w14:val="tx1"/>
                        </w14:solidFill>
                      </w14:textFill>
                    </w:rPr>
                    <w:t>/a</w:t>
                  </w:r>
                </w:p>
              </w:tc>
              <w:tc>
                <w:tcPr>
                  <w:tcW w:w="667" w:type="pct"/>
                  <w:shd w:val="clear" w:color="auto" w:fill="auto"/>
                  <w:noWrap w:val="0"/>
                  <w:vAlign w:val="center"/>
                </w:tcPr>
                <w:p w14:paraId="167D9494">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default"/>
                      <w:color w:val="000000" w:themeColor="text1"/>
                      <w:sz w:val="21"/>
                      <w:szCs w:val="21"/>
                      <w:highlight w:val="none"/>
                      <w:u w:val="none" w:color="auto"/>
                      <w14:textFill>
                        <w14:solidFill>
                          <w14:schemeClr w14:val="tx1"/>
                        </w14:solidFill>
                      </w14:textFill>
                    </w:rPr>
                    <w:t>SO</w:t>
                  </w:r>
                  <w:r>
                    <w:rPr>
                      <w:rFonts w:hint="default"/>
                      <w:color w:val="000000" w:themeColor="text1"/>
                      <w:sz w:val="21"/>
                      <w:szCs w:val="21"/>
                      <w:highlight w:val="none"/>
                      <w:u w:val="none" w:color="auto"/>
                      <w:vertAlign w:val="subscript"/>
                      <w14:textFill>
                        <w14:solidFill>
                          <w14:schemeClr w14:val="tx1"/>
                        </w14:solidFill>
                      </w14:textFill>
                    </w:rPr>
                    <w:t>2</w:t>
                  </w:r>
                </w:p>
              </w:tc>
              <w:tc>
                <w:tcPr>
                  <w:tcW w:w="845" w:type="pct"/>
                  <w:shd w:val="clear" w:color="auto" w:fill="auto"/>
                  <w:noWrap w:val="0"/>
                  <w:vAlign w:val="center"/>
                </w:tcPr>
                <w:p w14:paraId="497CE9A9">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default"/>
                      <w:color w:val="000000" w:themeColor="text1"/>
                      <w:sz w:val="21"/>
                      <w:szCs w:val="21"/>
                      <w:highlight w:val="none"/>
                      <w:u w:val="none" w:color="auto"/>
                      <w14:textFill>
                        <w14:solidFill>
                          <w14:schemeClr w14:val="tx1"/>
                        </w14:solidFill>
                      </w14:textFill>
                    </w:rPr>
                    <w:t>kg/</w:t>
                  </w:r>
                  <w:r>
                    <w:rPr>
                      <w:rFonts w:hint="eastAsia"/>
                      <w:color w:val="000000" w:themeColor="text1"/>
                      <w:sz w:val="21"/>
                      <w:szCs w:val="21"/>
                      <w:highlight w:val="none"/>
                      <w:u w:val="none" w:color="auto"/>
                      <w:lang w:val="en-US" w:eastAsia="zh-CN"/>
                      <w14:textFill>
                        <w14:solidFill>
                          <w14:schemeClr w14:val="tx1"/>
                        </w14:solidFill>
                      </w14:textFill>
                    </w:rPr>
                    <w:t>t</w:t>
                  </w:r>
                  <w:r>
                    <w:rPr>
                      <w:rFonts w:hint="default"/>
                      <w:color w:val="000000" w:themeColor="text1"/>
                      <w:sz w:val="21"/>
                      <w:szCs w:val="21"/>
                      <w:highlight w:val="none"/>
                      <w:u w:val="none" w:color="auto"/>
                      <w14:textFill>
                        <w14:solidFill>
                          <w14:schemeClr w14:val="tx1"/>
                        </w14:solidFill>
                      </w14:textFill>
                    </w:rPr>
                    <w:t>-原料</w:t>
                  </w:r>
                </w:p>
              </w:tc>
              <w:tc>
                <w:tcPr>
                  <w:tcW w:w="546" w:type="pct"/>
                  <w:shd w:val="clear" w:color="auto" w:fill="auto"/>
                  <w:noWrap w:val="0"/>
                  <w:vAlign w:val="center"/>
                </w:tcPr>
                <w:p w14:paraId="7569CB9D">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eastAsia"/>
                      <w:color w:val="000000" w:themeColor="text1"/>
                      <w:kern w:val="0"/>
                      <w:sz w:val="21"/>
                      <w:szCs w:val="21"/>
                      <w:highlight w:val="none"/>
                      <w:u w:val="none" w:color="auto"/>
                      <w:lang w:val="en-US" w:eastAsia="zh-CN"/>
                      <w14:textFill>
                        <w14:solidFill>
                          <w14:schemeClr w14:val="tx1"/>
                        </w14:solidFill>
                      </w14:textFill>
                    </w:rPr>
                    <w:t>1.19</w:t>
                  </w:r>
                </w:p>
              </w:tc>
              <w:tc>
                <w:tcPr>
                  <w:tcW w:w="1405" w:type="dxa"/>
                  <w:shd w:val="clear" w:color="auto" w:fill="auto"/>
                  <w:noWrap w:val="0"/>
                  <w:vAlign w:val="center"/>
                </w:tcPr>
                <w:p w14:paraId="5B54CE75">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t>0.714kg/a</w:t>
                  </w:r>
                </w:p>
              </w:tc>
              <w:tc>
                <w:tcPr>
                  <w:tcW w:w="1193" w:type="dxa"/>
                  <w:tcBorders>
                    <w:right w:val="single" w:color="auto" w:sz="4" w:space="0"/>
                  </w:tcBorders>
                  <w:shd w:val="clear" w:color="auto" w:fill="auto"/>
                  <w:noWrap w:val="0"/>
                  <w:vAlign w:val="center"/>
                </w:tcPr>
                <w:p w14:paraId="68C0CC08">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t>0.004</w:t>
                  </w:r>
                </w:p>
              </w:tc>
              <w:tc>
                <w:tcPr>
                  <w:tcW w:w="649" w:type="pct"/>
                  <w:tcBorders>
                    <w:right w:val="single" w:color="auto" w:sz="4" w:space="0"/>
                  </w:tcBorders>
                  <w:shd w:val="clear" w:color="auto" w:fill="auto"/>
                  <w:noWrap w:val="0"/>
                  <w:vAlign w:val="center"/>
                </w:tcPr>
                <w:p w14:paraId="1E0EC602">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color w:val="000000" w:themeColor="text1"/>
                      <w:sz w:val="21"/>
                      <w:szCs w:val="21"/>
                      <w:u w:val="none" w:color="auto"/>
                      <w:lang w:val="en-US" w:eastAsia="zh-CN"/>
                      <w14:textFill>
                        <w14:solidFill>
                          <w14:schemeClr w14:val="tx1"/>
                        </w14:solidFill>
                      </w14:textFill>
                    </w:rPr>
                  </w:pPr>
                  <w:r>
                    <w:rPr>
                      <w:rFonts w:hint="eastAsia"/>
                      <w:color w:val="000000" w:themeColor="text1"/>
                      <w:sz w:val="21"/>
                      <w:szCs w:val="21"/>
                      <w:u w:val="none" w:color="auto"/>
                      <w:lang w:val="en-US" w:eastAsia="zh-CN"/>
                      <w14:textFill>
                        <w14:solidFill>
                          <w14:schemeClr w14:val="tx1"/>
                        </w14:solidFill>
                      </w14:textFill>
                    </w:rPr>
                    <w:t>200h/a</w:t>
                  </w:r>
                </w:p>
              </w:tc>
            </w:tr>
            <w:tr w14:paraId="097D979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75" w:type="pct"/>
                  <w:vMerge w:val="continue"/>
                  <w:tcBorders>
                    <w:left w:val="single" w:color="auto" w:sz="4" w:space="0"/>
                  </w:tcBorders>
                  <w:noWrap w:val="0"/>
                  <w:vAlign w:val="center"/>
                </w:tcPr>
                <w:p w14:paraId="4C7BE0CF">
                  <w:pPr>
                    <w:keepNext w:val="0"/>
                    <w:keepLines w:val="0"/>
                    <w:suppressLineNumbers w:val="0"/>
                    <w:adjustRightInd w:val="0"/>
                    <w:snapToGrid w:val="0"/>
                    <w:spacing w:before="0" w:beforeAutospacing="0" w:after="0" w:afterAutospacing="0" w:line="240" w:lineRule="auto"/>
                    <w:ind w:left="0" w:right="0"/>
                    <w:jc w:val="center"/>
                    <w:rPr>
                      <w:rFonts w:hint="default"/>
                      <w:color w:val="000000" w:themeColor="text1"/>
                      <w:sz w:val="21"/>
                      <w:szCs w:val="21"/>
                      <w:u w:val="none" w:color="auto"/>
                      <w14:textFill>
                        <w14:solidFill>
                          <w14:schemeClr w14:val="tx1"/>
                        </w14:solidFill>
                      </w14:textFill>
                    </w:rPr>
                  </w:pPr>
                </w:p>
              </w:tc>
              <w:tc>
                <w:tcPr>
                  <w:tcW w:w="667" w:type="pct"/>
                  <w:shd w:val="clear" w:color="auto" w:fill="auto"/>
                  <w:noWrap w:val="0"/>
                  <w:vAlign w:val="center"/>
                </w:tcPr>
                <w:p w14:paraId="7A6BFF0B">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default"/>
                      <w:color w:val="000000" w:themeColor="text1"/>
                      <w:sz w:val="21"/>
                      <w:szCs w:val="21"/>
                      <w:highlight w:val="none"/>
                      <w:u w:val="none" w:color="auto"/>
                      <w14:textFill>
                        <w14:solidFill>
                          <w14:schemeClr w14:val="tx1"/>
                        </w14:solidFill>
                      </w14:textFill>
                    </w:rPr>
                    <w:t>烟尘</w:t>
                  </w:r>
                </w:p>
              </w:tc>
              <w:tc>
                <w:tcPr>
                  <w:tcW w:w="845" w:type="pct"/>
                  <w:shd w:val="clear" w:color="auto" w:fill="auto"/>
                  <w:noWrap w:val="0"/>
                  <w:vAlign w:val="center"/>
                </w:tcPr>
                <w:p w14:paraId="3AE3436D">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u w:val="none" w:color="auto"/>
                      <w14:textFill>
                        <w14:solidFill>
                          <w14:schemeClr w14:val="tx1"/>
                        </w14:solidFill>
                      </w14:textFill>
                    </w:rPr>
                    <w:t>kg/</w:t>
                  </w:r>
                  <w:r>
                    <w:rPr>
                      <w:rFonts w:hint="eastAsia" w:ascii="Times New Roman" w:hAnsi="Times New Roman" w:cs="Times New Roman"/>
                      <w:color w:val="000000" w:themeColor="text1"/>
                      <w:sz w:val="21"/>
                      <w:szCs w:val="21"/>
                      <w:highlight w:val="none"/>
                      <w:u w:val="none" w:color="auto"/>
                      <w:lang w:val="en-US" w:eastAsia="zh-CN"/>
                      <w14:textFill>
                        <w14:solidFill>
                          <w14:schemeClr w14:val="tx1"/>
                        </w14:solidFill>
                      </w14:textFill>
                    </w:rPr>
                    <w:t>t</w:t>
                  </w:r>
                  <w:r>
                    <w:rPr>
                      <w:rFonts w:hint="default" w:ascii="Times New Roman" w:hAnsi="Times New Roman" w:cs="Times New Roman"/>
                      <w:color w:val="000000" w:themeColor="text1"/>
                      <w:sz w:val="21"/>
                      <w:szCs w:val="21"/>
                      <w:highlight w:val="none"/>
                      <w:u w:val="none" w:color="auto"/>
                      <w14:textFill>
                        <w14:solidFill>
                          <w14:schemeClr w14:val="tx1"/>
                        </w14:solidFill>
                      </w14:textFill>
                    </w:rPr>
                    <w:t>-原料</w:t>
                  </w:r>
                </w:p>
              </w:tc>
              <w:tc>
                <w:tcPr>
                  <w:tcW w:w="546" w:type="pct"/>
                  <w:shd w:val="clear" w:color="auto" w:fill="auto"/>
                  <w:noWrap w:val="0"/>
                  <w:vAlign w:val="center"/>
                </w:tcPr>
                <w:p w14:paraId="6DDAECE9">
                  <w:pPr>
                    <w:keepNext w:val="0"/>
                    <w:keepLines w:val="0"/>
                    <w:suppressLineNumbers w:val="0"/>
                    <w:adjustRightInd w:val="0"/>
                    <w:snapToGrid w:val="0"/>
                    <w:spacing w:before="0" w:beforeAutospacing="0" w:after="0" w:afterAutospacing="0" w:line="240" w:lineRule="auto"/>
                    <w:ind w:left="0" w:leftChars="0" w:right="0" w:rightChars="0"/>
                    <w:jc w:val="center"/>
                    <w:rPr>
                      <w:rFonts w:hint="eastAsia"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eastAsia"/>
                      <w:color w:val="000000" w:themeColor="text1"/>
                      <w:sz w:val="21"/>
                      <w:szCs w:val="21"/>
                      <w:highlight w:val="none"/>
                      <w:u w:val="none" w:color="auto"/>
                      <w:lang w:val="en-US" w:eastAsia="zh-CN"/>
                      <w14:textFill>
                        <w14:solidFill>
                          <w14:schemeClr w14:val="tx1"/>
                        </w14:solidFill>
                      </w14:textFill>
                    </w:rPr>
                    <w:t>0.5</w:t>
                  </w:r>
                </w:p>
              </w:tc>
              <w:tc>
                <w:tcPr>
                  <w:tcW w:w="1405" w:type="dxa"/>
                  <w:shd w:val="clear" w:color="auto" w:fill="auto"/>
                  <w:noWrap w:val="0"/>
                  <w:vAlign w:val="center"/>
                </w:tcPr>
                <w:p w14:paraId="04946C2D">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t>0.3kg/a</w:t>
                  </w:r>
                </w:p>
              </w:tc>
              <w:tc>
                <w:tcPr>
                  <w:tcW w:w="1193" w:type="dxa"/>
                  <w:tcBorders>
                    <w:right w:val="single" w:color="auto" w:sz="4" w:space="0"/>
                  </w:tcBorders>
                  <w:shd w:val="clear" w:color="auto" w:fill="auto"/>
                  <w:noWrap w:val="0"/>
                  <w:vAlign w:val="center"/>
                </w:tcPr>
                <w:p w14:paraId="7F321CAC">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t>0.002</w:t>
                  </w:r>
                </w:p>
              </w:tc>
              <w:tc>
                <w:tcPr>
                  <w:tcW w:w="649" w:type="pct"/>
                  <w:tcBorders>
                    <w:right w:val="single" w:color="auto" w:sz="4" w:space="0"/>
                  </w:tcBorders>
                  <w:shd w:val="clear" w:color="auto" w:fill="auto"/>
                  <w:noWrap w:val="0"/>
                  <w:vAlign w:val="center"/>
                </w:tcPr>
                <w:p w14:paraId="0B286A0B">
                  <w:pPr>
                    <w:keepNext w:val="0"/>
                    <w:keepLines w:val="0"/>
                    <w:suppressLineNumbers w:val="0"/>
                    <w:adjustRightInd w:val="0"/>
                    <w:snapToGrid w:val="0"/>
                    <w:spacing w:before="0" w:beforeAutospacing="0" w:after="0" w:afterAutospacing="0" w:line="240" w:lineRule="auto"/>
                    <w:ind w:left="0" w:leftChars="0" w:right="0" w:rightChars="0"/>
                    <w:jc w:val="center"/>
                    <w:rPr>
                      <w:rFonts w:hint="eastAsia"/>
                      <w:color w:val="000000" w:themeColor="text1"/>
                      <w:sz w:val="21"/>
                      <w:szCs w:val="21"/>
                      <w:u w:val="none" w:color="auto"/>
                      <w:lang w:val="en-US" w:eastAsia="zh-CN"/>
                      <w14:textFill>
                        <w14:solidFill>
                          <w14:schemeClr w14:val="tx1"/>
                        </w14:solidFill>
                      </w14:textFill>
                    </w:rPr>
                  </w:pPr>
                  <w:r>
                    <w:rPr>
                      <w:rFonts w:hint="eastAsia"/>
                      <w:color w:val="000000" w:themeColor="text1"/>
                      <w:sz w:val="21"/>
                      <w:szCs w:val="21"/>
                      <w:u w:val="none" w:color="auto"/>
                      <w:lang w:val="en-US" w:eastAsia="zh-CN"/>
                      <w14:textFill>
                        <w14:solidFill>
                          <w14:schemeClr w14:val="tx1"/>
                        </w14:solidFill>
                      </w14:textFill>
                    </w:rPr>
                    <w:t>200h/a</w:t>
                  </w:r>
                </w:p>
              </w:tc>
            </w:tr>
            <w:tr w14:paraId="434B18C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75" w:type="pct"/>
                  <w:vMerge w:val="continue"/>
                  <w:tcBorders>
                    <w:left w:val="single" w:color="auto" w:sz="4" w:space="0"/>
                  </w:tcBorders>
                  <w:noWrap w:val="0"/>
                  <w:vAlign w:val="center"/>
                </w:tcPr>
                <w:p w14:paraId="679923B2">
                  <w:pPr>
                    <w:keepNext w:val="0"/>
                    <w:keepLines w:val="0"/>
                    <w:suppressLineNumbers w:val="0"/>
                    <w:adjustRightInd w:val="0"/>
                    <w:snapToGrid w:val="0"/>
                    <w:spacing w:before="0" w:beforeAutospacing="0" w:after="0" w:afterAutospacing="0" w:line="240" w:lineRule="auto"/>
                    <w:ind w:left="0" w:right="0"/>
                    <w:jc w:val="center"/>
                    <w:rPr>
                      <w:rFonts w:hint="default"/>
                      <w:color w:val="000000" w:themeColor="text1"/>
                      <w:sz w:val="21"/>
                      <w:szCs w:val="21"/>
                      <w:u w:val="none" w:color="auto"/>
                      <w14:textFill>
                        <w14:solidFill>
                          <w14:schemeClr w14:val="tx1"/>
                        </w14:solidFill>
                      </w14:textFill>
                    </w:rPr>
                  </w:pPr>
                </w:p>
              </w:tc>
              <w:tc>
                <w:tcPr>
                  <w:tcW w:w="667" w:type="pct"/>
                  <w:shd w:val="clear" w:color="auto" w:fill="auto"/>
                  <w:noWrap w:val="0"/>
                  <w:vAlign w:val="center"/>
                </w:tcPr>
                <w:p w14:paraId="3C4D57DD">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default"/>
                      <w:color w:val="000000" w:themeColor="text1"/>
                      <w:sz w:val="21"/>
                      <w:szCs w:val="21"/>
                      <w:highlight w:val="none"/>
                      <w:u w:val="none" w:color="auto"/>
                      <w14:textFill>
                        <w14:solidFill>
                          <w14:schemeClr w14:val="tx1"/>
                        </w14:solidFill>
                      </w14:textFill>
                    </w:rPr>
                    <w:t>NO</w:t>
                  </w:r>
                  <w:r>
                    <w:rPr>
                      <w:rFonts w:hint="default"/>
                      <w:color w:val="000000" w:themeColor="text1"/>
                      <w:sz w:val="21"/>
                      <w:szCs w:val="21"/>
                      <w:highlight w:val="none"/>
                      <w:u w:val="none" w:color="auto"/>
                      <w:vertAlign w:val="subscript"/>
                      <w14:textFill>
                        <w14:solidFill>
                          <w14:schemeClr w14:val="tx1"/>
                        </w14:solidFill>
                      </w14:textFill>
                    </w:rPr>
                    <w:t>X</w:t>
                  </w:r>
                </w:p>
              </w:tc>
              <w:tc>
                <w:tcPr>
                  <w:tcW w:w="845" w:type="pct"/>
                  <w:shd w:val="clear" w:color="auto" w:fill="auto"/>
                  <w:noWrap w:val="0"/>
                  <w:vAlign w:val="center"/>
                </w:tcPr>
                <w:p w14:paraId="57442D72">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default"/>
                      <w:color w:val="000000" w:themeColor="text1"/>
                      <w:sz w:val="21"/>
                      <w:szCs w:val="21"/>
                      <w:highlight w:val="none"/>
                      <w:u w:val="none" w:color="auto"/>
                      <w14:textFill>
                        <w14:solidFill>
                          <w14:schemeClr w14:val="tx1"/>
                        </w14:solidFill>
                      </w14:textFill>
                    </w:rPr>
                    <w:t>kg/</w:t>
                  </w:r>
                  <w:r>
                    <w:rPr>
                      <w:rFonts w:hint="eastAsia"/>
                      <w:color w:val="000000" w:themeColor="text1"/>
                      <w:sz w:val="21"/>
                      <w:szCs w:val="21"/>
                      <w:highlight w:val="none"/>
                      <w:u w:val="none" w:color="auto"/>
                      <w:lang w:val="en-US" w:eastAsia="zh-CN"/>
                      <w14:textFill>
                        <w14:solidFill>
                          <w14:schemeClr w14:val="tx1"/>
                        </w14:solidFill>
                      </w14:textFill>
                    </w:rPr>
                    <w:t>t</w:t>
                  </w:r>
                  <w:r>
                    <w:rPr>
                      <w:rFonts w:hint="default"/>
                      <w:color w:val="000000" w:themeColor="text1"/>
                      <w:sz w:val="21"/>
                      <w:szCs w:val="21"/>
                      <w:highlight w:val="none"/>
                      <w:u w:val="none" w:color="auto"/>
                      <w14:textFill>
                        <w14:solidFill>
                          <w14:schemeClr w14:val="tx1"/>
                        </w14:solidFill>
                      </w14:textFill>
                    </w:rPr>
                    <w:t>-原料</w:t>
                  </w:r>
                </w:p>
              </w:tc>
              <w:tc>
                <w:tcPr>
                  <w:tcW w:w="546" w:type="pct"/>
                  <w:shd w:val="clear" w:color="auto" w:fill="auto"/>
                  <w:noWrap w:val="0"/>
                  <w:vAlign w:val="center"/>
                </w:tcPr>
                <w:p w14:paraId="2BDBC455">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eastAsia"/>
                      <w:color w:val="000000" w:themeColor="text1"/>
                      <w:sz w:val="21"/>
                      <w:szCs w:val="21"/>
                      <w:highlight w:val="none"/>
                      <w:u w:val="none" w:color="auto"/>
                      <w:lang w:val="en-US" w:eastAsia="zh-CN"/>
                      <w14:textFill>
                        <w14:solidFill>
                          <w14:schemeClr w14:val="tx1"/>
                        </w14:solidFill>
                      </w14:textFill>
                    </w:rPr>
                    <w:t>1.02</w:t>
                  </w:r>
                </w:p>
              </w:tc>
              <w:tc>
                <w:tcPr>
                  <w:tcW w:w="765" w:type="pct"/>
                  <w:shd w:val="clear" w:color="auto" w:fill="auto"/>
                  <w:noWrap w:val="0"/>
                  <w:vAlign w:val="center"/>
                </w:tcPr>
                <w:p w14:paraId="5DFDC870">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t>0.612kg/a</w:t>
                  </w:r>
                </w:p>
              </w:tc>
              <w:tc>
                <w:tcPr>
                  <w:tcW w:w="649" w:type="pct"/>
                  <w:tcBorders>
                    <w:right w:val="single" w:color="auto" w:sz="4" w:space="0"/>
                  </w:tcBorders>
                  <w:shd w:val="clear" w:color="auto" w:fill="auto"/>
                  <w:noWrap w:val="0"/>
                  <w:vAlign w:val="center"/>
                </w:tcPr>
                <w:p w14:paraId="4A8F3CEB">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t>0.003</w:t>
                  </w:r>
                </w:p>
              </w:tc>
              <w:tc>
                <w:tcPr>
                  <w:tcW w:w="649" w:type="pct"/>
                  <w:tcBorders>
                    <w:right w:val="single" w:color="auto" w:sz="4" w:space="0"/>
                  </w:tcBorders>
                  <w:shd w:val="clear" w:color="auto" w:fill="auto"/>
                  <w:noWrap w:val="0"/>
                  <w:vAlign w:val="center"/>
                </w:tcPr>
                <w:p w14:paraId="287911AD">
                  <w:pPr>
                    <w:keepNext w:val="0"/>
                    <w:keepLines w:val="0"/>
                    <w:suppressLineNumbers w:val="0"/>
                    <w:adjustRightInd w:val="0"/>
                    <w:snapToGrid w:val="0"/>
                    <w:spacing w:before="0" w:beforeAutospacing="0" w:after="0" w:afterAutospacing="0" w:line="240" w:lineRule="auto"/>
                    <w:ind w:left="0" w:leftChars="0" w:right="0" w:rightChars="0"/>
                    <w:jc w:val="center"/>
                    <w:rPr>
                      <w:rFonts w:hint="eastAsia"/>
                      <w:color w:val="000000" w:themeColor="text1"/>
                      <w:sz w:val="21"/>
                      <w:szCs w:val="21"/>
                      <w:u w:val="none" w:color="auto"/>
                      <w:lang w:val="en-US" w:eastAsia="zh-CN"/>
                      <w14:textFill>
                        <w14:solidFill>
                          <w14:schemeClr w14:val="tx1"/>
                        </w14:solidFill>
                      </w14:textFill>
                    </w:rPr>
                  </w:pPr>
                  <w:r>
                    <w:rPr>
                      <w:rFonts w:hint="eastAsia"/>
                      <w:color w:val="000000" w:themeColor="text1"/>
                      <w:sz w:val="21"/>
                      <w:szCs w:val="21"/>
                      <w:u w:val="none" w:color="auto"/>
                      <w:lang w:val="en-US" w:eastAsia="zh-CN"/>
                      <w14:textFill>
                        <w14:solidFill>
                          <w14:schemeClr w14:val="tx1"/>
                        </w14:solidFill>
                      </w14:textFill>
                    </w:rPr>
                    <w:t>200h/a</w:t>
                  </w:r>
                </w:p>
              </w:tc>
            </w:tr>
            <w:tr w14:paraId="3AD958C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75" w:type="pct"/>
                  <w:vMerge w:val="restart"/>
                  <w:tcBorders>
                    <w:left w:val="single" w:color="auto" w:sz="4" w:space="0"/>
                  </w:tcBorders>
                  <w:noWrap w:val="0"/>
                  <w:vAlign w:val="center"/>
                </w:tcPr>
                <w:p w14:paraId="614D5389">
                  <w:pPr>
                    <w:keepNext w:val="0"/>
                    <w:keepLines w:val="0"/>
                    <w:suppressLineNumbers w:val="0"/>
                    <w:adjustRightInd w:val="0"/>
                    <w:snapToGrid w:val="0"/>
                    <w:spacing w:before="0" w:beforeAutospacing="0" w:after="0" w:afterAutospacing="0" w:line="240" w:lineRule="auto"/>
                    <w:ind w:left="0" w:right="0"/>
                    <w:jc w:val="center"/>
                    <w:rPr>
                      <w:rFonts w:hint="eastAsia" w:eastAsia="宋体"/>
                      <w:color w:val="000000" w:themeColor="text1"/>
                      <w:sz w:val="21"/>
                      <w:szCs w:val="21"/>
                      <w:u w:val="none" w:color="auto"/>
                      <w:lang w:val="en-US" w:eastAsia="zh-CN"/>
                      <w14:textFill>
                        <w14:solidFill>
                          <w14:schemeClr w14:val="tx1"/>
                        </w14:solidFill>
                      </w14:textFill>
                    </w:rPr>
                  </w:pPr>
                  <w:r>
                    <w:rPr>
                      <w:rFonts w:hint="eastAsia"/>
                      <w:color w:val="000000" w:themeColor="text1"/>
                      <w:sz w:val="21"/>
                      <w:szCs w:val="21"/>
                      <w:u w:val="none" w:color="auto"/>
                      <w:lang w:val="en-US" w:eastAsia="zh-CN"/>
                      <w14:textFill>
                        <w14:solidFill>
                          <w14:schemeClr w14:val="tx1"/>
                        </w14:solidFill>
                      </w14:textFill>
                    </w:rPr>
                    <w:t>合计</w:t>
                  </w:r>
                </w:p>
              </w:tc>
              <w:tc>
                <w:tcPr>
                  <w:tcW w:w="667" w:type="pct"/>
                  <w:tcBorders>
                    <w:bottom w:val="single" w:color="auto" w:sz="4" w:space="0"/>
                  </w:tcBorders>
                  <w:shd w:val="clear" w:color="auto" w:fill="auto"/>
                  <w:noWrap w:val="0"/>
                  <w:vAlign w:val="center"/>
                </w:tcPr>
                <w:p w14:paraId="16BA5B1A">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color w:val="000000" w:themeColor="text1"/>
                      <w:sz w:val="21"/>
                      <w:szCs w:val="21"/>
                      <w:u w:val="none" w:color="auto"/>
                      <w14:textFill>
                        <w14:solidFill>
                          <w14:schemeClr w14:val="tx1"/>
                        </w14:solidFill>
                      </w14:textFill>
                    </w:rPr>
                    <w:t>SO</w:t>
                  </w:r>
                  <w:r>
                    <w:rPr>
                      <w:rFonts w:hint="default"/>
                      <w:color w:val="000000" w:themeColor="text1"/>
                      <w:sz w:val="21"/>
                      <w:szCs w:val="21"/>
                      <w:u w:val="none" w:color="auto"/>
                      <w:vertAlign w:val="subscript"/>
                      <w14:textFill>
                        <w14:solidFill>
                          <w14:schemeClr w14:val="tx1"/>
                        </w14:solidFill>
                      </w14:textFill>
                    </w:rPr>
                    <w:t>2</w:t>
                  </w:r>
                </w:p>
              </w:tc>
              <w:tc>
                <w:tcPr>
                  <w:tcW w:w="845" w:type="pct"/>
                  <w:tcBorders>
                    <w:bottom w:val="single" w:color="auto" w:sz="4" w:space="0"/>
                  </w:tcBorders>
                  <w:shd w:val="clear" w:color="auto" w:fill="auto"/>
                  <w:noWrap w:val="0"/>
                  <w:vAlign w:val="center"/>
                </w:tcPr>
                <w:p w14:paraId="7A66FC29">
                  <w:pPr>
                    <w:keepNext w:val="0"/>
                    <w:keepLines w:val="0"/>
                    <w:suppressLineNumbers w:val="0"/>
                    <w:adjustRightInd w:val="0"/>
                    <w:snapToGrid w:val="0"/>
                    <w:spacing w:before="0" w:beforeAutospacing="0" w:after="0" w:afterAutospacing="0" w:line="240" w:lineRule="auto"/>
                    <w:ind w:left="0" w:leftChars="0" w:right="0" w:rightChars="0"/>
                    <w:jc w:val="center"/>
                    <w:rPr>
                      <w:rFonts w:hint="eastAsia" w:eastAsia="宋体"/>
                      <w:color w:val="000000" w:themeColor="text1"/>
                      <w:sz w:val="21"/>
                      <w:szCs w:val="21"/>
                      <w:u w:val="none" w:color="auto"/>
                      <w:lang w:val="en-US" w:eastAsia="zh-CN"/>
                      <w14:textFill>
                        <w14:solidFill>
                          <w14:schemeClr w14:val="tx1"/>
                        </w14:solidFill>
                      </w14:textFill>
                    </w:rPr>
                  </w:pPr>
                  <w:r>
                    <w:rPr>
                      <w:rFonts w:hint="eastAsia"/>
                      <w:color w:val="000000" w:themeColor="text1"/>
                      <w:sz w:val="21"/>
                      <w:szCs w:val="21"/>
                      <w:u w:val="none" w:color="auto"/>
                      <w:lang w:val="en-US" w:eastAsia="zh-CN"/>
                      <w14:textFill>
                        <w14:solidFill>
                          <w14:schemeClr w14:val="tx1"/>
                        </w14:solidFill>
                      </w14:textFill>
                    </w:rPr>
                    <w:t>/</w:t>
                  </w:r>
                </w:p>
              </w:tc>
              <w:tc>
                <w:tcPr>
                  <w:tcW w:w="546" w:type="pct"/>
                  <w:tcBorders>
                    <w:bottom w:val="single" w:color="auto" w:sz="4" w:space="0"/>
                  </w:tcBorders>
                  <w:shd w:val="clear" w:color="auto" w:fill="auto"/>
                  <w:noWrap w:val="0"/>
                  <w:vAlign w:val="center"/>
                </w:tcPr>
                <w:p w14:paraId="2BE7F000">
                  <w:pPr>
                    <w:keepNext w:val="0"/>
                    <w:keepLines w:val="0"/>
                    <w:suppressLineNumbers w:val="0"/>
                    <w:adjustRightInd w:val="0"/>
                    <w:snapToGrid w:val="0"/>
                    <w:spacing w:before="0" w:beforeAutospacing="0" w:after="0" w:afterAutospacing="0" w:line="240" w:lineRule="auto"/>
                    <w:ind w:left="0" w:right="0"/>
                    <w:jc w:val="center"/>
                    <w:rPr>
                      <w:rFonts w:hint="default"/>
                      <w:color w:val="000000" w:themeColor="text1"/>
                      <w:sz w:val="21"/>
                      <w:szCs w:val="21"/>
                      <w:u w:val="none" w:color="auto"/>
                      <w:lang w:val="en-US" w:eastAsia="zh-CN"/>
                      <w14:textFill>
                        <w14:solidFill>
                          <w14:schemeClr w14:val="tx1"/>
                        </w14:solidFill>
                      </w14:textFill>
                    </w:rPr>
                  </w:pPr>
                  <w:r>
                    <w:rPr>
                      <w:rFonts w:hint="eastAsia"/>
                      <w:color w:val="000000" w:themeColor="text1"/>
                      <w:sz w:val="21"/>
                      <w:szCs w:val="21"/>
                      <w:u w:val="none" w:color="auto"/>
                      <w:lang w:val="en-US" w:eastAsia="zh-CN"/>
                      <w14:textFill>
                        <w14:solidFill>
                          <w14:schemeClr w14:val="tx1"/>
                        </w14:solidFill>
                      </w14:textFill>
                    </w:rPr>
                    <w:t>/</w:t>
                  </w:r>
                </w:p>
              </w:tc>
              <w:tc>
                <w:tcPr>
                  <w:tcW w:w="765" w:type="pct"/>
                  <w:tcBorders>
                    <w:bottom w:val="single" w:color="auto" w:sz="4" w:space="0"/>
                  </w:tcBorders>
                  <w:shd w:val="clear" w:color="auto" w:fill="auto"/>
                  <w:noWrap w:val="0"/>
                  <w:vAlign w:val="center"/>
                </w:tcPr>
                <w:p w14:paraId="463A9152">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t>0.004</w:t>
                  </w:r>
                </w:p>
              </w:tc>
              <w:tc>
                <w:tcPr>
                  <w:tcW w:w="1193" w:type="dxa"/>
                  <w:tcBorders>
                    <w:bottom w:val="single" w:color="auto" w:sz="4" w:space="0"/>
                    <w:right w:val="single" w:color="auto" w:sz="4" w:space="0"/>
                  </w:tcBorders>
                  <w:shd w:val="clear" w:color="auto" w:fill="auto"/>
                  <w:noWrap w:val="0"/>
                  <w:vAlign w:val="center"/>
                </w:tcPr>
                <w:p w14:paraId="7046B8E1">
                  <w:pPr>
                    <w:keepNext w:val="0"/>
                    <w:keepLines w:val="0"/>
                    <w:widowControl/>
                    <w:suppressLineNumbers w:val="0"/>
                    <w:jc w:val="center"/>
                    <w:textAlignment w:val="center"/>
                    <w:rPr>
                      <w:rFonts w:hint="default" w:ascii="Times New Roman" w:hAnsi="Times New Roman"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0.007</w:t>
                  </w:r>
                </w:p>
              </w:tc>
              <w:tc>
                <w:tcPr>
                  <w:tcW w:w="649" w:type="pct"/>
                  <w:tcBorders>
                    <w:bottom w:val="single" w:color="auto" w:sz="4" w:space="0"/>
                    <w:right w:val="single" w:color="auto" w:sz="4" w:space="0"/>
                  </w:tcBorders>
                  <w:shd w:val="clear" w:color="auto" w:fill="auto"/>
                  <w:noWrap w:val="0"/>
                  <w:vAlign w:val="center"/>
                </w:tcPr>
                <w:p w14:paraId="7A54795C">
                  <w:pPr>
                    <w:keepNext w:val="0"/>
                    <w:keepLines w:val="0"/>
                    <w:suppressLineNumbers w:val="0"/>
                    <w:adjustRightInd w:val="0"/>
                    <w:snapToGrid w:val="0"/>
                    <w:spacing w:before="0" w:beforeAutospacing="0" w:after="0" w:afterAutospacing="0" w:line="240" w:lineRule="auto"/>
                    <w:ind w:left="0" w:right="0"/>
                    <w:jc w:val="center"/>
                    <w:rPr>
                      <w:rFonts w:hint="default"/>
                      <w:color w:val="000000" w:themeColor="text1"/>
                      <w:sz w:val="21"/>
                      <w:szCs w:val="21"/>
                      <w:highlight w:val="none"/>
                      <w:u w:val="none" w:color="auto"/>
                      <w:lang w:val="en-US" w:eastAsia="zh-CN"/>
                      <w14:textFill>
                        <w14:solidFill>
                          <w14:schemeClr w14:val="tx1"/>
                        </w14:solidFill>
                      </w14:textFill>
                    </w:rPr>
                  </w:pPr>
                  <w:r>
                    <w:rPr>
                      <w:rFonts w:hint="eastAsia"/>
                      <w:color w:val="000000" w:themeColor="text1"/>
                      <w:sz w:val="21"/>
                      <w:szCs w:val="21"/>
                      <w:highlight w:val="none"/>
                      <w:u w:val="none" w:color="auto"/>
                      <w:lang w:val="en-US" w:eastAsia="zh-CN"/>
                      <w14:textFill>
                        <w14:solidFill>
                          <w14:schemeClr w14:val="tx1"/>
                        </w14:solidFill>
                      </w14:textFill>
                    </w:rPr>
                    <w:t>/</w:t>
                  </w:r>
                </w:p>
              </w:tc>
            </w:tr>
            <w:tr w14:paraId="3B14DFF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75" w:type="pct"/>
                  <w:vMerge w:val="continue"/>
                  <w:tcBorders>
                    <w:left w:val="single" w:color="auto" w:sz="4" w:space="0"/>
                  </w:tcBorders>
                </w:tcPr>
                <w:p w14:paraId="2E2FDE7E">
                  <w:pPr>
                    <w:keepNext w:val="0"/>
                    <w:keepLines w:val="0"/>
                    <w:suppressLineNumbers w:val="0"/>
                    <w:adjustRightInd w:val="0"/>
                    <w:snapToGrid w:val="0"/>
                    <w:spacing w:before="0" w:beforeAutospacing="0" w:after="0" w:afterAutospacing="0" w:line="240" w:lineRule="auto"/>
                    <w:ind w:left="0" w:right="0"/>
                    <w:jc w:val="center"/>
                    <w:rPr>
                      <w:rFonts w:hint="eastAsia" w:eastAsia="宋体"/>
                      <w:color w:val="000000" w:themeColor="text1"/>
                      <w:sz w:val="21"/>
                      <w:szCs w:val="21"/>
                      <w:u w:val="none" w:color="auto"/>
                      <w:lang w:val="en-US" w:eastAsia="zh-CN"/>
                      <w14:textFill>
                        <w14:solidFill>
                          <w14:schemeClr w14:val="tx1"/>
                        </w14:solidFill>
                      </w14:textFill>
                    </w:rPr>
                  </w:pPr>
                </w:p>
              </w:tc>
              <w:tc>
                <w:tcPr>
                  <w:tcW w:w="667" w:type="pct"/>
                  <w:shd w:val="clear" w:color="auto" w:fill="auto"/>
                  <w:vAlign w:val="center"/>
                </w:tcPr>
                <w:p w14:paraId="603553A6">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color w:val="000000" w:themeColor="text1"/>
                      <w:sz w:val="21"/>
                      <w:szCs w:val="21"/>
                      <w:u w:val="none" w:color="auto"/>
                      <w14:textFill>
                        <w14:solidFill>
                          <w14:schemeClr w14:val="tx1"/>
                        </w14:solidFill>
                      </w14:textFill>
                    </w:rPr>
                    <w:t>烟尘</w:t>
                  </w:r>
                </w:p>
              </w:tc>
              <w:tc>
                <w:tcPr>
                  <w:tcW w:w="845" w:type="pct"/>
                  <w:vAlign w:val="center"/>
                </w:tcPr>
                <w:p w14:paraId="1BF83860">
                  <w:pPr>
                    <w:keepNext w:val="0"/>
                    <w:keepLines w:val="0"/>
                    <w:suppressLineNumbers w:val="0"/>
                    <w:adjustRightInd w:val="0"/>
                    <w:snapToGrid w:val="0"/>
                    <w:spacing w:before="0" w:beforeAutospacing="0" w:after="0" w:afterAutospacing="0" w:line="240" w:lineRule="auto"/>
                    <w:ind w:left="0" w:leftChars="0" w:right="0" w:rightChars="0"/>
                    <w:jc w:val="center"/>
                    <w:rPr>
                      <w:rFonts w:hint="eastAsia" w:eastAsia="宋体"/>
                      <w:color w:val="000000" w:themeColor="text1"/>
                      <w:sz w:val="21"/>
                      <w:szCs w:val="21"/>
                      <w:u w:val="none" w:color="auto"/>
                      <w:lang w:val="en-US" w:eastAsia="zh-CN"/>
                      <w14:textFill>
                        <w14:solidFill>
                          <w14:schemeClr w14:val="tx1"/>
                        </w14:solidFill>
                      </w14:textFill>
                    </w:rPr>
                  </w:pPr>
                  <w:r>
                    <w:rPr>
                      <w:rFonts w:hint="eastAsia"/>
                      <w:color w:val="000000" w:themeColor="text1"/>
                      <w:sz w:val="21"/>
                      <w:szCs w:val="21"/>
                      <w:u w:val="none" w:color="auto"/>
                      <w:lang w:val="en-US" w:eastAsia="zh-CN"/>
                      <w14:textFill>
                        <w14:solidFill>
                          <w14:schemeClr w14:val="tx1"/>
                        </w14:solidFill>
                      </w14:textFill>
                    </w:rPr>
                    <w:t>/</w:t>
                  </w:r>
                </w:p>
              </w:tc>
              <w:tc>
                <w:tcPr>
                  <w:tcW w:w="546" w:type="pct"/>
                  <w:vAlign w:val="center"/>
                </w:tcPr>
                <w:p w14:paraId="58B57CEB">
                  <w:pPr>
                    <w:keepNext w:val="0"/>
                    <w:keepLines w:val="0"/>
                    <w:suppressLineNumbers w:val="0"/>
                    <w:adjustRightInd w:val="0"/>
                    <w:snapToGrid w:val="0"/>
                    <w:spacing w:before="0" w:beforeAutospacing="0" w:after="0" w:afterAutospacing="0" w:line="240" w:lineRule="auto"/>
                    <w:ind w:left="0" w:right="0"/>
                    <w:jc w:val="center"/>
                    <w:rPr>
                      <w:rFonts w:hint="default"/>
                      <w:color w:val="000000" w:themeColor="text1"/>
                      <w:sz w:val="21"/>
                      <w:szCs w:val="21"/>
                      <w:u w:val="none" w:color="auto"/>
                      <w:lang w:val="en-US" w:eastAsia="zh-CN"/>
                      <w14:textFill>
                        <w14:solidFill>
                          <w14:schemeClr w14:val="tx1"/>
                        </w14:solidFill>
                      </w14:textFill>
                    </w:rPr>
                  </w:pPr>
                  <w:r>
                    <w:rPr>
                      <w:rFonts w:hint="eastAsia"/>
                      <w:color w:val="000000" w:themeColor="text1"/>
                      <w:sz w:val="21"/>
                      <w:szCs w:val="21"/>
                      <w:u w:val="none" w:color="auto"/>
                      <w:lang w:val="en-US" w:eastAsia="zh-CN"/>
                      <w14:textFill>
                        <w14:solidFill>
                          <w14:schemeClr w14:val="tx1"/>
                        </w14:solidFill>
                      </w14:textFill>
                    </w:rPr>
                    <w:t>/</w:t>
                  </w:r>
                </w:p>
              </w:tc>
              <w:tc>
                <w:tcPr>
                  <w:tcW w:w="765" w:type="pct"/>
                  <w:shd w:val="clear" w:color="auto" w:fill="auto"/>
                  <w:vAlign w:val="center"/>
                </w:tcPr>
                <w:p w14:paraId="5D542182">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t>0.002</w:t>
                  </w:r>
                </w:p>
              </w:tc>
              <w:tc>
                <w:tcPr>
                  <w:tcW w:w="1193" w:type="dxa"/>
                  <w:vAlign w:val="center"/>
                </w:tcPr>
                <w:p w14:paraId="68570523">
                  <w:pPr>
                    <w:keepNext w:val="0"/>
                    <w:keepLines w:val="0"/>
                    <w:widowControl/>
                    <w:suppressLineNumbers w:val="0"/>
                    <w:jc w:val="center"/>
                    <w:textAlignment w:val="center"/>
                    <w:rPr>
                      <w:rFonts w:hint="default" w:ascii="Times New Roman" w:hAnsi="Times New Roman"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0.004</w:t>
                  </w:r>
                </w:p>
              </w:tc>
              <w:tc>
                <w:tcPr>
                  <w:tcW w:w="649" w:type="pct"/>
                  <w:tcBorders>
                    <w:right w:val="single" w:color="auto" w:sz="4" w:space="0"/>
                  </w:tcBorders>
                  <w:vAlign w:val="center"/>
                </w:tcPr>
                <w:p w14:paraId="6708387C">
                  <w:pPr>
                    <w:keepNext w:val="0"/>
                    <w:keepLines w:val="0"/>
                    <w:suppressLineNumbers w:val="0"/>
                    <w:adjustRightInd w:val="0"/>
                    <w:snapToGrid w:val="0"/>
                    <w:spacing w:before="0" w:beforeAutospacing="0" w:after="0" w:afterAutospacing="0" w:line="240" w:lineRule="auto"/>
                    <w:ind w:left="0" w:right="0"/>
                    <w:jc w:val="center"/>
                    <w:rPr>
                      <w:rFonts w:hint="default"/>
                      <w:color w:val="000000" w:themeColor="text1"/>
                      <w:sz w:val="21"/>
                      <w:szCs w:val="21"/>
                      <w:highlight w:val="none"/>
                      <w:u w:val="none" w:color="auto"/>
                      <w:lang w:val="en-US" w:eastAsia="zh-CN"/>
                      <w14:textFill>
                        <w14:solidFill>
                          <w14:schemeClr w14:val="tx1"/>
                        </w14:solidFill>
                      </w14:textFill>
                    </w:rPr>
                  </w:pPr>
                  <w:r>
                    <w:rPr>
                      <w:rFonts w:hint="eastAsia"/>
                      <w:color w:val="000000" w:themeColor="text1"/>
                      <w:sz w:val="21"/>
                      <w:szCs w:val="21"/>
                      <w:highlight w:val="none"/>
                      <w:u w:val="none" w:color="auto"/>
                      <w:lang w:val="en-US" w:eastAsia="zh-CN"/>
                      <w14:textFill>
                        <w14:solidFill>
                          <w14:schemeClr w14:val="tx1"/>
                        </w14:solidFill>
                      </w14:textFill>
                    </w:rPr>
                    <w:t>/</w:t>
                  </w:r>
                </w:p>
              </w:tc>
            </w:tr>
            <w:tr w14:paraId="720B176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75" w:type="pct"/>
                  <w:vMerge w:val="continue"/>
                  <w:tcBorders>
                    <w:left w:val="single" w:color="auto" w:sz="4" w:space="0"/>
                    <w:bottom w:val="single" w:color="auto" w:sz="4" w:space="0"/>
                  </w:tcBorders>
                </w:tcPr>
                <w:p w14:paraId="57989E81">
                  <w:pPr>
                    <w:keepNext w:val="0"/>
                    <w:keepLines w:val="0"/>
                    <w:suppressLineNumbers w:val="0"/>
                    <w:adjustRightInd w:val="0"/>
                    <w:snapToGrid w:val="0"/>
                    <w:spacing w:before="0" w:beforeAutospacing="0" w:after="0" w:afterAutospacing="0" w:line="240" w:lineRule="auto"/>
                    <w:ind w:left="0" w:right="0"/>
                    <w:jc w:val="center"/>
                    <w:rPr>
                      <w:rFonts w:hint="eastAsia" w:eastAsia="宋体"/>
                      <w:color w:val="000000" w:themeColor="text1"/>
                      <w:sz w:val="21"/>
                      <w:szCs w:val="21"/>
                      <w:u w:val="none" w:color="auto"/>
                      <w:lang w:val="en-US" w:eastAsia="zh-CN"/>
                      <w14:textFill>
                        <w14:solidFill>
                          <w14:schemeClr w14:val="tx1"/>
                        </w14:solidFill>
                      </w14:textFill>
                    </w:rPr>
                  </w:pPr>
                </w:p>
              </w:tc>
              <w:tc>
                <w:tcPr>
                  <w:tcW w:w="667" w:type="pct"/>
                  <w:tcBorders>
                    <w:bottom w:val="single" w:color="auto" w:sz="4" w:space="0"/>
                  </w:tcBorders>
                  <w:shd w:val="clear" w:color="auto" w:fill="auto"/>
                  <w:vAlign w:val="center"/>
                </w:tcPr>
                <w:p w14:paraId="3B7D426C">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color w:val="000000" w:themeColor="text1"/>
                      <w:sz w:val="21"/>
                      <w:szCs w:val="21"/>
                      <w:u w:val="none" w:color="auto"/>
                      <w14:textFill>
                        <w14:solidFill>
                          <w14:schemeClr w14:val="tx1"/>
                        </w14:solidFill>
                      </w14:textFill>
                    </w:rPr>
                    <w:t>NO</w:t>
                  </w:r>
                  <w:r>
                    <w:rPr>
                      <w:rFonts w:hint="default"/>
                      <w:color w:val="000000" w:themeColor="text1"/>
                      <w:sz w:val="21"/>
                      <w:szCs w:val="21"/>
                      <w:u w:val="none" w:color="auto"/>
                      <w:vertAlign w:val="subscript"/>
                      <w14:textFill>
                        <w14:solidFill>
                          <w14:schemeClr w14:val="tx1"/>
                        </w14:solidFill>
                      </w14:textFill>
                    </w:rPr>
                    <w:t>X</w:t>
                  </w:r>
                </w:p>
              </w:tc>
              <w:tc>
                <w:tcPr>
                  <w:tcW w:w="845" w:type="pct"/>
                  <w:tcBorders>
                    <w:bottom w:val="single" w:color="auto" w:sz="4" w:space="0"/>
                  </w:tcBorders>
                  <w:vAlign w:val="center"/>
                </w:tcPr>
                <w:p w14:paraId="563F2F7C">
                  <w:pPr>
                    <w:keepNext w:val="0"/>
                    <w:keepLines w:val="0"/>
                    <w:suppressLineNumbers w:val="0"/>
                    <w:adjustRightInd w:val="0"/>
                    <w:snapToGrid w:val="0"/>
                    <w:spacing w:before="0" w:beforeAutospacing="0" w:after="0" w:afterAutospacing="0" w:line="240" w:lineRule="auto"/>
                    <w:ind w:left="0" w:leftChars="0" w:right="0" w:rightChars="0"/>
                    <w:jc w:val="center"/>
                    <w:rPr>
                      <w:rFonts w:hint="eastAsia" w:eastAsia="宋体"/>
                      <w:color w:val="000000" w:themeColor="text1"/>
                      <w:sz w:val="21"/>
                      <w:szCs w:val="21"/>
                      <w:u w:val="none" w:color="auto"/>
                      <w:lang w:val="en-US" w:eastAsia="zh-CN"/>
                      <w14:textFill>
                        <w14:solidFill>
                          <w14:schemeClr w14:val="tx1"/>
                        </w14:solidFill>
                      </w14:textFill>
                    </w:rPr>
                  </w:pPr>
                  <w:r>
                    <w:rPr>
                      <w:rFonts w:hint="eastAsia"/>
                      <w:color w:val="000000" w:themeColor="text1"/>
                      <w:sz w:val="21"/>
                      <w:szCs w:val="21"/>
                      <w:u w:val="none" w:color="auto"/>
                      <w:lang w:val="en-US" w:eastAsia="zh-CN"/>
                      <w14:textFill>
                        <w14:solidFill>
                          <w14:schemeClr w14:val="tx1"/>
                        </w14:solidFill>
                      </w14:textFill>
                    </w:rPr>
                    <w:t>/</w:t>
                  </w:r>
                </w:p>
              </w:tc>
              <w:tc>
                <w:tcPr>
                  <w:tcW w:w="546" w:type="pct"/>
                  <w:tcBorders>
                    <w:bottom w:val="single" w:color="auto" w:sz="4" w:space="0"/>
                  </w:tcBorders>
                  <w:vAlign w:val="center"/>
                </w:tcPr>
                <w:p w14:paraId="33CE9FCB">
                  <w:pPr>
                    <w:keepNext w:val="0"/>
                    <w:keepLines w:val="0"/>
                    <w:suppressLineNumbers w:val="0"/>
                    <w:adjustRightInd w:val="0"/>
                    <w:snapToGrid w:val="0"/>
                    <w:spacing w:before="0" w:beforeAutospacing="0" w:after="0" w:afterAutospacing="0" w:line="240" w:lineRule="auto"/>
                    <w:ind w:left="0" w:right="0"/>
                    <w:jc w:val="center"/>
                    <w:rPr>
                      <w:rFonts w:hint="default"/>
                      <w:color w:val="000000" w:themeColor="text1"/>
                      <w:sz w:val="21"/>
                      <w:szCs w:val="21"/>
                      <w:u w:val="none" w:color="auto"/>
                      <w:lang w:val="en-US" w:eastAsia="zh-CN"/>
                      <w14:textFill>
                        <w14:solidFill>
                          <w14:schemeClr w14:val="tx1"/>
                        </w14:solidFill>
                      </w14:textFill>
                    </w:rPr>
                  </w:pPr>
                  <w:r>
                    <w:rPr>
                      <w:rFonts w:hint="eastAsia"/>
                      <w:color w:val="000000" w:themeColor="text1"/>
                      <w:sz w:val="21"/>
                      <w:szCs w:val="21"/>
                      <w:u w:val="none" w:color="auto"/>
                      <w:lang w:val="en-US" w:eastAsia="zh-CN"/>
                      <w14:textFill>
                        <w14:solidFill>
                          <w14:schemeClr w14:val="tx1"/>
                        </w14:solidFill>
                      </w14:textFill>
                    </w:rPr>
                    <w:t>/</w:t>
                  </w:r>
                </w:p>
              </w:tc>
              <w:tc>
                <w:tcPr>
                  <w:tcW w:w="765" w:type="pct"/>
                  <w:tcBorders>
                    <w:bottom w:val="single" w:color="auto" w:sz="4" w:space="0"/>
                  </w:tcBorders>
                  <w:shd w:val="clear" w:color="auto" w:fill="auto"/>
                  <w:vAlign w:val="center"/>
                </w:tcPr>
                <w:p w14:paraId="6690EB5C">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t>0.057</w:t>
                  </w:r>
                </w:p>
              </w:tc>
              <w:tc>
                <w:tcPr>
                  <w:tcW w:w="1193" w:type="dxa"/>
                  <w:tcBorders>
                    <w:bottom w:val="single" w:color="auto" w:sz="4" w:space="0"/>
                  </w:tcBorders>
                  <w:vAlign w:val="center"/>
                </w:tcPr>
                <w:p w14:paraId="10CFA0B2">
                  <w:pPr>
                    <w:keepNext w:val="0"/>
                    <w:keepLines w:val="0"/>
                    <w:widowControl/>
                    <w:suppressLineNumbers w:val="0"/>
                    <w:jc w:val="center"/>
                    <w:textAlignment w:val="center"/>
                    <w:rPr>
                      <w:rFonts w:hint="default" w:ascii="Times New Roman" w:hAnsi="Times New Roman"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0.059</w:t>
                  </w:r>
                </w:p>
              </w:tc>
              <w:tc>
                <w:tcPr>
                  <w:tcW w:w="649" w:type="pct"/>
                  <w:tcBorders>
                    <w:bottom w:val="single" w:color="auto" w:sz="4" w:space="0"/>
                    <w:right w:val="single" w:color="auto" w:sz="4" w:space="0"/>
                  </w:tcBorders>
                  <w:vAlign w:val="center"/>
                </w:tcPr>
                <w:p w14:paraId="21A02ADA">
                  <w:pPr>
                    <w:keepNext w:val="0"/>
                    <w:keepLines w:val="0"/>
                    <w:suppressLineNumbers w:val="0"/>
                    <w:adjustRightInd w:val="0"/>
                    <w:snapToGrid w:val="0"/>
                    <w:spacing w:before="0" w:beforeAutospacing="0" w:after="0" w:afterAutospacing="0" w:line="240" w:lineRule="auto"/>
                    <w:ind w:left="0" w:right="0"/>
                    <w:jc w:val="center"/>
                    <w:rPr>
                      <w:rFonts w:hint="default"/>
                      <w:color w:val="000000" w:themeColor="text1"/>
                      <w:sz w:val="21"/>
                      <w:szCs w:val="21"/>
                      <w:highlight w:val="none"/>
                      <w:u w:val="none" w:color="auto"/>
                      <w:lang w:val="en-US" w:eastAsia="zh-CN"/>
                      <w14:textFill>
                        <w14:solidFill>
                          <w14:schemeClr w14:val="tx1"/>
                        </w14:solidFill>
                      </w14:textFill>
                    </w:rPr>
                  </w:pPr>
                  <w:r>
                    <w:rPr>
                      <w:rFonts w:hint="eastAsia"/>
                      <w:color w:val="000000" w:themeColor="text1"/>
                      <w:sz w:val="21"/>
                      <w:szCs w:val="21"/>
                      <w:highlight w:val="none"/>
                      <w:u w:val="none" w:color="auto"/>
                      <w:lang w:val="en-US" w:eastAsia="zh-CN"/>
                      <w14:textFill>
                        <w14:solidFill>
                          <w14:schemeClr w14:val="tx1"/>
                        </w14:solidFill>
                      </w14:textFill>
                    </w:rPr>
                    <w:t>/</w:t>
                  </w:r>
                </w:p>
              </w:tc>
            </w:tr>
          </w:tbl>
          <w:p w14:paraId="7A92AC3D">
            <w:pPr>
              <w:pStyle w:val="20"/>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b w:val="0"/>
                <w:bCs w:val="0"/>
                <w:color w:val="000000" w:themeColor="text1"/>
                <w:kern w:val="0"/>
                <w:sz w:val="24"/>
                <w:szCs w:val="24"/>
                <w:highlight w:val="none"/>
                <w:u w:val="none" w:color="auto"/>
                <w:lang w:val="en-US" w:eastAsia="zh-CN" w:bidi="ar"/>
                <w14:textFill>
                  <w14:solidFill>
                    <w14:schemeClr w14:val="tx1"/>
                  </w14:solidFill>
                </w14:textFill>
              </w:rPr>
            </w:pPr>
            <w:r>
              <w:rPr>
                <w:rFonts w:hint="default" w:ascii="Times New Roman" w:hAnsi="Times New Roman" w:eastAsia="宋体" w:cs="Times New Roman"/>
                <w:b w:val="0"/>
                <w:bCs w:val="0"/>
                <w:color w:val="000000" w:themeColor="text1"/>
                <w:kern w:val="0"/>
                <w:sz w:val="24"/>
                <w:szCs w:val="24"/>
                <w:highlight w:val="none"/>
                <w:u w:val="none" w:color="auto"/>
                <w:lang w:val="en-US" w:eastAsia="zh-CN" w:bidi="ar"/>
                <w14:textFill>
                  <w14:solidFill>
                    <w14:schemeClr w14:val="tx1"/>
                  </w14:solidFill>
                </w14:textFill>
              </w:rPr>
              <w:t>②炭化过程</w:t>
            </w:r>
            <w:r>
              <w:rPr>
                <w:rFonts w:hint="default" w:ascii="Times New Roman" w:hAnsi="Times New Roman" w:cs="Times New Roman"/>
                <w:b w:val="0"/>
                <w:bCs w:val="0"/>
                <w:color w:val="000000" w:themeColor="text1"/>
                <w:kern w:val="0"/>
                <w:sz w:val="24"/>
                <w:szCs w:val="24"/>
                <w:highlight w:val="none"/>
                <w:u w:val="none" w:color="auto"/>
                <w:lang w:val="en-US" w:eastAsia="zh-CN" w:bidi="ar"/>
                <w14:textFill>
                  <w14:solidFill>
                    <w14:schemeClr w14:val="tx1"/>
                  </w14:solidFill>
                </w14:textFill>
              </w:rPr>
              <w:t>废气</w:t>
            </w:r>
          </w:p>
          <w:p w14:paraId="174BB8C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000000" w:themeColor="text1"/>
                <w:kern w:val="0"/>
                <w:sz w:val="24"/>
                <w:szCs w:val="24"/>
                <w:u w:val="none" w:color="auto"/>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4"/>
                <w:szCs w:val="24"/>
                <w:u w:val="none" w:color="auto"/>
                <w:lang w:val="en-US" w:eastAsia="zh-CN" w:bidi="ar"/>
                <w14:textFill>
                  <w14:solidFill>
                    <w14:schemeClr w14:val="tx1"/>
                  </w14:solidFill>
                </w14:textFill>
              </w:rPr>
              <w:t>A.</w:t>
            </w:r>
            <w:r>
              <w:rPr>
                <w:rFonts w:hint="default" w:ascii="Times New Roman" w:hAnsi="Times New Roman" w:eastAsia="宋体" w:cs="Times New Roman"/>
                <w:color w:val="000000" w:themeColor="text1"/>
                <w:kern w:val="0"/>
                <w:sz w:val="24"/>
                <w:szCs w:val="24"/>
                <w:u w:val="none" w:color="auto"/>
                <w:lang w:val="en-US" w:eastAsia="zh-CN" w:bidi="ar"/>
                <w14:textFill>
                  <w14:solidFill>
                    <w14:schemeClr w14:val="tx1"/>
                  </w14:solidFill>
                </w14:textFill>
              </w:rPr>
              <w:t>可燃气体</w:t>
            </w:r>
          </w:p>
          <w:p w14:paraId="5CC2558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cs="Times New Roman"/>
                <w:color w:val="000000" w:themeColor="text1"/>
                <w:sz w:val="24"/>
                <w:szCs w:val="24"/>
                <w:u w:val="none" w:color="auto"/>
                <w14:textFill>
                  <w14:solidFill>
                    <w14:schemeClr w14:val="tx1"/>
                  </w14:solidFill>
                </w14:textFill>
              </w:rPr>
            </w:pPr>
            <w:r>
              <w:rPr>
                <w:rFonts w:hint="default" w:ascii="Times New Roman" w:hAnsi="Times New Roman" w:eastAsia="宋体" w:cs="Times New Roman"/>
                <w:color w:val="000000" w:themeColor="text1"/>
                <w:kern w:val="0"/>
                <w:sz w:val="24"/>
                <w:szCs w:val="24"/>
                <w:u w:val="none" w:color="auto"/>
                <w:lang w:val="en-US" w:eastAsia="zh-CN" w:bidi="ar"/>
                <w14:textFill>
                  <w14:solidFill>
                    <w14:schemeClr w14:val="tx1"/>
                  </w14:solidFill>
                </w14:textFill>
              </w:rPr>
              <w:t>本项目炭化工艺采用炭化窑对炭棒在缺氧条件下进行炭化处理，炭化工序产生的废气主要有木煤气、气态木醋液、气态木焦油</w:t>
            </w:r>
            <w:r>
              <w:rPr>
                <w:rFonts w:hint="default" w:ascii="Times New Roman" w:hAnsi="Times New Roman" w:cs="Times New Roman"/>
                <w:color w:val="000000" w:themeColor="text1"/>
                <w:kern w:val="0"/>
                <w:sz w:val="24"/>
                <w:szCs w:val="24"/>
                <w:u w:val="none" w:color="auto"/>
                <w:lang w:val="en-US" w:eastAsia="zh-CN" w:bidi="ar"/>
                <w14:textFill>
                  <w14:solidFill>
                    <w14:schemeClr w14:val="tx1"/>
                  </w14:solidFill>
                </w14:textFill>
              </w:rPr>
              <w:t>等。</w:t>
            </w:r>
          </w:p>
          <w:p w14:paraId="0916635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cs="Times New Roman"/>
                <w:color w:val="000000" w:themeColor="text1"/>
                <w:sz w:val="24"/>
                <w:szCs w:val="24"/>
                <w:highlight w:val="none"/>
                <w:u w:val="none" w:color="auto"/>
                <w14:textFill>
                  <w14:solidFill>
                    <w14:schemeClr w14:val="tx1"/>
                  </w14:solidFill>
                </w14:textFill>
              </w:rPr>
            </w:pPr>
            <w:r>
              <w:rPr>
                <w:rFonts w:hint="default" w:ascii="Times New Roman" w:hAnsi="Times New Roman" w:eastAsia="宋体" w:cs="Times New Roman"/>
                <w:color w:val="000000" w:themeColor="text1"/>
                <w:kern w:val="0"/>
                <w:sz w:val="24"/>
                <w:szCs w:val="24"/>
                <w:u w:val="none" w:color="auto"/>
                <w:lang w:val="en-US" w:eastAsia="zh-CN" w:bidi="ar"/>
                <w14:textFill>
                  <w14:solidFill>
                    <w14:schemeClr w14:val="tx1"/>
                  </w14:solidFill>
                </w14:textFill>
              </w:rPr>
              <w:t>木煤气主要成分为CO、CO</w:t>
            </w:r>
            <w:r>
              <w:rPr>
                <w:rFonts w:hint="default" w:ascii="Times New Roman" w:hAnsi="Times New Roman" w:eastAsia="宋体" w:cs="Times New Roman"/>
                <w:color w:val="000000" w:themeColor="text1"/>
                <w:kern w:val="0"/>
                <w:sz w:val="24"/>
                <w:szCs w:val="24"/>
                <w:u w:val="none" w:color="auto"/>
                <w:vertAlign w:val="subscript"/>
                <w:lang w:val="en-US" w:eastAsia="zh-CN" w:bidi="ar"/>
                <w14:textFill>
                  <w14:solidFill>
                    <w14:schemeClr w14:val="tx1"/>
                  </w14:solidFill>
                </w14:textFill>
              </w:rPr>
              <w:t>2</w:t>
            </w:r>
            <w:r>
              <w:rPr>
                <w:rFonts w:hint="default" w:ascii="Times New Roman" w:hAnsi="Times New Roman" w:eastAsia="宋体" w:cs="Times New Roman"/>
                <w:color w:val="000000" w:themeColor="text1"/>
                <w:kern w:val="0"/>
                <w:sz w:val="24"/>
                <w:szCs w:val="24"/>
                <w:u w:val="none" w:color="auto"/>
                <w:lang w:val="en-US" w:eastAsia="zh-CN" w:bidi="ar"/>
                <w14:textFill>
                  <w14:solidFill>
                    <w14:schemeClr w14:val="tx1"/>
                  </w14:solidFill>
                </w14:textFill>
              </w:rPr>
              <w:t>、H</w:t>
            </w:r>
            <w:r>
              <w:rPr>
                <w:rFonts w:hint="default" w:ascii="Times New Roman" w:hAnsi="Times New Roman" w:eastAsia="宋体" w:cs="Times New Roman"/>
                <w:color w:val="000000" w:themeColor="text1"/>
                <w:kern w:val="0"/>
                <w:sz w:val="24"/>
                <w:szCs w:val="24"/>
                <w:u w:val="none" w:color="auto"/>
                <w:vertAlign w:val="subscript"/>
                <w:lang w:val="en-US" w:eastAsia="zh-CN" w:bidi="ar"/>
                <w14:textFill>
                  <w14:solidFill>
                    <w14:schemeClr w14:val="tx1"/>
                  </w14:solidFill>
                </w14:textFill>
              </w:rPr>
              <w:t>2</w:t>
            </w:r>
            <w:r>
              <w:rPr>
                <w:rFonts w:hint="default" w:ascii="Times New Roman" w:hAnsi="Times New Roman" w:eastAsia="宋体" w:cs="Times New Roman"/>
                <w:color w:val="000000" w:themeColor="text1"/>
                <w:kern w:val="0"/>
                <w:sz w:val="24"/>
                <w:szCs w:val="24"/>
                <w:u w:val="none" w:color="auto"/>
                <w:lang w:val="en-US" w:eastAsia="zh-CN" w:bidi="ar"/>
                <w14:textFill>
                  <w14:solidFill>
                    <w14:schemeClr w14:val="tx1"/>
                  </w14:solidFill>
                </w14:textFill>
              </w:rPr>
              <w:t>、CH</w:t>
            </w:r>
            <w:r>
              <w:rPr>
                <w:rFonts w:hint="default" w:ascii="Times New Roman" w:hAnsi="Times New Roman" w:eastAsia="宋体" w:cs="Times New Roman"/>
                <w:color w:val="000000" w:themeColor="text1"/>
                <w:kern w:val="0"/>
                <w:sz w:val="24"/>
                <w:szCs w:val="24"/>
                <w:u w:val="none" w:color="auto"/>
                <w:vertAlign w:val="subscript"/>
                <w:lang w:val="en-US" w:eastAsia="zh-CN" w:bidi="ar"/>
                <w14:textFill>
                  <w14:solidFill>
                    <w14:schemeClr w14:val="tx1"/>
                  </w14:solidFill>
                </w14:textFill>
              </w:rPr>
              <w:t>4</w:t>
            </w:r>
            <w:r>
              <w:rPr>
                <w:rFonts w:hint="default" w:ascii="Times New Roman" w:hAnsi="Times New Roman" w:eastAsia="宋体" w:cs="Times New Roman"/>
                <w:color w:val="000000" w:themeColor="text1"/>
                <w:kern w:val="0"/>
                <w:sz w:val="24"/>
                <w:szCs w:val="24"/>
                <w:u w:val="none" w:color="auto"/>
                <w:lang w:val="en-US" w:eastAsia="zh-CN" w:bidi="ar"/>
                <w14:textFill>
                  <w14:solidFill>
                    <w14:schemeClr w14:val="tx1"/>
                  </w14:solidFill>
                </w14:textFill>
              </w:rPr>
              <w:t>等。木焦油、木醋液主要成分为烃类、酸类、酚类等有机化合物。</w:t>
            </w:r>
            <w:r>
              <w:rPr>
                <w:rFonts w:hint="default" w:ascii="Times New Roman" w:hAnsi="Times New Roman" w:cs="Times New Roman"/>
                <w:b w:val="0"/>
                <w:bCs w:val="0"/>
                <w:color w:val="000000" w:themeColor="text1"/>
                <w:sz w:val="24"/>
                <w:szCs w:val="24"/>
                <w:highlight w:val="none"/>
                <w:u w:val="none" w:color="auto"/>
                <w14:textFill>
                  <w14:solidFill>
                    <w14:schemeClr w14:val="tx1"/>
                  </w14:solidFill>
                </w14:textFill>
              </w:rPr>
              <w:t>木醋液沸点105—120℃</w:t>
            </w:r>
            <w:r>
              <w:rPr>
                <w:rFonts w:hint="default" w:ascii="Times New Roman" w:hAnsi="Times New Roman" w:cs="Times New Roman"/>
                <w:b w:val="0"/>
                <w:bCs w:val="0"/>
                <w:color w:val="000000" w:themeColor="text1"/>
                <w:sz w:val="24"/>
                <w:szCs w:val="24"/>
                <w:highlight w:val="none"/>
                <w:u w:val="none" w:color="auto"/>
                <w:lang w:eastAsia="zh-CN"/>
                <w14:textFill>
                  <w14:solidFill>
                    <w14:schemeClr w14:val="tx1"/>
                  </w14:solidFill>
                </w14:textFill>
              </w:rPr>
              <w:t>，</w:t>
            </w:r>
            <w:r>
              <w:rPr>
                <w:rFonts w:hint="default" w:ascii="Times New Roman" w:hAnsi="Times New Roman" w:cs="Times New Roman"/>
                <w:b w:val="0"/>
                <w:bCs w:val="0"/>
                <w:color w:val="000000" w:themeColor="text1"/>
                <w:sz w:val="24"/>
                <w:szCs w:val="24"/>
                <w:highlight w:val="none"/>
                <w:u w:val="none" w:color="auto"/>
                <w14:textFill>
                  <w14:solidFill>
                    <w14:schemeClr w14:val="tx1"/>
                  </w14:solidFill>
                </w14:textFill>
              </w:rPr>
              <w:t>木焦油沸点205—225℃</w:t>
            </w:r>
            <w:r>
              <w:rPr>
                <w:rFonts w:hint="default" w:ascii="Times New Roman" w:hAnsi="Times New Roman" w:eastAsia="宋体" w:cs="Times New Roman"/>
                <w:color w:val="000000" w:themeColor="text1"/>
                <w:kern w:val="0"/>
                <w:sz w:val="24"/>
                <w:szCs w:val="24"/>
                <w:u w:val="none" w:color="auto"/>
                <w:lang w:val="en-US" w:eastAsia="zh-CN" w:bidi="ar"/>
                <w14:textFill>
                  <w14:solidFill>
                    <w14:schemeClr w14:val="tx1"/>
                  </w14:solidFill>
                </w14:textFill>
              </w:rPr>
              <w:t>，而炭化热解过程温度为160℃~450℃，</w:t>
            </w:r>
            <w:r>
              <w:rPr>
                <w:rFonts w:hint="default" w:ascii="Times New Roman" w:hAnsi="Times New Roman" w:eastAsia="宋体" w:cs="Times New Roman"/>
                <w:color w:val="000000" w:themeColor="text1"/>
                <w:kern w:val="0"/>
                <w:sz w:val="24"/>
                <w:szCs w:val="24"/>
                <w:highlight w:val="none"/>
                <w:u w:val="none" w:color="auto"/>
                <w:lang w:val="en-US" w:eastAsia="zh-CN" w:bidi="ar"/>
                <w14:textFill>
                  <w14:solidFill>
                    <w14:schemeClr w14:val="tx1"/>
                  </w14:solidFill>
                </w14:textFill>
              </w:rPr>
              <w:t>木焦油、木醋液在炭化过程中会以气态存在，</w:t>
            </w:r>
            <w:r>
              <w:rPr>
                <w:rFonts w:hint="default" w:ascii="Times New Roman" w:hAnsi="Times New Roman" w:cs="Times New Roman"/>
                <w:color w:val="000000" w:themeColor="text1"/>
                <w:kern w:val="0"/>
                <w:sz w:val="24"/>
                <w:szCs w:val="24"/>
                <w:highlight w:val="none"/>
                <w:u w:val="none" w:color="auto"/>
                <w:lang w:val="en-US" w:eastAsia="zh-CN" w:bidi="ar"/>
                <w14:textFill>
                  <w14:solidFill>
                    <w14:schemeClr w14:val="tx1"/>
                  </w14:solidFill>
                </w14:textFill>
              </w:rPr>
              <w:t>经收集后冷凝下来作为副产品</w:t>
            </w:r>
            <w:r>
              <w:rPr>
                <w:rFonts w:hint="default" w:ascii="Times New Roman" w:hAnsi="Times New Roman" w:eastAsia="宋体" w:cs="Times New Roman"/>
                <w:color w:val="000000" w:themeColor="text1"/>
                <w:kern w:val="0"/>
                <w:sz w:val="24"/>
                <w:szCs w:val="24"/>
                <w:highlight w:val="none"/>
                <w:u w:val="none" w:color="auto"/>
                <w:lang w:val="en-US" w:eastAsia="zh-CN" w:bidi="ar"/>
                <w14:textFill>
                  <w14:solidFill>
                    <w14:schemeClr w14:val="tx1"/>
                  </w14:solidFill>
                </w14:textFill>
              </w:rPr>
              <w:t>。</w:t>
            </w:r>
          </w:p>
          <w:p w14:paraId="627C74B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default" w:ascii="Times New Roman" w:hAnsi="Times New Roman" w:eastAsia="宋体" w:cs="Times New Roman"/>
                <w:color w:val="000000" w:themeColor="text1"/>
                <w:kern w:val="0"/>
                <w:sz w:val="24"/>
                <w:szCs w:val="24"/>
                <w:u w:val="none" w:color="auto"/>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4"/>
                <w:szCs w:val="24"/>
                <w:highlight w:val="none"/>
                <w:u w:val="none" w:color="auto"/>
                <w:lang w:val="en-US" w:eastAsia="zh-CN" w:bidi="ar"/>
                <w14:textFill>
                  <w14:solidFill>
                    <w14:schemeClr w14:val="tx1"/>
                  </w14:solidFill>
                </w14:textFill>
              </w:rPr>
              <w:t>根据《生物质热解气化原理与技术》（化学工业出版社2013年4月出版）中典型的热解产物实验数据，热解产物的大致产率为（其产物质量分数对应于绝干木材）：机制炭33%~38%，木醋液及木焦油45%~50%，木煤气16%~18%，损耗（固体残渣）0.3%~1%。评价按机制炭35.5%，木醋液及木焦油47%（其中木焦油取4.7%，木醋液取42.3%），木煤气17%，损耗0.5%计，项目机制木炭产量为3002.31t/a，故炭化气中木焦油产生量为397.49t/a，木醋液产生量为3577.40t/a，木煤气产生量为1437.72/a，三种物质产生总量为5409.61t/a。</w:t>
            </w:r>
          </w:p>
          <w:p w14:paraId="19D18D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default" w:ascii="Times New Roman" w:hAnsi="Times New Roman" w:eastAsia="宋体" w:cs="Times New Roman"/>
                <w:color w:val="000000" w:themeColor="text1"/>
                <w:kern w:val="0"/>
                <w:sz w:val="24"/>
                <w:szCs w:val="24"/>
                <w:u w:val="none" w:color="auto"/>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4"/>
                <w:szCs w:val="24"/>
                <w:u w:val="none" w:color="auto"/>
                <w:lang w:val="en-US" w:eastAsia="zh-CN" w:bidi="ar"/>
                <w14:textFill>
                  <w14:solidFill>
                    <w14:schemeClr w14:val="tx1"/>
                  </w14:solidFill>
                </w14:textFill>
              </w:rPr>
              <w:t>B.</w:t>
            </w:r>
            <w:r>
              <w:rPr>
                <w:rFonts w:hint="default" w:ascii="Times New Roman" w:hAnsi="Times New Roman" w:eastAsia="宋体" w:cs="Times New Roman"/>
                <w:color w:val="000000" w:themeColor="text1"/>
                <w:kern w:val="0"/>
                <w:sz w:val="24"/>
                <w:szCs w:val="24"/>
                <w:u w:val="none" w:color="auto"/>
                <w:lang w:val="en-US" w:eastAsia="zh-CN" w:bidi="ar"/>
                <w14:textFill>
                  <w14:solidFill>
                    <w14:schemeClr w14:val="tx1"/>
                  </w14:solidFill>
                </w14:textFill>
              </w:rPr>
              <w:t>不可燃烧气体</w:t>
            </w:r>
          </w:p>
          <w:p w14:paraId="11EFC9B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default" w:ascii="Times New Roman" w:hAnsi="Times New Roman" w:eastAsia="宋体" w:cs="Times New Roman"/>
                <w:color w:val="000000" w:themeColor="text1"/>
                <w:kern w:val="0"/>
                <w:sz w:val="24"/>
                <w:szCs w:val="24"/>
                <w:u w:val="none" w:color="auto"/>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4"/>
                <w:szCs w:val="24"/>
                <w:u w:val="none" w:color="auto"/>
                <w:lang w:val="en-US" w:eastAsia="zh-CN" w:bidi="ar"/>
                <w14:textFill>
                  <w14:solidFill>
                    <w14:schemeClr w14:val="tx1"/>
                  </w14:solidFill>
                </w14:textFill>
              </w:rPr>
              <w:t>项目炭化过程是一个复杂、持续、逐渐转化的过程，炭化过程中产生少量不可燃气体，主要为颗粒物、SO</w:t>
            </w:r>
            <w:r>
              <w:rPr>
                <w:rFonts w:hint="default" w:ascii="Times New Roman" w:hAnsi="Times New Roman" w:eastAsia="宋体" w:cs="Times New Roman"/>
                <w:color w:val="000000" w:themeColor="text1"/>
                <w:kern w:val="0"/>
                <w:sz w:val="24"/>
                <w:szCs w:val="24"/>
                <w:u w:val="none" w:color="auto"/>
                <w:vertAlign w:val="subscript"/>
                <w:lang w:val="en-US" w:eastAsia="zh-CN" w:bidi="ar"/>
                <w14:textFill>
                  <w14:solidFill>
                    <w14:schemeClr w14:val="tx1"/>
                  </w14:solidFill>
                </w14:textFill>
              </w:rPr>
              <w:t>2</w:t>
            </w:r>
            <w:r>
              <w:rPr>
                <w:rFonts w:hint="default" w:ascii="Times New Roman" w:hAnsi="Times New Roman" w:eastAsia="宋体" w:cs="Times New Roman"/>
                <w:color w:val="000000" w:themeColor="text1"/>
                <w:kern w:val="0"/>
                <w:sz w:val="24"/>
                <w:szCs w:val="24"/>
                <w:u w:val="none" w:color="auto"/>
                <w:lang w:val="en-US" w:eastAsia="zh-CN" w:bidi="ar"/>
                <w14:textFill>
                  <w14:solidFill>
                    <w14:schemeClr w14:val="tx1"/>
                  </w14:solidFill>
                </w14:textFill>
              </w:rPr>
              <w:t>、NOx。</w:t>
            </w:r>
          </w:p>
          <w:p w14:paraId="241667C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default" w:ascii="Times New Roman" w:hAnsi="Times New Roman" w:eastAsia="宋体" w:cs="Times New Roman"/>
                <w:color w:val="000000" w:themeColor="text1"/>
                <w:kern w:val="0"/>
                <w:sz w:val="24"/>
                <w:szCs w:val="24"/>
                <w:highlight w:val="none"/>
                <w:u w:val="none" w:color="auto"/>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4"/>
                <w:szCs w:val="24"/>
                <w:u w:val="none" w:color="auto"/>
                <w:lang w:val="en-US" w:eastAsia="zh-CN" w:bidi="ar"/>
                <w14:textFill>
                  <w14:solidFill>
                    <w14:schemeClr w14:val="tx1"/>
                  </w14:solidFill>
                </w14:textFill>
              </w:rPr>
              <w:t>参照生态环境部2021年6月9日发布《排放源统计调查产排污核算方法和</w:t>
            </w:r>
            <w:r>
              <w:rPr>
                <w:rFonts w:hint="default" w:ascii="Times New Roman" w:hAnsi="Times New Roman" w:eastAsia="宋体" w:cs="Times New Roman"/>
                <w:color w:val="000000" w:themeColor="text1"/>
                <w:kern w:val="0"/>
                <w:sz w:val="24"/>
                <w:szCs w:val="24"/>
                <w:highlight w:val="none"/>
                <w:u w:val="none" w:color="auto"/>
                <w:lang w:val="en-US" w:eastAsia="zh-CN" w:bidi="ar"/>
                <w14:textFill>
                  <w14:solidFill>
                    <w14:schemeClr w14:val="tx1"/>
                  </w14:solidFill>
                </w14:textFill>
              </w:rPr>
              <w:t>系数手册》中</w:t>
            </w:r>
            <w:r>
              <w:rPr>
                <w:rFonts w:hint="eastAsia" w:ascii="Times New Roman" w:hAnsi="Times New Roman" w:eastAsia="宋体" w:cs="Times New Roman"/>
                <w:color w:val="000000" w:themeColor="text1"/>
                <w:kern w:val="0"/>
                <w:sz w:val="24"/>
                <w:szCs w:val="24"/>
                <w:highlight w:val="none"/>
                <w:u w:val="none" w:color="auto"/>
                <w:lang w:val="en-US" w:eastAsia="zh-CN" w:bidi="ar"/>
                <w14:textFill>
                  <w14:solidFill>
                    <w14:schemeClr w14:val="tx1"/>
                  </w14:solidFill>
                </w14:textFill>
              </w:rPr>
              <w:t>“</w:t>
            </w:r>
            <w:r>
              <w:rPr>
                <w:rFonts w:hint="default" w:ascii="Times New Roman" w:hAnsi="Times New Roman" w:eastAsia="宋体" w:cs="Times New Roman"/>
                <w:color w:val="000000" w:themeColor="text1"/>
                <w:kern w:val="0"/>
                <w:sz w:val="24"/>
                <w:szCs w:val="24"/>
                <w:highlight w:val="none"/>
                <w:u w:val="none" w:color="auto"/>
                <w:lang w:val="en-US" w:eastAsia="zh-CN" w:bidi="ar"/>
                <w14:textFill>
                  <w14:solidFill>
                    <w14:schemeClr w14:val="tx1"/>
                  </w14:solidFill>
                </w14:textFill>
              </w:rPr>
              <w:t>2663 林产化学品制造行业系数表中活性炭产品系数表</w:t>
            </w:r>
            <w:r>
              <w:rPr>
                <w:rFonts w:hint="eastAsia" w:ascii="Times New Roman" w:hAnsi="Times New Roman" w:eastAsia="宋体" w:cs="Times New Roman"/>
                <w:color w:val="000000" w:themeColor="text1"/>
                <w:kern w:val="0"/>
                <w:sz w:val="24"/>
                <w:szCs w:val="24"/>
                <w:highlight w:val="none"/>
                <w:u w:val="none" w:color="auto"/>
                <w:lang w:val="en-US" w:eastAsia="zh-CN" w:bidi="ar"/>
                <w14:textFill>
                  <w14:solidFill>
                    <w14:schemeClr w14:val="tx1"/>
                  </w14:solidFill>
                </w14:textFill>
              </w:rPr>
              <w:t>”</w:t>
            </w:r>
            <w:r>
              <w:rPr>
                <w:rFonts w:hint="default" w:ascii="Times New Roman" w:hAnsi="Times New Roman" w:eastAsia="宋体" w:cs="Times New Roman"/>
                <w:color w:val="000000" w:themeColor="text1"/>
                <w:kern w:val="0"/>
                <w:sz w:val="24"/>
                <w:szCs w:val="24"/>
                <w:highlight w:val="none"/>
                <w:u w:val="none" w:color="auto"/>
                <w:lang w:val="en-US" w:eastAsia="zh-CN" w:bidi="ar"/>
                <w14:textFill>
                  <w14:solidFill>
                    <w14:schemeClr w14:val="tx1"/>
                  </w14:solidFill>
                </w14:textFill>
              </w:rPr>
              <w:t>，机制炭炭化过程属于物理活化，因此参考</w:t>
            </w:r>
            <w:r>
              <w:rPr>
                <w:rFonts w:hint="eastAsia" w:ascii="Times New Roman" w:hAnsi="Times New Roman" w:eastAsia="宋体" w:cs="Times New Roman"/>
                <w:color w:val="000000" w:themeColor="text1"/>
                <w:kern w:val="0"/>
                <w:sz w:val="24"/>
                <w:szCs w:val="24"/>
                <w:highlight w:val="none"/>
                <w:u w:val="none" w:color="auto"/>
                <w:lang w:val="en-US" w:eastAsia="zh-CN" w:bidi="ar"/>
                <w14:textFill>
                  <w14:solidFill>
                    <w14:schemeClr w14:val="tx1"/>
                  </w14:solidFill>
                </w14:textFill>
              </w:rPr>
              <w:t>“</w:t>
            </w:r>
            <w:r>
              <w:rPr>
                <w:rFonts w:hint="default" w:ascii="Times New Roman" w:hAnsi="Times New Roman" w:eastAsia="宋体" w:cs="Times New Roman"/>
                <w:color w:val="000000" w:themeColor="text1"/>
                <w:kern w:val="0"/>
                <w:sz w:val="24"/>
                <w:szCs w:val="24"/>
                <w:highlight w:val="none"/>
                <w:u w:val="none" w:color="auto"/>
                <w:lang w:val="en-US" w:eastAsia="zh-CN" w:bidi="ar"/>
                <w14:textFill>
                  <w14:solidFill>
                    <w14:schemeClr w14:val="tx1"/>
                  </w14:solidFill>
                </w14:textFill>
              </w:rPr>
              <w:t>炭化+物理活化</w:t>
            </w:r>
            <w:r>
              <w:rPr>
                <w:rFonts w:hint="eastAsia" w:ascii="Times New Roman" w:hAnsi="Times New Roman" w:eastAsia="宋体" w:cs="Times New Roman"/>
                <w:color w:val="000000" w:themeColor="text1"/>
                <w:kern w:val="0"/>
                <w:sz w:val="24"/>
                <w:szCs w:val="24"/>
                <w:highlight w:val="none"/>
                <w:u w:val="none" w:color="auto"/>
                <w:lang w:val="en-US" w:eastAsia="zh-CN" w:bidi="ar"/>
                <w14:textFill>
                  <w14:solidFill>
                    <w14:schemeClr w14:val="tx1"/>
                  </w14:solidFill>
                </w14:textFill>
              </w:rPr>
              <w:t>”</w:t>
            </w:r>
            <w:r>
              <w:rPr>
                <w:rFonts w:hint="default" w:ascii="Times New Roman" w:hAnsi="Times New Roman" w:eastAsia="宋体" w:cs="Times New Roman"/>
                <w:color w:val="000000" w:themeColor="text1"/>
                <w:kern w:val="0"/>
                <w:sz w:val="24"/>
                <w:szCs w:val="24"/>
                <w:highlight w:val="none"/>
                <w:u w:val="none" w:color="auto"/>
                <w:lang w:val="en-US" w:eastAsia="zh-CN" w:bidi="ar"/>
                <w14:textFill>
                  <w14:solidFill>
                    <w14:schemeClr w14:val="tx1"/>
                  </w14:solidFill>
                </w14:textFill>
              </w:rPr>
              <w:t>产污系数，项目机制炭废气产排情况如下：</w:t>
            </w:r>
          </w:p>
          <w:p w14:paraId="4356687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right="0"/>
              <w:jc w:val="center"/>
              <w:textAlignment w:val="auto"/>
              <w:rPr>
                <w:rFonts w:hint="default" w:ascii="Times New Roman" w:hAnsi="Times New Roman" w:eastAsia="宋体" w:cs="Times New Roman"/>
                <w:b/>
                <w:bCs/>
                <w:color w:val="000000" w:themeColor="text1"/>
                <w:kern w:val="0"/>
                <w:sz w:val="24"/>
                <w:szCs w:val="24"/>
                <w:highlight w:val="none"/>
                <w:u w:val="none" w:color="auto"/>
                <w:lang w:val="en-US" w:eastAsia="zh-CN" w:bidi="ar"/>
                <w14:textFill>
                  <w14:solidFill>
                    <w14:schemeClr w14:val="tx1"/>
                  </w14:solidFill>
                </w14:textFill>
              </w:rPr>
            </w:pPr>
            <w:r>
              <w:rPr>
                <w:rFonts w:hint="default" w:ascii="Times New Roman" w:hAnsi="Times New Roman" w:eastAsia="宋体" w:cs="Times New Roman"/>
                <w:b/>
                <w:bCs/>
                <w:color w:val="000000" w:themeColor="text1"/>
                <w:kern w:val="0"/>
                <w:sz w:val="24"/>
                <w:szCs w:val="24"/>
                <w:highlight w:val="none"/>
                <w:u w:val="none" w:color="auto"/>
                <w:lang w:val="en-US" w:eastAsia="zh-CN" w:bidi="ar"/>
                <w14:textFill>
                  <w14:solidFill>
                    <w14:schemeClr w14:val="tx1"/>
                  </w14:solidFill>
                </w14:textFill>
              </w:rPr>
              <w:t>表4-</w:t>
            </w:r>
            <w:r>
              <w:rPr>
                <w:rFonts w:hint="eastAsia" w:ascii="Times New Roman" w:hAnsi="Times New Roman" w:eastAsia="宋体" w:cs="Times New Roman"/>
                <w:b/>
                <w:bCs/>
                <w:color w:val="000000" w:themeColor="text1"/>
                <w:kern w:val="0"/>
                <w:sz w:val="24"/>
                <w:szCs w:val="24"/>
                <w:highlight w:val="none"/>
                <w:u w:val="none" w:color="auto"/>
                <w:lang w:val="en-US" w:eastAsia="zh-CN" w:bidi="ar"/>
                <w14:textFill>
                  <w14:solidFill>
                    <w14:schemeClr w14:val="tx1"/>
                  </w14:solidFill>
                </w14:textFill>
              </w:rPr>
              <w:t>4</w:t>
            </w:r>
            <w:r>
              <w:rPr>
                <w:rFonts w:hint="default" w:ascii="Times New Roman" w:hAnsi="Times New Roman" w:eastAsia="宋体" w:cs="Times New Roman"/>
                <w:b/>
                <w:bCs/>
                <w:color w:val="000000" w:themeColor="text1"/>
                <w:kern w:val="0"/>
                <w:sz w:val="24"/>
                <w:szCs w:val="24"/>
                <w:highlight w:val="none"/>
                <w:u w:val="none" w:color="auto"/>
                <w:lang w:val="en-US" w:eastAsia="zh-CN" w:bidi="ar"/>
                <w14:textFill>
                  <w14:solidFill>
                    <w14:schemeClr w14:val="tx1"/>
                  </w14:solidFill>
                </w14:textFill>
              </w:rPr>
              <w:t xml:space="preserve"> </w:t>
            </w:r>
            <w:r>
              <w:rPr>
                <w:rFonts w:hint="eastAsia" w:ascii="Times New Roman" w:hAnsi="Times New Roman" w:eastAsia="宋体" w:cs="Times New Roman"/>
                <w:b/>
                <w:bCs/>
                <w:color w:val="000000" w:themeColor="text1"/>
                <w:kern w:val="0"/>
                <w:sz w:val="24"/>
                <w:szCs w:val="24"/>
                <w:highlight w:val="none"/>
                <w:u w:val="none" w:color="auto"/>
                <w:lang w:val="en-US" w:eastAsia="zh-CN" w:bidi="ar"/>
                <w14:textFill>
                  <w14:solidFill>
                    <w14:schemeClr w14:val="tx1"/>
                  </w14:solidFill>
                </w14:textFill>
              </w:rPr>
              <w:t xml:space="preserve"> </w:t>
            </w:r>
            <w:r>
              <w:rPr>
                <w:rFonts w:hint="default" w:ascii="Times New Roman" w:hAnsi="Times New Roman" w:eastAsia="宋体" w:cs="Times New Roman"/>
                <w:b/>
                <w:bCs/>
                <w:color w:val="000000" w:themeColor="text1"/>
                <w:kern w:val="0"/>
                <w:sz w:val="24"/>
                <w:szCs w:val="24"/>
                <w:highlight w:val="none"/>
                <w:u w:val="none" w:color="auto"/>
                <w:lang w:val="en-US" w:eastAsia="zh-CN" w:bidi="ar"/>
                <w14:textFill>
                  <w14:solidFill>
                    <w14:schemeClr w14:val="tx1"/>
                  </w14:solidFill>
                </w14:textFill>
              </w:rPr>
              <w:t>炭化炉不可燃废气</w:t>
            </w:r>
            <w:r>
              <w:rPr>
                <w:rFonts w:hint="eastAsia" w:ascii="宋体" w:hAnsi="宋体" w:eastAsia="宋体" w:cs="宋体"/>
                <w:b/>
                <w:bCs/>
                <w:color w:val="000000" w:themeColor="text1"/>
                <w:kern w:val="0"/>
                <w:sz w:val="24"/>
                <w:szCs w:val="24"/>
                <w:highlight w:val="none"/>
                <w:u w:val="none" w:color="auto"/>
                <w:lang w:val="en-US" w:eastAsia="zh-CN" w:bidi="ar"/>
                <w14:textFill>
                  <w14:solidFill>
                    <w14:schemeClr w14:val="tx1"/>
                  </w14:solidFill>
                </w14:textFill>
              </w:rPr>
              <w:t>污染物</w:t>
            </w:r>
            <w:r>
              <w:rPr>
                <w:rFonts w:hint="eastAsia"/>
                <w:b/>
                <w:color w:val="000000" w:themeColor="text1"/>
                <w:sz w:val="24"/>
                <w:szCs w:val="24"/>
                <w:u w:val="none" w:color="auto"/>
                <w:lang w:val="en-US" w:eastAsia="zh-CN"/>
                <w14:textFill>
                  <w14:solidFill>
                    <w14:schemeClr w14:val="tx1"/>
                  </w14:solidFill>
                </w14:textFill>
              </w:rPr>
              <w:t>产生情况一览表</w:t>
            </w:r>
          </w:p>
          <w:tbl>
            <w:tblPr>
              <w:tblStyle w:val="29"/>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78"/>
              <w:gridCol w:w="1102"/>
              <w:gridCol w:w="1395"/>
              <w:gridCol w:w="1672"/>
              <w:gridCol w:w="779"/>
              <w:gridCol w:w="1350"/>
              <w:gridCol w:w="954"/>
              <w:gridCol w:w="960"/>
            </w:tblGrid>
            <w:tr w14:paraId="7E75AD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94" w:type="pct"/>
                  <w:noWrap w:val="0"/>
                  <w:vAlign w:val="center"/>
                </w:tcPr>
                <w:p w14:paraId="15120955">
                  <w:pPr>
                    <w:keepNext w:val="0"/>
                    <w:keepLines w:val="0"/>
                    <w:suppressLineNumbers w:val="0"/>
                    <w:adjustRightInd w:val="0"/>
                    <w:snapToGrid w:val="0"/>
                    <w:spacing w:before="0" w:beforeAutospacing="0" w:after="0" w:afterAutospacing="0" w:line="240" w:lineRule="auto"/>
                    <w:ind w:left="0" w:right="0"/>
                    <w:jc w:val="center"/>
                    <w:rPr>
                      <w:rFonts w:hint="default"/>
                      <w:color w:val="000000" w:themeColor="text1"/>
                      <w:sz w:val="21"/>
                      <w:szCs w:val="21"/>
                      <w:u w:val="none" w:color="auto"/>
                      <w:lang w:val="en-US" w:eastAsia="zh-CN"/>
                      <w14:textFill>
                        <w14:solidFill>
                          <w14:schemeClr w14:val="tx1"/>
                        </w14:solidFill>
                      </w14:textFill>
                    </w:rPr>
                  </w:pPr>
                  <w:r>
                    <w:rPr>
                      <w:rFonts w:hint="eastAsia"/>
                      <w:color w:val="000000" w:themeColor="text1"/>
                      <w:sz w:val="21"/>
                      <w:szCs w:val="21"/>
                      <w:u w:val="none" w:color="auto"/>
                      <w:lang w:val="en-US" w:eastAsia="zh-CN"/>
                      <w14:textFill>
                        <w14:solidFill>
                          <w14:schemeClr w14:val="tx1"/>
                        </w14:solidFill>
                      </w14:textFill>
                    </w:rPr>
                    <w:t>产品名称</w:t>
                  </w:r>
                </w:p>
              </w:tc>
              <w:tc>
                <w:tcPr>
                  <w:tcW w:w="607" w:type="pct"/>
                  <w:shd w:val="clear" w:color="auto" w:fill="auto"/>
                  <w:noWrap w:val="0"/>
                  <w:vAlign w:val="center"/>
                </w:tcPr>
                <w:p w14:paraId="4C5B09D0">
                  <w:pPr>
                    <w:keepNext w:val="0"/>
                    <w:keepLines w:val="0"/>
                    <w:suppressLineNumbers w:val="0"/>
                    <w:adjustRightInd w:val="0"/>
                    <w:snapToGrid w:val="0"/>
                    <w:spacing w:before="0" w:beforeAutospacing="0" w:after="0" w:afterAutospacing="0" w:line="240" w:lineRule="auto"/>
                    <w:ind w:left="0" w:right="0"/>
                    <w:jc w:val="center"/>
                    <w:rPr>
                      <w:rFonts w:hint="default"/>
                      <w:color w:val="000000" w:themeColor="text1"/>
                      <w:sz w:val="21"/>
                      <w:szCs w:val="21"/>
                      <w:u w:val="none" w:color="auto"/>
                      <w:lang w:val="en-US" w:eastAsia="zh-CN"/>
                      <w14:textFill>
                        <w14:solidFill>
                          <w14:schemeClr w14:val="tx1"/>
                        </w14:solidFill>
                      </w14:textFill>
                    </w:rPr>
                  </w:pPr>
                  <w:r>
                    <w:rPr>
                      <w:rFonts w:hint="eastAsia"/>
                      <w:color w:val="000000" w:themeColor="text1"/>
                      <w:sz w:val="21"/>
                      <w:szCs w:val="21"/>
                      <w:u w:val="none" w:color="auto"/>
                      <w:lang w:val="en-US" w:eastAsia="zh-CN"/>
                      <w14:textFill>
                        <w14:solidFill>
                          <w14:schemeClr w14:val="tx1"/>
                        </w14:solidFill>
                      </w14:textFill>
                    </w:rPr>
                    <w:t>工艺名称</w:t>
                  </w:r>
                </w:p>
              </w:tc>
              <w:tc>
                <w:tcPr>
                  <w:tcW w:w="764" w:type="pct"/>
                  <w:shd w:val="clear" w:color="auto" w:fill="auto"/>
                  <w:noWrap w:val="0"/>
                  <w:vAlign w:val="center"/>
                </w:tcPr>
                <w:p w14:paraId="178D584B">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color w:val="000000" w:themeColor="text1"/>
                      <w:sz w:val="21"/>
                      <w:szCs w:val="21"/>
                      <w:u w:val="none" w:color="auto"/>
                      <w14:textFill>
                        <w14:solidFill>
                          <w14:schemeClr w14:val="tx1"/>
                        </w14:solidFill>
                      </w14:textFill>
                    </w:rPr>
                    <w:t>污染物指标</w:t>
                  </w:r>
                </w:p>
              </w:tc>
              <w:tc>
                <w:tcPr>
                  <w:tcW w:w="913" w:type="pct"/>
                  <w:shd w:val="clear" w:color="auto" w:fill="auto"/>
                  <w:noWrap w:val="0"/>
                  <w:vAlign w:val="center"/>
                </w:tcPr>
                <w:p w14:paraId="6FA3AAEE">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color w:val="000000" w:themeColor="text1"/>
                      <w:sz w:val="21"/>
                      <w:szCs w:val="21"/>
                      <w:u w:val="none" w:color="auto"/>
                      <w14:textFill>
                        <w14:solidFill>
                          <w14:schemeClr w14:val="tx1"/>
                        </w14:solidFill>
                      </w14:textFill>
                    </w:rPr>
                    <w:t>单位</w:t>
                  </w:r>
                </w:p>
              </w:tc>
              <w:tc>
                <w:tcPr>
                  <w:tcW w:w="433" w:type="pct"/>
                  <w:shd w:val="clear" w:color="auto" w:fill="auto"/>
                  <w:noWrap w:val="0"/>
                  <w:vAlign w:val="center"/>
                </w:tcPr>
                <w:p w14:paraId="4BC64B7B">
                  <w:pPr>
                    <w:keepNext w:val="0"/>
                    <w:keepLines w:val="0"/>
                    <w:suppressLineNumbers w:val="0"/>
                    <w:adjustRightInd w:val="0"/>
                    <w:snapToGrid w:val="0"/>
                    <w:spacing w:before="0" w:beforeAutospacing="0" w:after="0" w:afterAutospacing="0" w:line="240" w:lineRule="auto"/>
                    <w:ind w:left="0" w:leftChars="0" w:right="0" w:rightChars="0"/>
                    <w:jc w:val="center"/>
                    <w:rPr>
                      <w:rFonts w:hint="eastAsia"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color w:val="000000" w:themeColor="text1"/>
                      <w:sz w:val="21"/>
                      <w:szCs w:val="21"/>
                      <w:u w:val="none" w:color="auto"/>
                      <w14:textFill>
                        <w14:solidFill>
                          <w14:schemeClr w14:val="tx1"/>
                        </w14:solidFill>
                      </w14:textFill>
                    </w:rPr>
                    <w:t>产污系数</w:t>
                  </w:r>
                </w:p>
              </w:tc>
              <w:tc>
                <w:tcPr>
                  <w:tcW w:w="627" w:type="pct"/>
                  <w:shd w:val="clear" w:color="auto" w:fill="auto"/>
                  <w:noWrap w:val="0"/>
                  <w:vAlign w:val="center"/>
                </w:tcPr>
                <w:p w14:paraId="7D945A5A">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color w:val="000000" w:themeColor="text1"/>
                      <w:sz w:val="21"/>
                      <w:szCs w:val="21"/>
                      <w:u w:val="none" w:color="auto"/>
                      <w14:textFill>
                        <w14:solidFill>
                          <w14:schemeClr w14:val="tx1"/>
                        </w14:solidFill>
                      </w14:textFill>
                    </w:rPr>
                    <w:t>产生量</w:t>
                  </w:r>
                  <w:r>
                    <w:rPr>
                      <w:rFonts w:hint="eastAsia"/>
                      <w:color w:val="000000" w:themeColor="text1"/>
                      <w:sz w:val="21"/>
                      <w:szCs w:val="21"/>
                      <w:u w:val="none" w:color="auto"/>
                      <w:lang w:val="en-US" w:eastAsia="zh-CN"/>
                      <w14:textFill>
                        <w14:solidFill>
                          <w14:schemeClr w14:val="tx1"/>
                        </w14:solidFill>
                      </w14:textFill>
                    </w:rPr>
                    <w:t>t/a</w:t>
                  </w:r>
                </w:p>
              </w:tc>
              <w:tc>
                <w:tcPr>
                  <w:tcW w:w="527" w:type="pct"/>
                  <w:shd w:val="clear" w:color="auto" w:fill="auto"/>
                  <w:noWrap w:val="0"/>
                  <w:vAlign w:val="center"/>
                </w:tcPr>
                <w:p w14:paraId="38842188">
                  <w:pPr>
                    <w:keepNext w:val="0"/>
                    <w:keepLines w:val="0"/>
                    <w:suppressLineNumbers w:val="0"/>
                    <w:adjustRightInd w:val="0"/>
                    <w:snapToGrid w:val="0"/>
                    <w:spacing w:before="0" w:beforeAutospacing="0" w:after="0" w:afterAutospacing="0" w:line="240" w:lineRule="auto"/>
                    <w:ind w:left="0" w:leftChars="0" w:right="0" w:rightChars="0"/>
                    <w:jc w:val="center"/>
                    <w:rPr>
                      <w:rFonts w:hint="eastAsia"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eastAsia"/>
                      <w:color w:val="000000" w:themeColor="text1"/>
                      <w:sz w:val="21"/>
                      <w:szCs w:val="21"/>
                      <w:u w:val="none" w:color="auto"/>
                      <w:lang w:val="en-US" w:eastAsia="zh-CN"/>
                      <w14:textFill>
                        <w14:solidFill>
                          <w14:schemeClr w14:val="tx1"/>
                        </w14:solidFill>
                      </w14:textFill>
                    </w:rPr>
                    <w:t>产生速率kg/h</w:t>
                  </w:r>
                </w:p>
              </w:tc>
              <w:tc>
                <w:tcPr>
                  <w:tcW w:w="530" w:type="pct"/>
                  <w:shd w:val="clear" w:color="auto" w:fill="auto"/>
                  <w:noWrap w:val="0"/>
                  <w:vAlign w:val="center"/>
                </w:tcPr>
                <w:p w14:paraId="2D9628E0">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color w:val="000000" w:themeColor="text1"/>
                      <w:sz w:val="21"/>
                      <w:szCs w:val="21"/>
                      <w:u w:val="none" w:color="auto"/>
                      <w:lang w:val="en-US" w:eastAsia="zh-CN"/>
                      <w14:textFill>
                        <w14:solidFill>
                          <w14:schemeClr w14:val="tx1"/>
                        </w14:solidFill>
                      </w14:textFill>
                    </w:rPr>
                  </w:pPr>
                  <w:r>
                    <w:rPr>
                      <w:rFonts w:hint="eastAsia"/>
                      <w:color w:val="000000" w:themeColor="text1"/>
                      <w:sz w:val="21"/>
                      <w:szCs w:val="21"/>
                      <w:u w:val="none" w:color="auto"/>
                      <w:lang w:val="en-US" w:eastAsia="zh-CN"/>
                      <w14:textFill>
                        <w14:solidFill>
                          <w14:schemeClr w14:val="tx1"/>
                        </w14:solidFill>
                      </w14:textFill>
                    </w:rPr>
                    <w:t>时间</w:t>
                  </w:r>
                </w:p>
              </w:tc>
            </w:tr>
            <w:tr w14:paraId="3CB794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94" w:type="pct"/>
                  <w:vMerge w:val="restart"/>
                  <w:noWrap w:val="0"/>
                  <w:vAlign w:val="center"/>
                </w:tcPr>
                <w:p w14:paraId="17E22F68">
                  <w:pPr>
                    <w:keepNext w:val="0"/>
                    <w:keepLines w:val="0"/>
                    <w:suppressLineNumbers w:val="0"/>
                    <w:spacing w:before="0" w:beforeAutospacing="0" w:after="0" w:afterAutospacing="0"/>
                    <w:ind w:left="0" w:right="0"/>
                    <w:jc w:val="center"/>
                    <w:rPr>
                      <w:rFonts w:hint="default" w:eastAsia="宋体"/>
                      <w:color w:val="000000" w:themeColor="text1"/>
                      <w:sz w:val="21"/>
                      <w:szCs w:val="21"/>
                      <w:u w:val="none" w:color="auto"/>
                      <w:lang w:val="en-US" w:eastAsia="zh-CN"/>
                      <w14:textFill>
                        <w14:solidFill>
                          <w14:schemeClr w14:val="tx1"/>
                        </w14:solidFill>
                      </w14:textFill>
                    </w:rPr>
                  </w:pPr>
                  <w:r>
                    <w:rPr>
                      <w:rFonts w:hint="eastAsia"/>
                      <w:color w:val="000000" w:themeColor="text1"/>
                      <w:sz w:val="21"/>
                      <w:szCs w:val="21"/>
                      <w:u w:val="none" w:color="auto"/>
                      <w:lang w:val="en-US" w:eastAsia="zh-CN"/>
                      <w14:textFill>
                        <w14:solidFill>
                          <w14:schemeClr w14:val="tx1"/>
                        </w14:solidFill>
                      </w14:textFill>
                    </w:rPr>
                    <w:t>活性炭</w:t>
                  </w:r>
                </w:p>
              </w:tc>
              <w:tc>
                <w:tcPr>
                  <w:tcW w:w="607" w:type="pct"/>
                  <w:vMerge w:val="restart"/>
                  <w:shd w:val="clear" w:color="auto" w:fill="auto"/>
                  <w:noWrap w:val="0"/>
                  <w:vAlign w:val="center"/>
                </w:tcPr>
                <w:p w14:paraId="5BC1EE79">
                  <w:pPr>
                    <w:keepNext w:val="0"/>
                    <w:keepLines w:val="0"/>
                    <w:suppressLineNumbers w:val="0"/>
                    <w:spacing w:before="0" w:beforeAutospacing="0" w:after="0" w:afterAutospacing="0"/>
                    <w:ind w:left="0" w:right="0"/>
                    <w:jc w:val="center"/>
                    <w:rPr>
                      <w:rFonts w:hint="eastAsia"/>
                      <w:color w:val="000000" w:themeColor="text1"/>
                      <w:sz w:val="21"/>
                      <w:szCs w:val="21"/>
                      <w:u w:val="none" w:color="auto"/>
                      <w:lang w:val="en-US" w:eastAsia="zh-CN"/>
                      <w14:textFill>
                        <w14:solidFill>
                          <w14:schemeClr w14:val="tx1"/>
                        </w14:solidFill>
                      </w14:textFill>
                    </w:rPr>
                  </w:pPr>
                  <w:r>
                    <w:rPr>
                      <w:rFonts w:hint="eastAsia"/>
                      <w:color w:val="000000" w:themeColor="text1"/>
                      <w:sz w:val="21"/>
                      <w:szCs w:val="21"/>
                      <w:u w:val="none" w:color="auto"/>
                      <w:lang w:val="en-US" w:eastAsia="zh-CN"/>
                      <w14:textFill>
                        <w14:solidFill>
                          <w14:schemeClr w14:val="tx1"/>
                        </w14:solidFill>
                      </w14:textFill>
                    </w:rPr>
                    <w:t>炭化+物理炭化</w:t>
                  </w:r>
                </w:p>
              </w:tc>
              <w:tc>
                <w:tcPr>
                  <w:tcW w:w="764" w:type="pct"/>
                  <w:shd w:val="clear" w:color="auto" w:fill="auto"/>
                  <w:noWrap w:val="0"/>
                  <w:vAlign w:val="center"/>
                </w:tcPr>
                <w:p w14:paraId="4E124082">
                  <w:pPr>
                    <w:keepNext w:val="0"/>
                    <w:keepLines w:val="0"/>
                    <w:suppressLineNumbers w:val="0"/>
                    <w:adjustRightInd w:val="0"/>
                    <w:snapToGrid w:val="0"/>
                    <w:spacing w:before="0" w:beforeAutospacing="0" w:after="0" w:afterAutospacing="0" w:line="240" w:lineRule="auto"/>
                    <w:ind w:left="0" w:right="0"/>
                    <w:jc w:val="center"/>
                    <w:rPr>
                      <w:rFonts w:hint="default" w:eastAsia="宋体"/>
                      <w:color w:val="000000" w:themeColor="text1"/>
                      <w:sz w:val="21"/>
                      <w:szCs w:val="21"/>
                      <w:u w:val="none" w:color="auto"/>
                      <w:lang w:val="en-US" w:eastAsia="zh-CN"/>
                      <w14:textFill>
                        <w14:solidFill>
                          <w14:schemeClr w14:val="tx1"/>
                        </w14:solidFill>
                      </w14:textFill>
                    </w:rPr>
                  </w:pPr>
                  <w:r>
                    <w:rPr>
                      <w:rFonts w:hint="eastAsia"/>
                      <w:color w:val="000000" w:themeColor="text1"/>
                      <w:sz w:val="21"/>
                      <w:szCs w:val="21"/>
                      <w:u w:val="none" w:color="auto"/>
                      <w:lang w:val="en-US" w:eastAsia="zh-CN"/>
                      <w14:textFill>
                        <w14:solidFill>
                          <w14:schemeClr w14:val="tx1"/>
                        </w14:solidFill>
                      </w14:textFill>
                    </w:rPr>
                    <w:t>工业废气量</w:t>
                  </w:r>
                </w:p>
              </w:tc>
              <w:tc>
                <w:tcPr>
                  <w:tcW w:w="913" w:type="pct"/>
                  <w:shd w:val="clear" w:color="auto" w:fill="auto"/>
                  <w:noWrap w:val="0"/>
                  <w:vAlign w:val="center"/>
                </w:tcPr>
                <w:p w14:paraId="261E7073">
                  <w:pPr>
                    <w:keepNext w:val="0"/>
                    <w:keepLines w:val="0"/>
                    <w:suppressLineNumbers w:val="0"/>
                    <w:adjustRightInd w:val="0"/>
                    <w:snapToGrid w:val="0"/>
                    <w:spacing w:before="0" w:beforeAutospacing="0" w:after="0" w:afterAutospacing="0" w:line="240" w:lineRule="auto"/>
                    <w:ind w:left="0" w:right="0"/>
                    <w:jc w:val="center"/>
                    <w:rPr>
                      <w:rFonts w:hint="eastAsia" w:cs="Times New Roman"/>
                      <w:color w:val="000000" w:themeColor="text1"/>
                      <w:kern w:val="2"/>
                      <w:sz w:val="21"/>
                      <w:szCs w:val="21"/>
                      <w:u w:val="none" w:color="auto"/>
                      <w:lang w:val="en-US" w:eastAsia="zh-CN" w:bidi="ar-SA"/>
                      <w14:textFill>
                        <w14:solidFill>
                          <w14:schemeClr w14:val="tx1"/>
                        </w14:solidFill>
                      </w14:textFill>
                    </w:rPr>
                  </w:pPr>
                  <w:r>
                    <w:rPr>
                      <w:rFonts w:hint="eastAsia" w:cs="Times New Roman"/>
                      <w:color w:val="000000" w:themeColor="text1"/>
                      <w:kern w:val="2"/>
                      <w:sz w:val="21"/>
                      <w:szCs w:val="21"/>
                      <w:u w:val="none" w:color="auto"/>
                      <w:lang w:val="en-US" w:eastAsia="zh-CN" w:bidi="ar-SA"/>
                      <w14:textFill>
                        <w14:solidFill>
                          <w14:schemeClr w14:val="tx1"/>
                        </w14:solidFill>
                      </w14:textFill>
                    </w:rPr>
                    <w:t>标m</w:t>
                  </w:r>
                  <w:r>
                    <w:rPr>
                      <w:rFonts w:hint="eastAsia" w:cs="Times New Roman"/>
                      <w:color w:val="000000" w:themeColor="text1"/>
                      <w:kern w:val="2"/>
                      <w:sz w:val="21"/>
                      <w:szCs w:val="21"/>
                      <w:u w:val="none" w:color="auto"/>
                      <w:vertAlign w:val="superscript"/>
                      <w:lang w:val="en-US" w:eastAsia="zh-CN" w:bidi="ar-SA"/>
                      <w14:textFill>
                        <w14:solidFill>
                          <w14:schemeClr w14:val="tx1"/>
                        </w14:solidFill>
                      </w14:textFill>
                    </w:rPr>
                    <w:t>3</w:t>
                  </w:r>
                  <w:r>
                    <w:rPr>
                      <w:rFonts w:hint="eastAsia" w:cs="Times New Roman"/>
                      <w:color w:val="000000" w:themeColor="text1"/>
                      <w:kern w:val="2"/>
                      <w:sz w:val="21"/>
                      <w:szCs w:val="21"/>
                      <w:u w:val="none" w:color="auto"/>
                      <w:lang w:val="en-US" w:eastAsia="zh-CN" w:bidi="ar-SA"/>
                      <w14:textFill>
                        <w14:solidFill>
                          <w14:schemeClr w14:val="tx1"/>
                        </w14:solidFill>
                      </w14:textFill>
                    </w:rPr>
                    <w:t>/t-产品</w:t>
                  </w:r>
                </w:p>
              </w:tc>
              <w:tc>
                <w:tcPr>
                  <w:tcW w:w="433" w:type="pct"/>
                  <w:shd w:val="clear" w:color="auto" w:fill="auto"/>
                  <w:noWrap w:val="0"/>
                  <w:vAlign w:val="center"/>
                </w:tcPr>
                <w:p w14:paraId="76B7EFBE">
                  <w:pPr>
                    <w:keepNext w:val="0"/>
                    <w:keepLines w:val="0"/>
                    <w:suppressLineNumbers w:val="0"/>
                    <w:adjustRightInd w:val="0"/>
                    <w:snapToGrid w:val="0"/>
                    <w:spacing w:before="0" w:beforeAutospacing="0" w:after="0" w:afterAutospacing="0" w:line="240" w:lineRule="auto"/>
                    <w:ind w:left="0" w:right="0"/>
                    <w:jc w:val="center"/>
                    <w:rPr>
                      <w:rFonts w:hint="default"/>
                      <w:color w:val="000000" w:themeColor="text1"/>
                      <w:kern w:val="0"/>
                      <w:sz w:val="21"/>
                      <w:szCs w:val="21"/>
                      <w:u w:val="none" w:color="auto"/>
                      <w:lang w:val="en-US" w:eastAsia="zh-CN"/>
                      <w14:textFill>
                        <w14:solidFill>
                          <w14:schemeClr w14:val="tx1"/>
                        </w14:solidFill>
                      </w14:textFill>
                    </w:rPr>
                  </w:pPr>
                  <w:r>
                    <w:rPr>
                      <w:rFonts w:hint="eastAsia"/>
                      <w:color w:val="000000" w:themeColor="text1"/>
                      <w:kern w:val="0"/>
                      <w:sz w:val="21"/>
                      <w:szCs w:val="21"/>
                      <w:u w:val="none" w:color="auto"/>
                      <w:lang w:val="en-US" w:eastAsia="zh-CN"/>
                      <w14:textFill>
                        <w14:solidFill>
                          <w14:schemeClr w14:val="tx1"/>
                        </w14:solidFill>
                      </w14:textFill>
                    </w:rPr>
                    <w:t>44000</w:t>
                  </w:r>
                </w:p>
              </w:tc>
              <w:tc>
                <w:tcPr>
                  <w:tcW w:w="627" w:type="pct"/>
                  <w:shd w:val="clear" w:color="auto" w:fill="auto"/>
                  <w:noWrap w:val="0"/>
                  <w:vAlign w:val="center"/>
                </w:tcPr>
                <w:p w14:paraId="68102635">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eastAsia" w:cs="Times New Roman"/>
                      <w:color w:val="000000" w:themeColor="text1"/>
                      <w:kern w:val="2"/>
                      <w:sz w:val="21"/>
                      <w:szCs w:val="21"/>
                      <w:u w:val="none" w:color="auto"/>
                      <w:lang w:val="en-US" w:eastAsia="zh-CN" w:bidi="ar-SA"/>
                      <w14:textFill>
                        <w14:solidFill>
                          <w14:schemeClr w14:val="tx1"/>
                        </w14:solidFill>
                      </w14:textFill>
                    </w:rPr>
                    <w:t>1.32*10</w:t>
                  </w:r>
                  <w:r>
                    <w:rPr>
                      <w:rFonts w:hint="eastAsia" w:cs="Times New Roman"/>
                      <w:color w:val="000000" w:themeColor="text1"/>
                      <w:kern w:val="2"/>
                      <w:sz w:val="21"/>
                      <w:szCs w:val="21"/>
                      <w:u w:val="none" w:color="auto"/>
                      <w:vertAlign w:val="superscript"/>
                      <w:lang w:val="en-US" w:eastAsia="zh-CN" w:bidi="ar-SA"/>
                      <w14:textFill>
                        <w14:solidFill>
                          <w14:schemeClr w14:val="tx1"/>
                        </w14:solidFill>
                      </w14:textFill>
                    </w:rPr>
                    <w:t>8</w:t>
                  </w:r>
                  <w:r>
                    <w:rPr>
                      <w:rFonts w:hint="eastAsia" w:cs="Times New Roman"/>
                      <w:color w:val="000000" w:themeColor="text1"/>
                      <w:kern w:val="2"/>
                      <w:sz w:val="21"/>
                      <w:szCs w:val="21"/>
                      <w:u w:val="none" w:color="auto"/>
                      <w:lang w:val="en-US" w:eastAsia="zh-CN" w:bidi="ar-SA"/>
                      <w14:textFill>
                        <w14:solidFill>
                          <w14:schemeClr w14:val="tx1"/>
                        </w14:solidFill>
                      </w14:textFill>
                    </w:rPr>
                    <w:t>m</w:t>
                  </w:r>
                  <w:r>
                    <w:rPr>
                      <w:rFonts w:hint="eastAsia" w:cs="Times New Roman"/>
                      <w:color w:val="000000" w:themeColor="text1"/>
                      <w:kern w:val="2"/>
                      <w:sz w:val="21"/>
                      <w:szCs w:val="21"/>
                      <w:u w:val="none" w:color="auto"/>
                      <w:vertAlign w:val="superscript"/>
                      <w:lang w:val="en-US" w:eastAsia="zh-CN" w:bidi="ar-SA"/>
                      <w14:textFill>
                        <w14:solidFill>
                          <w14:schemeClr w14:val="tx1"/>
                        </w14:solidFill>
                      </w14:textFill>
                    </w:rPr>
                    <w:t>3</w:t>
                  </w:r>
                  <w:r>
                    <w:rPr>
                      <w:rFonts w:hint="eastAsia" w:cs="Times New Roman"/>
                      <w:color w:val="000000" w:themeColor="text1"/>
                      <w:kern w:val="2"/>
                      <w:sz w:val="21"/>
                      <w:szCs w:val="21"/>
                      <w:u w:val="none" w:color="auto"/>
                      <w:lang w:val="en-US" w:eastAsia="zh-CN" w:bidi="ar-SA"/>
                      <w14:textFill>
                        <w14:solidFill>
                          <w14:schemeClr w14:val="tx1"/>
                        </w14:solidFill>
                      </w14:textFill>
                    </w:rPr>
                    <w:t>/a</w:t>
                  </w:r>
                </w:p>
              </w:tc>
              <w:tc>
                <w:tcPr>
                  <w:tcW w:w="527" w:type="pct"/>
                  <w:shd w:val="clear" w:color="auto" w:fill="auto"/>
                  <w:noWrap w:val="0"/>
                  <w:vAlign w:val="center"/>
                </w:tcPr>
                <w:p w14:paraId="2B6FD8CC">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t>/</w:t>
                  </w:r>
                </w:p>
              </w:tc>
              <w:tc>
                <w:tcPr>
                  <w:tcW w:w="530" w:type="pct"/>
                  <w:shd w:val="clear" w:color="auto" w:fill="auto"/>
                  <w:noWrap w:val="0"/>
                  <w:vAlign w:val="center"/>
                </w:tcPr>
                <w:p w14:paraId="2767CF6C">
                  <w:pPr>
                    <w:keepNext w:val="0"/>
                    <w:keepLines w:val="0"/>
                    <w:suppressLineNumbers w:val="0"/>
                    <w:adjustRightInd w:val="0"/>
                    <w:snapToGrid w:val="0"/>
                    <w:spacing w:before="0" w:beforeAutospacing="0" w:after="0" w:afterAutospacing="0" w:line="240" w:lineRule="auto"/>
                    <w:ind w:left="0" w:right="0"/>
                    <w:jc w:val="center"/>
                    <w:rPr>
                      <w:rFonts w:hint="default"/>
                      <w:color w:val="000000" w:themeColor="text1"/>
                      <w:sz w:val="21"/>
                      <w:szCs w:val="21"/>
                      <w:highlight w:val="none"/>
                      <w:u w:val="none" w:color="auto"/>
                      <w:lang w:val="en-US" w:eastAsia="zh-CN"/>
                      <w14:textFill>
                        <w14:solidFill>
                          <w14:schemeClr w14:val="tx1"/>
                        </w14:solidFill>
                      </w14:textFill>
                    </w:rPr>
                  </w:pPr>
                  <w:r>
                    <w:rPr>
                      <w:rFonts w:hint="eastAsia"/>
                      <w:color w:val="000000" w:themeColor="text1"/>
                      <w:sz w:val="21"/>
                      <w:szCs w:val="21"/>
                      <w:highlight w:val="none"/>
                      <w:u w:val="none" w:color="auto"/>
                      <w:lang w:val="en-US" w:eastAsia="zh-CN"/>
                      <w14:textFill>
                        <w14:solidFill>
                          <w14:schemeClr w14:val="tx1"/>
                        </w14:solidFill>
                      </w14:textFill>
                    </w:rPr>
                    <w:t>7200h/a</w:t>
                  </w:r>
                </w:p>
              </w:tc>
            </w:tr>
            <w:tr w14:paraId="537FC4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94" w:type="pct"/>
                  <w:vMerge w:val="continue"/>
                  <w:noWrap w:val="0"/>
                  <w:vAlign w:val="center"/>
                </w:tcPr>
                <w:p w14:paraId="09E12F6B">
                  <w:pPr>
                    <w:keepNext w:val="0"/>
                    <w:keepLines w:val="0"/>
                    <w:suppressLineNumbers w:val="0"/>
                    <w:spacing w:before="0" w:beforeAutospacing="0" w:after="0" w:afterAutospacing="0"/>
                    <w:ind w:left="0" w:right="0"/>
                    <w:jc w:val="center"/>
                    <w:rPr>
                      <w:rFonts w:hint="default" w:eastAsia="宋体"/>
                      <w:color w:val="000000" w:themeColor="text1"/>
                      <w:sz w:val="21"/>
                      <w:szCs w:val="21"/>
                      <w:u w:val="none" w:color="auto"/>
                      <w:lang w:val="en-US" w:eastAsia="zh-CN"/>
                      <w14:textFill>
                        <w14:solidFill>
                          <w14:schemeClr w14:val="tx1"/>
                        </w14:solidFill>
                      </w14:textFill>
                    </w:rPr>
                  </w:pPr>
                </w:p>
              </w:tc>
              <w:tc>
                <w:tcPr>
                  <w:tcW w:w="607" w:type="pct"/>
                  <w:vMerge w:val="continue"/>
                  <w:shd w:val="clear" w:color="auto" w:fill="auto"/>
                  <w:noWrap w:val="0"/>
                  <w:vAlign w:val="center"/>
                </w:tcPr>
                <w:p w14:paraId="39D2F8D1">
                  <w:pPr>
                    <w:keepNext w:val="0"/>
                    <w:keepLines w:val="0"/>
                    <w:suppressLineNumbers w:val="0"/>
                    <w:spacing w:before="0" w:beforeAutospacing="0" w:after="0" w:afterAutospacing="0"/>
                    <w:ind w:left="0" w:right="0"/>
                    <w:jc w:val="center"/>
                    <w:rPr>
                      <w:rFonts w:hint="eastAsia"/>
                      <w:color w:val="000000" w:themeColor="text1"/>
                      <w:sz w:val="21"/>
                      <w:szCs w:val="21"/>
                      <w:u w:val="none" w:color="auto"/>
                      <w:lang w:val="en-US" w:eastAsia="zh-CN"/>
                      <w14:textFill>
                        <w14:solidFill>
                          <w14:schemeClr w14:val="tx1"/>
                        </w14:solidFill>
                      </w14:textFill>
                    </w:rPr>
                  </w:pPr>
                </w:p>
              </w:tc>
              <w:tc>
                <w:tcPr>
                  <w:tcW w:w="764" w:type="pct"/>
                  <w:shd w:val="clear" w:color="auto" w:fill="auto"/>
                  <w:noWrap w:val="0"/>
                  <w:vAlign w:val="center"/>
                </w:tcPr>
                <w:p w14:paraId="42AD7CAA">
                  <w:pPr>
                    <w:keepNext w:val="0"/>
                    <w:keepLines w:val="0"/>
                    <w:suppressLineNumbers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eastAsia" w:eastAsia="宋体"/>
                      <w:color w:val="000000" w:themeColor="text1"/>
                      <w:sz w:val="21"/>
                      <w:szCs w:val="21"/>
                      <w:u w:val="none" w:color="auto"/>
                      <w:lang w:val="en-US" w:eastAsia="zh-CN"/>
                      <w14:textFill>
                        <w14:solidFill>
                          <w14:schemeClr w14:val="tx1"/>
                        </w14:solidFill>
                      </w14:textFill>
                    </w:rPr>
                    <w:t>颗粒物</w:t>
                  </w:r>
                </w:p>
              </w:tc>
              <w:tc>
                <w:tcPr>
                  <w:tcW w:w="913" w:type="pct"/>
                  <w:shd w:val="clear" w:color="auto" w:fill="auto"/>
                  <w:noWrap w:val="0"/>
                  <w:vAlign w:val="center"/>
                </w:tcPr>
                <w:p w14:paraId="644A8B78">
                  <w:pPr>
                    <w:keepNext w:val="0"/>
                    <w:keepLines w:val="0"/>
                    <w:suppressLineNumbers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color w:val="000000" w:themeColor="text1"/>
                      <w:sz w:val="21"/>
                      <w:szCs w:val="21"/>
                      <w:highlight w:val="none"/>
                      <w:u w:val="none" w:color="auto"/>
                      <w14:textFill>
                        <w14:solidFill>
                          <w14:schemeClr w14:val="tx1"/>
                        </w14:solidFill>
                      </w14:textFill>
                    </w:rPr>
                    <w:t>kg/</w:t>
                  </w:r>
                  <w:r>
                    <w:rPr>
                      <w:rFonts w:hint="eastAsia"/>
                      <w:color w:val="000000" w:themeColor="text1"/>
                      <w:sz w:val="21"/>
                      <w:szCs w:val="21"/>
                      <w:highlight w:val="none"/>
                      <w:u w:val="none" w:color="auto"/>
                      <w:lang w:val="en-US" w:eastAsia="zh-CN"/>
                      <w14:textFill>
                        <w14:solidFill>
                          <w14:schemeClr w14:val="tx1"/>
                        </w14:solidFill>
                      </w14:textFill>
                    </w:rPr>
                    <w:t>t</w:t>
                  </w:r>
                  <w:r>
                    <w:rPr>
                      <w:rFonts w:hint="default"/>
                      <w:color w:val="000000" w:themeColor="text1"/>
                      <w:sz w:val="21"/>
                      <w:szCs w:val="21"/>
                      <w:highlight w:val="none"/>
                      <w:u w:val="none" w:color="auto"/>
                      <w14:textFill>
                        <w14:solidFill>
                          <w14:schemeClr w14:val="tx1"/>
                        </w14:solidFill>
                      </w14:textFill>
                    </w:rPr>
                    <w:t>-</w:t>
                  </w:r>
                  <w:r>
                    <w:rPr>
                      <w:rFonts w:hint="eastAsia"/>
                      <w:color w:val="000000" w:themeColor="text1"/>
                      <w:sz w:val="21"/>
                      <w:szCs w:val="21"/>
                      <w:highlight w:val="none"/>
                      <w:u w:val="none" w:color="auto"/>
                      <w:lang w:val="en-US" w:eastAsia="zh-CN"/>
                      <w14:textFill>
                        <w14:solidFill>
                          <w14:schemeClr w14:val="tx1"/>
                        </w14:solidFill>
                      </w14:textFill>
                    </w:rPr>
                    <w:t>产品</w:t>
                  </w:r>
                </w:p>
              </w:tc>
              <w:tc>
                <w:tcPr>
                  <w:tcW w:w="433" w:type="pct"/>
                  <w:shd w:val="clear" w:color="auto" w:fill="auto"/>
                  <w:noWrap w:val="0"/>
                  <w:vAlign w:val="center"/>
                </w:tcPr>
                <w:p w14:paraId="6B4BB8E5">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eastAsia"/>
                      <w:color w:val="000000" w:themeColor="text1"/>
                      <w:kern w:val="0"/>
                      <w:sz w:val="21"/>
                      <w:szCs w:val="21"/>
                      <w:u w:val="none" w:color="auto"/>
                      <w:lang w:val="en-US" w:eastAsia="zh-CN"/>
                      <w14:textFill>
                        <w14:solidFill>
                          <w14:schemeClr w14:val="tx1"/>
                        </w14:solidFill>
                      </w14:textFill>
                    </w:rPr>
                    <w:t>11.4</w:t>
                  </w:r>
                </w:p>
              </w:tc>
              <w:tc>
                <w:tcPr>
                  <w:tcW w:w="627" w:type="pct"/>
                  <w:shd w:val="clear" w:color="auto" w:fill="auto"/>
                  <w:noWrap w:val="0"/>
                  <w:vAlign w:val="center"/>
                </w:tcPr>
                <w:p w14:paraId="2F8FE4EE">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t>34.2</w:t>
                  </w:r>
                </w:p>
              </w:tc>
              <w:tc>
                <w:tcPr>
                  <w:tcW w:w="527" w:type="pct"/>
                  <w:shd w:val="clear" w:color="auto" w:fill="auto"/>
                  <w:noWrap w:val="0"/>
                  <w:vAlign w:val="center"/>
                </w:tcPr>
                <w:p w14:paraId="16840BE5">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4.750</w:t>
                  </w:r>
                </w:p>
              </w:tc>
              <w:tc>
                <w:tcPr>
                  <w:tcW w:w="530" w:type="pct"/>
                  <w:shd w:val="clear" w:color="auto" w:fill="auto"/>
                  <w:noWrap w:val="0"/>
                  <w:vAlign w:val="center"/>
                </w:tcPr>
                <w:p w14:paraId="14BD5C7F">
                  <w:pPr>
                    <w:keepNext w:val="0"/>
                    <w:keepLines w:val="0"/>
                    <w:suppressLineNumbers w:val="0"/>
                    <w:adjustRightInd w:val="0"/>
                    <w:snapToGrid w:val="0"/>
                    <w:spacing w:before="0" w:beforeAutospacing="0" w:after="0" w:afterAutospacing="0" w:line="240" w:lineRule="auto"/>
                    <w:ind w:left="0" w:right="0"/>
                    <w:jc w:val="center"/>
                    <w:rPr>
                      <w:rFonts w:hint="default"/>
                      <w:color w:val="000000" w:themeColor="text1"/>
                      <w:sz w:val="21"/>
                      <w:szCs w:val="21"/>
                      <w:highlight w:val="none"/>
                      <w:u w:val="none" w:color="auto"/>
                      <w:lang w:val="en-US" w:eastAsia="zh-CN"/>
                      <w14:textFill>
                        <w14:solidFill>
                          <w14:schemeClr w14:val="tx1"/>
                        </w14:solidFill>
                      </w14:textFill>
                    </w:rPr>
                  </w:pPr>
                  <w:r>
                    <w:rPr>
                      <w:rFonts w:hint="eastAsia"/>
                      <w:color w:val="000000" w:themeColor="text1"/>
                      <w:sz w:val="21"/>
                      <w:szCs w:val="21"/>
                      <w:highlight w:val="none"/>
                      <w:u w:val="none" w:color="auto"/>
                      <w:lang w:val="en-US" w:eastAsia="zh-CN"/>
                      <w14:textFill>
                        <w14:solidFill>
                          <w14:schemeClr w14:val="tx1"/>
                        </w14:solidFill>
                      </w14:textFill>
                    </w:rPr>
                    <w:t>7200h/a</w:t>
                  </w:r>
                </w:p>
              </w:tc>
            </w:tr>
            <w:tr w14:paraId="68F2BD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94" w:type="pct"/>
                  <w:vMerge w:val="continue"/>
                  <w:noWrap w:val="0"/>
                  <w:vAlign w:val="center"/>
                </w:tcPr>
                <w:p w14:paraId="6D6634A8">
                  <w:pPr>
                    <w:keepNext w:val="0"/>
                    <w:keepLines w:val="0"/>
                    <w:suppressLineNumbers w:val="0"/>
                    <w:adjustRightInd w:val="0"/>
                    <w:snapToGrid w:val="0"/>
                    <w:spacing w:before="0" w:beforeAutospacing="0" w:after="0" w:afterAutospacing="0" w:line="240" w:lineRule="auto"/>
                    <w:ind w:left="0" w:right="0"/>
                    <w:jc w:val="center"/>
                    <w:rPr>
                      <w:rFonts w:hint="default"/>
                      <w:color w:val="000000" w:themeColor="text1"/>
                      <w:sz w:val="21"/>
                      <w:szCs w:val="21"/>
                      <w:u w:val="none" w:color="auto"/>
                      <w14:textFill>
                        <w14:solidFill>
                          <w14:schemeClr w14:val="tx1"/>
                        </w14:solidFill>
                      </w14:textFill>
                    </w:rPr>
                  </w:pPr>
                </w:p>
              </w:tc>
              <w:tc>
                <w:tcPr>
                  <w:tcW w:w="607" w:type="pct"/>
                  <w:vMerge w:val="continue"/>
                  <w:shd w:val="clear" w:color="auto" w:fill="auto"/>
                  <w:noWrap w:val="0"/>
                  <w:vAlign w:val="center"/>
                </w:tcPr>
                <w:p w14:paraId="163B6B25">
                  <w:pPr>
                    <w:keepNext w:val="0"/>
                    <w:keepLines w:val="0"/>
                    <w:suppressLineNumbers w:val="0"/>
                    <w:adjustRightInd w:val="0"/>
                    <w:snapToGrid w:val="0"/>
                    <w:spacing w:before="0" w:beforeAutospacing="0" w:after="0" w:afterAutospacing="0" w:line="240" w:lineRule="auto"/>
                    <w:ind w:left="0" w:right="0"/>
                    <w:jc w:val="center"/>
                    <w:rPr>
                      <w:rFonts w:hint="default"/>
                      <w:color w:val="000000" w:themeColor="text1"/>
                      <w:sz w:val="21"/>
                      <w:szCs w:val="21"/>
                      <w:u w:val="none" w:color="auto"/>
                      <w14:textFill>
                        <w14:solidFill>
                          <w14:schemeClr w14:val="tx1"/>
                        </w14:solidFill>
                      </w14:textFill>
                    </w:rPr>
                  </w:pPr>
                </w:p>
              </w:tc>
              <w:tc>
                <w:tcPr>
                  <w:tcW w:w="764" w:type="pct"/>
                  <w:shd w:val="clear" w:color="auto" w:fill="auto"/>
                  <w:noWrap w:val="0"/>
                  <w:vAlign w:val="center"/>
                </w:tcPr>
                <w:p w14:paraId="0089E0D3">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color w:val="000000" w:themeColor="text1"/>
                      <w:sz w:val="21"/>
                      <w:szCs w:val="21"/>
                      <w:highlight w:val="none"/>
                      <w:u w:val="none" w:color="auto"/>
                      <w14:textFill>
                        <w14:solidFill>
                          <w14:schemeClr w14:val="tx1"/>
                        </w14:solidFill>
                      </w14:textFill>
                    </w:rPr>
                    <w:t>SO</w:t>
                  </w:r>
                  <w:r>
                    <w:rPr>
                      <w:rFonts w:hint="default"/>
                      <w:color w:val="000000" w:themeColor="text1"/>
                      <w:sz w:val="21"/>
                      <w:szCs w:val="21"/>
                      <w:highlight w:val="none"/>
                      <w:u w:val="none" w:color="auto"/>
                      <w:vertAlign w:val="subscript"/>
                      <w14:textFill>
                        <w14:solidFill>
                          <w14:schemeClr w14:val="tx1"/>
                        </w14:solidFill>
                      </w14:textFill>
                    </w:rPr>
                    <w:t>2</w:t>
                  </w:r>
                </w:p>
              </w:tc>
              <w:tc>
                <w:tcPr>
                  <w:tcW w:w="913" w:type="pct"/>
                  <w:shd w:val="clear" w:color="auto" w:fill="auto"/>
                  <w:noWrap w:val="0"/>
                  <w:vAlign w:val="center"/>
                </w:tcPr>
                <w:p w14:paraId="51DD8467">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color w:val="000000" w:themeColor="text1"/>
                      <w:sz w:val="21"/>
                      <w:szCs w:val="21"/>
                      <w:highlight w:val="none"/>
                      <w:u w:val="none" w:color="auto"/>
                      <w14:textFill>
                        <w14:solidFill>
                          <w14:schemeClr w14:val="tx1"/>
                        </w14:solidFill>
                      </w14:textFill>
                    </w:rPr>
                    <w:t>kg/</w:t>
                  </w:r>
                  <w:r>
                    <w:rPr>
                      <w:rFonts w:hint="eastAsia"/>
                      <w:color w:val="000000" w:themeColor="text1"/>
                      <w:sz w:val="21"/>
                      <w:szCs w:val="21"/>
                      <w:highlight w:val="none"/>
                      <w:u w:val="none" w:color="auto"/>
                      <w:lang w:val="en-US" w:eastAsia="zh-CN"/>
                      <w14:textFill>
                        <w14:solidFill>
                          <w14:schemeClr w14:val="tx1"/>
                        </w14:solidFill>
                      </w14:textFill>
                    </w:rPr>
                    <w:t>t</w:t>
                  </w:r>
                  <w:r>
                    <w:rPr>
                      <w:rFonts w:hint="default"/>
                      <w:color w:val="000000" w:themeColor="text1"/>
                      <w:sz w:val="21"/>
                      <w:szCs w:val="21"/>
                      <w:highlight w:val="none"/>
                      <w:u w:val="none" w:color="auto"/>
                      <w14:textFill>
                        <w14:solidFill>
                          <w14:schemeClr w14:val="tx1"/>
                        </w14:solidFill>
                      </w14:textFill>
                    </w:rPr>
                    <w:t>-</w:t>
                  </w:r>
                  <w:r>
                    <w:rPr>
                      <w:rFonts w:hint="eastAsia"/>
                      <w:color w:val="000000" w:themeColor="text1"/>
                      <w:sz w:val="21"/>
                      <w:szCs w:val="21"/>
                      <w:highlight w:val="none"/>
                      <w:u w:val="none" w:color="auto"/>
                      <w:lang w:val="en-US" w:eastAsia="zh-CN"/>
                      <w14:textFill>
                        <w14:solidFill>
                          <w14:schemeClr w14:val="tx1"/>
                        </w14:solidFill>
                      </w14:textFill>
                    </w:rPr>
                    <w:t>产品</w:t>
                  </w:r>
                </w:p>
              </w:tc>
              <w:tc>
                <w:tcPr>
                  <w:tcW w:w="433" w:type="pct"/>
                  <w:shd w:val="clear" w:color="auto" w:fill="auto"/>
                  <w:noWrap w:val="0"/>
                  <w:vAlign w:val="center"/>
                </w:tcPr>
                <w:p w14:paraId="3A216225">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eastAsia"/>
                      <w:color w:val="000000" w:themeColor="text1"/>
                      <w:sz w:val="21"/>
                      <w:szCs w:val="21"/>
                      <w:u w:val="none" w:color="auto"/>
                      <w:lang w:val="en-US" w:eastAsia="zh-CN"/>
                      <w14:textFill>
                        <w14:solidFill>
                          <w14:schemeClr w14:val="tx1"/>
                        </w14:solidFill>
                      </w14:textFill>
                    </w:rPr>
                    <w:t>2.35</w:t>
                  </w:r>
                </w:p>
              </w:tc>
              <w:tc>
                <w:tcPr>
                  <w:tcW w:w="627" w:type="pct"/>
                  <w:shd w:val="clear" w:color="auto" w:fill="auto"/>
                  <w:noWrap w:val="0"/>
                  <w:vAlign w:val="center"/>
                </w:tcPr>
                <w:p w14:paraId="0BA280C7">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t>7.05</w:t>
                  </w:r>
                </w:p>
              </w:tc>
              <w:tc>
                <w:tcPr>
                  <w:tcW w:w="527" w:type="pct"/>
                  <w:shd w:val="clear" w:color="auto" w:fill="auto"/>
                  <w:noWrap w:val="0"/>
                  <w:vAlign w:val="center"/>
                </w:tcPr>
                <w:p w14:paraId="0231CD4D">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0.979</w:t>
                  </w:r>
                </w:p>
              </w:tc>
              <w:tc>
                <w:tcPr>
                  <w:tcW w:w="530" w:type="pct"/>
                  <w:shd w:val="clear" w:color="auto" w:fill="auto"/>
                  <w:noWrap w:val="0"/>
                  <w:vAlign w:val="center"/>
                </w:tcPr>
                <w:p w14:paraId="2CC93C44">
                  <w:pPr>
                    <w:keepNext w:val="0"/>
                    <w:keepLines w:val="0"/>
                    <w:suppressLineNumbers w:val="0"/>
                    <w:adjustRightInd w:val="0"/>
                    <w:snapToGrid w:val="0"/>
                    <w:spacing w:before="0" w:beforeAutospacing="0" w:after="0" w:afterAutospacing="0" w:line="240" w:lineRule="auto"/>
                    <w:ind w:left="0" w:right="0"/>
                    <w:jc w:val="center"/>
                    <w:rPr>
                      <w:rFonts w:hint="eastAsia"/>
                      <w:color w:val="000000" w:themeColor="text1"/>
                      <w:sz w:val="21"/>
                      <w:szCs w:val="21"/>
                      <w:u w:val="none" w:color="auto"/>
                      <w:lang w:val="en-US" w:eastAsia="zh-CN"/>
                      <w14:textFill>
                        <w14:solidFill>
                          <w14:schemeClr w14:val="tx1"/>
                        </w14:solidFill>
                      </w14:textFill>
                    </w:rPr>
                  </w:pPr>
                  <w:r>
                    <w:rPr>
                      <w:rFonts w:hint="eastAsia"/>
                      <w:color w:val="000000" w:themeColor="text1"/>
                      <w:sz w:val="21"/>
                      <w:szCs w:val="21"/>
                      <w:highlight w:val="none"/>
                      <w:u w:val="none" w:color="auto"/>
                      <w:lang w:val="en-US" w:eastAsia="zh-CN"/>
                      <w14:textFill>
                        <w14:solidFill>
                          <w14:schemeClr w14:val="tx1"/>
                        </w14:solidFill>
                      </w14:textFill>
                    </w:rPr>
                    <w:t>7200h/a</w:t>
                  </w:r>
                </w:p>
              </w:tc>
            </w:tr>
            <w:tr w14:paraId="3CA65F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94" w:type="pct"/>
                  <w:vMerge w:val="continue"/>
                  <w:noWrap w:val="0"/>
                  <w:vAlign w:val="center"/>
                </w:tcPr>
                <w:p w14:paraId="55616062">
                  <w:pPr>
                    <w:keepNext w:val="0"/>
                    <w:keepLines w:val="0"/>
                    <w:suppressLineNumbers w:val="0"/>
                    <w:adjustRightInd w:val="0"/>
                    <w:snapToGrid w:val="0"/>
                    <w:spacing w:before="0" w:beforeAutospacing="0" w:after="0" w:afterAutospacing="0" w:line="240" w:lineRule="auto"/>
                    <w:ind w:left="0" w:right="0"/>
                    <w:jc w:val="center"/>
                    <w:rPr>
                      <w:rFonts w:hint="default"/>
                      <w:color w:val="000000" w:themeColor="text1"/>
                      <w:sz w:val="21"/>
                      <w:szCs w:val="21"/>
                      <w:u w:val="none" w:color="auto"/>
                      <w14:textFill>
                        <w14:solidFill>
                          <w14:schemeClr w14:val="tx1"/>
                        </w14:solidFill>
                      </w14:textFill>
                    </w:rPr>
                  </w:pPr>
                </w:p>
              </w:tc>
              <w:tc>
                <w:tcPr>
                  <w:tcW w:w="607" w:type="pct"/>
                  <w:vMerge w:val="continue"/>
                  <w:shd w:val="clear" w:color="auto" w:fill="auto"/>
                  <w:noWrap w:val="0"/>
                  <w:vAlign w:val="center"/>
                </w:tcPr>
                <w:p w14:paraId="069453C2">
                  <w:pPr>
                    <w:keepNext w:val="0"/>
                    <w:keepLines w:val="0"/>
                    <w:suppressLineNumbers w:val="0"/>
                    <w:adjustRightInd w:val="0"/>
                    <w:snapToGrid w:val="0"/>
                    <w:spacing w:before="0" w:beforeAutospacing="0" w:after="0" w:afterAutospacing="0" w:line="240" w:lineRule="auto"/>
                    <w:ind w:left="0" w:right="0"/>
                    <w:jc w:val="center"/>
                    <w:rPr>
                      <w:rFonts w:hint="default"/>
                      <w:color w:val="000000" w:themeColor="text1"/>
                      <w:sz w:val="21"/>
                      <w:szCs w:val="21"/>
                      <w:u w:val="none" w:color="auto"/>
                      <w14:textFill>
                        <w14:solidFill>
                          <w14:schemeClr w14:val="tx1"/>
                        </w14:solidFill>
                      </w14:textFill>
                    </w:rPr>
                  </w:pPr>
                </w:p>
              </w:tc>
              <w:tc>
                <w:tcPr>
                  <w:tcW w:w="764" w:type="pct"/>
                  <w:shd w:val="clear" w:color="auto" w:fill="auto"/>
                  <w:noWrap w:val="0"/>
                  <w:vAlign w:val="center"/>
                </w:tcPr>
                <w:p w14:paraId="0E094DE7">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color w:val="000000" w:themeColor="text1"/>
                      <w:sz w:val="21"/>
                      <w:szCs w:val="21"/>
                      <w:u w:val="none" w:color="auto"/>
                      <w14:textFill>
                        <w14:solidFill>
                          <w14:schemeClr w14:val="tx1"/>
                        </w14:solidFill>
                      </w14:textFill>
                    </w:rPr>
                    <w:t>NO</w:t>
                  </w:r>
                  <w:r>
                    <w:rPr>
                      <w:rFonts w:hint="default"/>
                      <w:color w:val="000000" w:themeColor="text1"/>
                      <w:sz w:val="21"/>
                      <w:szCs w:val="21"/>
                      <w:u w:val="none" w:color="auto"/>
                      <w:vertAlign w:val="subscript"/>
                      <w14:textFill>
                        <w14:solidFill>
                          <w14:schemeClr w14:val="tx1"/>
                        </w14:solidFill>
                      </w14:textFill>
                    </w:rPr>
                    <w:t>X</w:t>
                  </w:r>
                </w:p>
              </w:tc>
              <w:tc>
                <w:tcPr>
                  <w:tcW w:w="913" w:type="pct"/>
                  <w:shd w:val="clear" w:color="auto" w:fill="auto"/>
                  <w:noWrap w:val="0"/>
                  <w:vAlign w:val="center"/>
                </w:tcPr>
                <w:p w14:paraId="5C73A964">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color w:val="000000" w:themeColor="text1"/>
                      <w:sz w:val="21"/>
                      <w:szCs w:val="21"/>
                      <w:highlight w:val="none"/>
                      <w:u w:val="none" w:color="auto"/>
                      <w14:textFill>
                        <w14:solidFill>
                          <w14:schemeClr w14:val="tx1"/>
                        </w14:solidFill>
                      </w14:textFill>
                    </w:rPr>
                    <w:t>kg/</w:t>
                  </w:r>
                  <w:r>
                    <w:rPr>
                      <w:rFonts w:hint="eastAsia"/>
                      <w:color w:val="000000" w:themeColor="text1"/>
                      <w:sz w:val="21"/>
                      <w:szCs w:val="21"/>
                      <w:highlight w:val="none"/>
                      <w:u w:val="none" w:color="auto"/>
                      <w:lang w:val="en-US" w:eastAsia="zh-CN"/>
                      <w14:textFill>
                        <w14:solidFill>
                          <w14:schemeClr w14:val="tx1"/>
                        </w14:solidFill>
                      </w14:textFill>
                    </w:rPr>
                    <w:t>t</w:t>
                  </w:r>
                  <w:r>
                    <w:rPr>
                      <w:rFonts w:hint="default"/>
                      <w:color w:val="000000" w:themeColor="text1"/>
                      <w:sz w:val="21"/>
                      <w:szCs w:val="21"/>
                      <w:highlight w:val="none"/>
                      <w:u w:val="none" w:color="auto"/>
                      <w14:textFill>
                        <w14:solidFill>
                          <w14:schemeClr w14:val="tx1"/>
                        </w14:solidFill>
                      </w14:textFill>
                    </w:rPr>
                    <w:t>-</w:t>
                  </w:r>
                  <w:r>
                    <w:rPr>
                      <w:rFonts w:hint="eastAsia"/>
                      <w:color w:val="000000" w:themeColor="text1"/>
                      <w:sz w:val="21"/>
                      <w:szCs w:val="21"/>
                      <w:highlight w:val="none"/>
                      <w:u w:val="none" w:color="auto"/>
                      <w:lang w:val="en-US" w:eastAsia="zh-CN"/>
                      <w14:textFill>
                        <w14:solidFill>
                          <w14:schemeClr w14:val="tx1"/>
                        </w14:solidFill>
                      </w14:textFill>
                    </w:rPr>
                    <w:t>产品</w:t>
                  </w:r>
                </w:p>
              </w:tc>
              <w:tc>
                <w:tcPr>
                  <w:tcW w:w="433" w:type="pct"/>
                  <w:shd w:val="clear" w:color="auto" w:fill="auto"/>
                  <w:noWrap w:val="0"/>
                  <w:vAlign w:val="center"/>
                </w:tcPr>
                <w:p w14:paraId="10677901">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eastAsia"/>
                      <w:color w:val="000000" w:themeColor="text1"/>
                      <w:sz w:val="21"/>
                      <w:szCs w:val="21"/>
                      <w:u w:val="none" w:color="auto"/>
                      <w:lang w:val="en-US" w:eastAsia="zh-CN"/>
                      <w14:textFill>
                        <w14:solidFill>
                          <w14:schemeClr w14:val="tx1"/>
                        </w14:solidFill>
                      </w14:textFill>
                    </w:rPr>
                    <w:t>1.50</w:t>
                  </w:r>
                </w:p>
              </w:tc>
              <w:tc>
                <w:tcPr>
                  <w:tcW w:w="627" w:type="pct"/>
                  <w:shd w:val="clear" w:color="auto" w:fill="auto"/>
                  <w:noWrap w:val="0"/>
                  <w:vAlign w:val="center"/>
                </w:tcPr>
                <w:p w14:paraId="64F07DE4">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t>4.5</w:t>
                  </w:r>
                </w:p>
              </w:tc>
              <w:tc>
                <w:tcPr>
                  <w:tcW w:w="527" w:type="pct"/>
                  <w:shd w:val="clear" w:color="auto" w:fill="auto"/>
                  <w:noWrap w:val="0"/>
                  <w:vAlign w:val="center"/>
                </w:tcPr>
                <w:p w14:paraId="112AE1C4">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0.625</w:t>
                  </w:r>
                </w:p>
              </w:tc>
              <w:tc>
                <w:tcPr>
                  <w:tcW w:w="530" w:type="pct"/>
                  <w:shd w:val="clear" w:color="auto" w:fill="auto"/>
                  <w:noWrap w:val="0"/>
                  <w:vAlign w:val="center"/>
                </w:tcPr>
                <w:p w14:paraId="032DC76D">
                  <w:pPr>
                    <w:keepNext w:val="0"/>
                    <w:keepLines w:val="0"/>
                    <w:suppressLineNumbers w:val="0"/>
                    <w:adjustRightInd w:val="0"/>
                    <w:snapToGrid w:val="0"/>
                    <w:spacing w:before="0" w:beforeAutospacing="0" w:after="0" w:afterAutospacing="0" w:line="240" w:lineRule="auto"/>
                    <w:ind w:left="0" w:right="0"/>
                    <w:jc w:val="center"/>
                    <w:rPr>
                      <w:rFonts w:hint="eastAsia"/>
                      <w:color w:val="000000" w:themeColor="text1"/>
                      <w:sz w:val="21"/>
                      <w:szCs w:val="21"/>
                      <w:u w:val="none" w:color="auto"/>
                      <w:lang w:val="en-US" w:eastAsia="zh-CN"/>
                      <w14:textFill>
                        <w14:solidFill>
                          <w14:schemeClr w14:val="tx1"/>
                        </w14:solidFill>
                      </w14:textFill>
                    </w:rPr>
                  </w:pPr>
                  <w:r>
                    <w:rPr>
                      <w:rFonts w:hint="eastAsia"/>
                      <w:color w:val="000000" w:themeColor="text1"/>
                      <w:sz w:val="21"/>
                      <w:szCs w:val="21"/>
                      <w:highlight w:val="none"/>
                      <w:u w:val="none" w:color="auto"/>
                      <w:lang w:val="en-US" w:eastAsia="zh-CN"/>
                      <w14:textFill>
                        <w14:solidFill>
                          <w14:schemeClr w14:val="tx1"/>
                        </w14:solidFill>
                      </w14:textFill>
                    </w:rPr>
                    <w:t>7200h/a</w:t>
                  </w:r>
                </w:p>
              </w:tc>
            </w:tr>
          </w:tbl>
          <w:p w14:paraId="6669423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cs="Times New Roman"/>
                <w:color w:val="000000" w:themeColor="text1"/>
                <w:kern w:val="0"/>
                <w:sz w:val="24"/>
                <w:szCs w:val="24"/>
                <w:u w:val="none"/>
                <w:lang w:val="en-US" w:eastAsia="zh-CN" w:bidi="ar"/>
                <w14:textFill>
                  <w14:solidFill>
                    <w14:schemeClr w14:val="tx1"/>
                  </w14:solidFill>
                </w14:textFill>
              </w:rPr>
            </w:pPr>
            <w:r>
              <w:rPr>
                <w:rFonts w:hint="default" w:ascii="Times New Roman" w:hAnsi="Times New Roman" w:cs="Times New Roman"/>
                <w:color w:val="000000" w:themeColor="text1"/>
                <w:kern w:val="0"/>
                <w:sz w:val="24"/>
                <w:szCs w:val="24"/>
                <w:u w:val="none"/>
                <w:lang w:val="en-US" w:eastAsia="zh-CN" w:bidi="ar"/>
                <w14:textFill>
                  <w14:solidFill>
                    <w14:schemeClr w14:val="tx1"/>
                  </w14:solidFill>
                </w14:textFill>
              </w:rPr>
              <w:t>本项目炭化炉炉顶设置烟气管道，炭化后尾气先经冷凝装置分别冷凝木醋液和木焦油，然后经木煤气储存柜暂存，在烘干时段供给热风炉热源；在炭化炉点火和炭化初始阶段，供给炭化炉热源。多余的木煤气经储存柜暂存</w:t>
            </w:r>
            <w:r>
              <w:rPr>
                <w:rFonts w:hint="eastAsia" w:ascii="Times New Roman" w:hAnsi="Times New Roman" w:cs="Times New Roman"/>
                <w:color w:val="000000" w:themeColor="text1"/>
                <w:kern w:val="0"/>
                <w:sz w:val="24"/>
                <w:szCs w:val="24"/>
                <w:u w:val="none"/>
                <w:lang w:val="en-US" w:eastAsia="zh-CN" w:bidi="ar"/>
                <w14:textFill>
                  <w14:solidFill>
                    <w14:schemeClr w14:val="tx1"/>
                  </w14:solidFill>
                </w14:textFill>
              </w:rPr>
              <w:t>后外售</w:t>
            </w:r>
            <w:r>
              <w:rPr>
                <w:rFonts w:hint="default" w:ascii="Times New Roman" w:hAnsi="Times New Roman" w:cs="Times New Roman"/>
                <w:color w:val="000000" w:themeColor="text1"/>
                <w:kern w:val="0"/>
                <w:sz w:val="24"/>
                <w:szCs w:val="24"/>
                <w:u w:val="none"/>
                <w:lang w:val="en-US" w:eastAsia="zh-CN" w:bidi="ar"/>
                <w14:textFill>
                  <w14:solidFill>
                    <w14:schemeClr w14:val="tx1"/>
                  </w14:solidFill>
                </w14:textFill>
              </w:rPr>
              <w:t>。</w:t>
            </w:r>
          </w:p>
          <w:p w14:paraId="2E1BF99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cs="Times New Roman"/>
                <w:color w:val="000000" w:themeColor="text1"/>
                <w:kern w:val="0"/>
                <w:sz w:val="24"/>
                <w:szCs w:val="24"/>
                <w:u w:val="none"/>
                <w:lang w:val="en-US" w:eastAsia="zh-CN" w:bidi="ar"/>
                <w14:textFill>
                  <w14:solidFill>
                    <w14:schemeClr w14:val="tx1"/>
                  </w14:solidFill>
                </w14:textFill>
              </w:rPr>
            </w:pPr>
            <w:r>
              <w:rPr>
                <w:rFonts w:hint="default" w:ascii="Times New Roman" w:hAnsi="Times New Roman" w:cs="Times New Roman"/>
                <w:color w:val="000000" w:themeColor="text1"/>
                <w:kern w:val="0"/>
                <w:sz w:val="24"/>
                <w:szCs w:val="24"/>
                <w:u w:val="none"/>
                <w:lang w:val="en-US" w:eastAsia="zh-CN" w:bidi="ar"/>
                <w14:textFill>
                  <w14:solidFill>
                    <w14:schemeClr w14:val="tx1"/>
                  </w14:solidFill>
                </w14:textFill>
              </w:rPr>
              <w:t>烘干时：机制炭生产线制棒废气引入烘干机作为热源，最终与炭化炉点火和炭化初始阶段燃料燃烧废气、烘干废气一起经</w:t>
            </w:r>
            <w:r>
              <w:rPr>
                <w:rFonts w:hint="eastAsia" w:ascii="Times New Roman" w:hAnsi="Times New Roman" w:cs="Times New Roman"/>
                <w:color w:val="000000" w:themeColor="text1"/>
                <w:kern w:val="0"/>
                <w:sz w:val="24"/>
                <w:szCs w:val="24"/>
                <w:highlight w:val="none"/>
                <w:u w:val="none"/>
                <w:lang w:val="en-US" w:eastAsia="zh-CN" w:bidi="ar"/>
                <w14:textFill>
                  <w14:solidFill>
                    <w14:schemeClr w14:val="tx1"/>
                  </w14:solidFill>
                </w14:textFill>
              </w:rPr>
              <w:t>“碱喷淋+静电除尘装置”</w:t>
            </w:r>
            <w:r>
              <w:rPr>
                <w:rFonts w:hint="default" w:ascii="Times New Roman" w:hAnsi="Times New Roman" w:cs="Times New Roman"/>
                <w:color w:val="000000" w:themeColor="text1"/>
                <w:kern w:val="0"/>
                <w:sz w:val="24"/>
                <w:szCs w:val="24"/>
                <w:highlight w:val="none"/>
                <w:u w:val="none"/>
                <w:lang w:val="en-US" w:eastAsia="zh-CN" w:bidi="ar"/>
                <w14:textFill>
                  <w14:solidFill>
                    <w14:schemeClr w14:val="tx1"/>
                  </w14:solidFill>
                </w14:textFill>
              </w:rPr>
              <w:t>处理后经15m高排气筒（DA00</w:t>
            </w:r>
            <w:r>
              <w:rPr>
                <w:rFonts w:hint="eastAsia" w:ascii="Times New Roman" w:hAnsi="Times New Roman" w:cs="Times New Roman"/>
                <w:color w:val="000000" w:themeColor="text1"/>
                <w:kern w:val="0"/>
                <w:sz w:val="24"/>
                <w:szCs w:val="24"/>
                <w:highlight w:val="none"/>
                <w:u w:val="none"/>
                <w:lang w:val="en-US" w:eastAsia="zh-CN" w:bidi="ar"/>
                <w14:textFill>
                  <w14:solidFill>
                    <w14:schemeClr w14:val="tx1"/>
                  </w14:solidFill>
                </w14:textFill>
              </w:rPr>
              <w:t>2</w:t>
            </w:r>
            <w:r>
              <w:rPr>
                <w:rFonts w:hint="default" w:ascii="Times New Roman" w:hAnsi="Times New Roman" w:cs="Times New Roman"/>
                <w:color w:val="000000" w:themeColor="text1"/>
                <w:kern w:val="0"/>
                <w:sz w:val="24"/>
                <w:szCs w:val="24"/>
                <w:highlight w:val="none"/>
                <w:u w:val="none"/>
                <w:lang w:val="en-US" w:eastAsia="zh-CN" w:bidi="ar"/>
                <w14:textFill>
                  <w14:solidFill>
                    <w14:schemeClr w14:val="tx1"/>
                  </w14:solidFill>
                </w14:textFill>
              </w:rPr>
              <w:t>）排放。</w:t>
            </w:r>
          </w:p>
          <w:p w14:paraId="54DCABA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cs="Times New Roman"/>
                <w:color w:val="000000" w:themeColor="text1"/>
                <w:kern w:val="0"/>
                <w:sz w:val="24"/>
                <w:szCs w:val="24"/>
                <w:highlight w:val="none"/>
                <w:u w:val="none"/>
                <w:lang w:val="en-US" w:eastAsia="zh-CN" w:bidi="ar"/>
                <w14:textFill>
                  <w14:solidFill>
                    <w14:schemeClr w14:val="tx1"/>
                  </w14:solidFill>
                </w14:textFill>
              </w:rPr>
            </w:pPr>
            <w:r>
              <w:rPr>
                <w:rFonts w:hint="default" w:ascii="Times New Roman" w:hAnsi="Times New Roman" w:cs="Times New Roman"/>
                <w:color w:val="000000" w:themeColor="text1"/>
                <w:kern w:val="0"/>
                <w:sz w:val="24"/>
                <w:szCs w:val="24"/>
                <w:highlight w:val="none"/>
                <w:u w:val="none"/>
                <w:lang w:val="en-US" w:eastAsia="zh-CN" w:bidi="ar"/>
                <w14:textFill>
                  <w14:solidFill>
                    <w14:schemeClr w14:val="tx1"/>
                  </w14:solidFill>
                </w14:textFill>
              </w:rPr>
              <w:t>非烘干时，制棒废气、炭化炉点火和炭化初始阶段燃料燃烧废气一起经</w:t>
            </w:r>
            <w:r>
              <w:rPr>
                <w:rFonts w:hint="eastAsia" w:ascii="Times New Roman" w:hAnsi="Times New Roman" w:cs="Times New Roman"/>
                <w:color w:val="000000" w:themeColor="text1"/>
                <w:kern w:val="0"/>
                <w:sz w:val="24"/>
                <w:szCs w:val="24"/>
                <w:highlight w:val="none"/>
                <w:u w:val="none"/>
                <w:lang w:val="en-US" w:eastAsia="zh-CN" w:bidi="ar"/>
                <w14:textFill>
                  <w14:solidFill>
                    <w14:schemeClr w14:val="tx1"/>
                  </w14:solidFill>
                </w14:textFill>
              </w:rPr>
              <w:t>“碱喷淋+静电除尘装置”</w:t>
            </w:r>
            <w:r>
              <w:rPr>
                <w:rFonts w:hint="default" w:ascii="Times New Roman" w:hAnsi="Times New Roman" w:cs="Times New Roman"/>
                <w:color w:val="000000" w:themeColor="text1"/>
                <w:kern w:val="0"/>
                <w:sz w:val="24"/>
                <w:szCs w:val="24"/>
                <w:highlight w:val="none"/>
                <w:u w:val="none"/>
                <w:lang w:val="en-US" w:eastAsia="zh-CN" w:bidi="ar"/>
                <w14:textFill>
                  <w14:solidFill>
                    <w14:schemeClr w14:val="tx1"/>
                  </w14:solidFill>
                </w14:textFill>
              </w:rPr>
              <w:t>处理后经15m高排气筒（DA00</w:t>
            </w:r>
            <w:r>
              <w:rPr>
                <w:rFonts w:hint="eastAsia" w:ascii="Times New Roman" w:hAnsi="Times New Roman" w:cs="Times New Roman"/>
                <w:color w:val="000000" w:themeColor="text1"/>
                <w:kern w:val="0"/>
                <w:sz w:val="24"/>
                <w:szCs w:val="24"/>
                <w:highlight w:val="none"/>
                <w:u w:val="none"/>
                <w:lang w:val="en-US" w:eastAsia="zh-CN" w:bidi="ar"/>
                <w14:textFill>
                  <w14:solidFill>
                    <w14:schemeClr w14:val="tx1"/>
                  </w14:solidFill>
                </w14:textFill>
              </w:rPr>
              <w:t>2</w:t>
            </w:r>
            <w:r>
              <w:rPr>
                <w:rFonts w:hint="default" w:ascii="Times New Roman" w:hAnsi="Times New Roman" w:cs="Times New Roman"/>
                <w:color w:val="000000" w:themeColor="text1"/>
                <w:kern w:val="0"/>
                <w:sz w:val="24"/>
                <w:szCs w:val="24"/>
                <w:highlight w:val="none"/>
                <w:u w:val="none"/>
                <w:lang w:val="en-US" w:eastAsia="zh-CN" w:bidi="ar"/>
                <w14:textFill>
                  <w14:solidFill>
                    <w14:schemeClr w14:val="tx1"/>
                  </w14:solidFill>
                </w14:textFill>
              </w:rPr>
              <w:t>）排放。</w:t>
            </w:r>
          </w:p>
          <w:p w14:paraId="7AC78BE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cs="Times New Roman"/>
                <w:color w:val="000000" w:themeColor="text1"/>
                <w:kern w:val="0"/>
                <w:sz w:val="24"/>
                <w:szCs w:val="24"/>
                <w:highlight w:val="none"/>
                <w:u w:val="none"/>
                <w:lang w:val="en-US" w:eastAsia="zh-CN" w:bidi="ar"/>
                <w14:textFill>
                  <w14:solidFill>
                    <w14:schemeClr w14:val="tx1"/>
                  </w14:solidFill>
                </w14:textFill>
              </w:rPr>
            </w:pPr>
            <w:r>
              <w:rPr>
                <w:rFonts w:hint="default" w:ascii="Times New Roman" w:hAnsi="Times New Roman" w:cs="Times New Roman"/>
                <w:color w:val="000000" w:themeColor="text1"/>
                <w:kern w:val="0"/>
                <w:sz w:val="24"/>
                <w:szCs w:val="24"/>
                <w:highlight w:val="none"/>
                <w:u w:val="none"/>
                <w:lang w:val="en-US" w:eastAsia="zh-CN" w:bidi="ar"/>
                <w14:textFill>
                  <w14:solidFill>
                    <w14:schemeClr w14:val="tx1"/>
                  </w14:solidFill>
                </w14:textFill>
              </w:rPr>
              <w:t>该装置对颗粒物的综合处理效率按9</w:t>
            </w:r>
            <w:r>
              <w:rPr>
                <w:rFonts w:hint="eastAsia" w:ascii="Times New Roman" w:hAnsi="Times New Roman" w:cs="Times New Roman"/>
                <w:color w:val="000000" w:themeColor="text1"/>
                <w:kern w:val="0"/>
                <w:sz w:val="24"/>
                <w:szCs w:val="24"/>
                <w:highlight w:val="none"/>
                <w:u w:val="none"/>
                <w:lang w:val="en-US" w:eastAsia="zh-CN" w:bidi="ar"/>
                <w14:textFill>
                  <w14:solidFill>
                    <w14:schemeClr w14:val="tx1"/>
                  </w14:solidFill>
                </w14:textFill>
              </w:rPr>
              <w:t>9</w:t>
            </w:r>
            <w:r>
              <w:rPr>
                <w:rFonts w:hint="default" w:ascii="Times New Roman" w:hAnsi="Times New Roman" w:cs="Times New Roman"/>
                <w:color w:val="000000" w:themeColor="text1"/>
                <w:kern w:val="0"/>
                <w:sz w:val="24"/>
                <w:szCs w:val="24"/>
                <w:highlight w:val="none"/>
                <w:u w:val="none"/>
                <w:lang w:val="en-US" w:eastAsia="zh-CN" w:bidi="ar"/>
                <w14:textFill>
                  <w14:solidFill>
                    <w14:schemeClr w14:val="tx1"/>
                  </w14:solidFill>
                </w14:textFill>
              </w:rPr>
              <w:t>%计算，对SO</w:t>
            </w:r>
            <w:r>
              <w:rPr>
                <w:rFonts w:hint="default" w:ascii="Times New Roman" w:hAnsi="Times New Roman" w:cs="Times New Roman"/>
                <w:color w:val="000000" w:themeColor="text1"/>
                <w:kern w:val="0"/>
                <w:sz w:val="24"/>
                <w:szCs w:val="24"/>
                <w:highlight w:val="none"/>
                <w:u w:val="none"/>
                <w:vertAlign w:val="subscript"/>
                <w:lang w:val="en-US" w:eastAsia="zh-CN" w:bidi="ar"/>
                <w14:textFill>
                  <w14:solidFill>
                    <w14:schemeClr w14:val="tx1"/>
                  </w14:solidFill>
                </w14:textFill>
              </w:rPr>
              <w:t>2</w:t>
            </w:r>
            <w:r>
              <w:rPr>
                <w:rFonts w:hint="default" w:ascii="Times New Roman" w:hAnsi="Times New Roman" w:cs="Times New Roman"/>
                <w:color w:val="000000" w:themeColor="text1"/>
                <w:kern w:val="0"/>
                <w:sz w:val="24"/>
                <w:szCs w:val="24"/>
                <w:highlight w:val="none"/>
                <w:u w:val="none"/>
                <w:lang w:val="en-US" w:eastAsia="zh-CN" w:bidi="ar"/>
                <w14:textFill>
                  <w14:solidFill>
                    <w14:schemeClr w14:val="tx1"/>
                  </w14:solidFill>
                </w14:textFill>
              </w:rPr>
              <w:t>的去除效率按照80%计算。风机风量为</w:t>
            </w:r>
            <w:r>
              <w:rPr>
                <w:rFonts w:hint="eastAsia" w:ascii="Times New Roman" w:hAnsi="Times New Roman" w:cs="Times New Roman"/>
                <w:color w:val="000000" w:themeColor="text1"/>
                <w:kern w:val="0"/>
                <w:sz w:val="24"/>
                <w:szCs w:val="24"/>
                <w:highlight w:val="none"/>
                <w:u w:val="none"/>
                <w:lang w:val="en-US" w:eastAsia="zh-CN" w:bidi="ar"/>
                <w14:textFill>
                  <w14:solidFill>
                    <w14:schemeClr w14:val="tx1"/>
                  </w14:solidFill>
                </w14:textFill>
              </w:rPr>
              <w:t>20</w:t>
            </w:r>
            <w:r>
              <w:rPr>
                <w:rFonts w:hint="default" w:ascii="Times New Roman" w:hAnsi="Times New Roman" w:cs="Times New Roman"/>
                <w:color w:val="000000" w:themeColor="text1"/>
                <w:kern w:val="0"/>
                <w:sz w:val="24"/>
                <w:szCs w:val="24"/>
                <w:highlight w:val="none"/>
                <w:u w:val="none"/>
                <w:lang w:val="en-US" w:eastAsia="zh-CN" w:bidi="ar"/>
                <w14:textFill>
                  <w14:solidFill>
                    <w14:schemeClr w14:val="tx1"/>
                  </w14:solidFill>
                </w14:textFill>
              </w:rPr>
              <w:t>000m</w:t>
            </w:r>
            <w:r>
              <w:rPr>
                <w:rFonts w:hint="default" w:ascii="Times New Roman" w:hAnsi="Times New Roman" w:cs="Times New Roman"/>
                <w:color w:val="000000" w:themeColor="text1"/>
                <w:kern w:val="0"/>
                <w:sz w:val="24"/>
                <w:szCs w:val="24"/>
                <w:highlight w:val="none"/>
                <w:u w:val="none"/>
                <w:vertAlign w:val="superscript"/>
                <w:lang w:val="en-US" w:eastAsia="zh-CN" w:bidi="ar"/>
                <w14:textFill>
                  <w14:solidFill>
                    <w14:schemeClr w14:val="tx1"/>
                  </w14:solidFill>
                </w14:textFill>
              </w:rPr>
              <w:t>3</w:t>
            </w:r>
            <w:r>
              <w:rPr>
                <w:rFonts w:hint="default" w:ascii="Times New Roman" w:hAnsi="Times New Roman" w:cs="Times New Roman"/>
                <w:color w:val="000000" w:themeColor="text1"/>
                <w:kern w:val="0"/>
                <w:sz w:val="24"/>
                <w:szCs w:val="24"/>
                <w:highlight w:val="none"/>
                <w:u w:val="none"/>
                <w:lang w:val="en-US" w:eastAsia="zh-CN" w:bidi="ar"/>
                <w14:textFill>
                  <w14:solidFill>
                    <w14:schemeClr w14:val="tx1"/>
                  </w14:solidFill>
                </w14:textFill>
              </w:rPr>
              <w:t>/a。</w:t>
            </w:r>
          </w:p>
          <w:p w14:paraId="31A2A3C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cs="Times New Roman"/>
                <w:color w:val="000000" w:themeColor="text1"/>
                <w:kern w:val="0"/>
                <w:sz w:val="24"/>
                <w:szCs w:val="24"/>
                <w:u w:val="none"/>
                <w:lang w:val="en-US" w:eastAsia="zh-CN" w:bidi="ar"/>
                <w14:textFill>
                  <w14:solidFill>
                    <w14:schemeClr w14:val="tx1"/>
                  </w14:solidFill>
                </w14:textFill>
              </w:rPr>
            </w:pPr>
            <w:r>
              <w:rPr>
                <w:rFonts w:hint="default" w:ascii="Times New Roman" w:hAnsi="Times New Roman" w:cs="Times New Roman"/>
                <w:color w:val="000000" w:themeColor="text1"/>
                <w:kern w:val="0"/>
                <w:sz w:val="24"/>
                <w:szCs w:val="24"/>
                <w:u w:val="none"/>
                <w:lang w:val="en-US" w:eastAsia="zh-CN" w:bidi="ar"/>
                <w14:textFill>
                  <w14:solidFill>
                    <w14:schemeClr w14:val="tx1"/>
                  </w14:solidFill>
                </w14:textFill>
              </w:rPr>
              <w:t>项目炭化过程各组分产生情况如下：</w:t>
            </w:r>
          </w:p>
          <w:p w14:paraId="5634A2A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eastAsia="宋体" w:cs="Times New Roman"/>
                <w:b/>
                <w:bCs/>
                <w:color w:val="000000" w:themeColor="text1"/>
                <w:sz w:val="24"/>
                <w:szCs w:val="24"/>
                <w:highlight w:val="none"/>
                <w:u w:val="none" w:color="auto"/>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u w:val="none" w:color="auto"/>
                <w14:textFill>
                  <w14:solidFill>
                    <w14:schemeClr w14:val="tx1"/>
                  </w14:solidFill>
                </w14:textFill>
              </w:rPr>
              <w:t>表</w:t>
            </w:r>
            <w:r>
              <w:rPr>
                <w:rFonts w:hint="default" w:ascii="Times New Roman" w:hAnsi="Times New Roman" w:eastAsia="宋体" w:cs="Times New Roman"/>
                <w:b/>
                <w:bCs/>
                <w:color w:val="000000" w:themeColor="text1"/>
                <w:sz w:val="24"/>
                <w:szCs w:val="24"/>
                <w:highlight w:val="none"/>
                <w:u w:val="none" w:color="auto"/>
                <w:lang w:val="en-US" w:eastAsia="zh-CN"/>
                <w14:textFill>
                  <w14:solidFill>
                    <w14:schemeClr w14:val="tx1"/>
                  </w14:solidFill>
                </w14:textFill>
              </w:rPr>
              <w:t>4-</w:t>
            </w:r>
            <w:r>
              <w:rPr>
                <w:rFonts w:hint="eastAsia" w:ascii="Times New Roman" w:hAnsi="Times New Roman" w:eastAsia="宋体" w:cs="Times New Roman"/>
                <w:b/>
                <w:bCs/>
                <w:color w:val="000000" w:themeColor="text1"/>
                <w:sz w:val="24"/>
                <w:szCs w:val="24"/>
                <w:highlight w:val="none"/>
                <w:u w:val="none" w:color="auto"/>
                <w:lang w:val="en-US" w:eastAsia="zh-CN"/>
                <w14:textFill>
                  <w14:solidFill>
                    <w14:schemeClr w14:val="tx1"/>
                  </w14:solidFill>
                </w14:textFill>
              </w:rPr>
              <w:t>5</w:t>
            </w:r>
            <w:r>
              <w:rPr>
                <w:rFonts w:hint="default" w:ascii="Times New Roman" w:hAnsi="Times New Roman" w:eastAsia="宋体" w:cs="Times New Roman"/>
                <w:b/>
                <w:bCs/>
                <w:color w:val="000000" w:themeColor="text1"/>
                <w:sz w:val="24"/>
                <w:szCs w:val="24"/>
                <w:highlight w:val="none"/>
                <w:u w:val="none" w:color="auto"/>
                <w14:textFill>
                  <w14:solidFill>
                    <w14:schemeClr w14:val="tx1"/>
                  </w14:solidFill>
                </w14:textFill>
              </w:rPr>
              <w:t xml:space="preserve">   项目</w:t>
            </w:r>
            <w:r>
              <w:rPr>
                <w:rFonts w:hint="default" w:ascii="Times New Roman" w:hAnsi="Times New Roman" w:eastAsia="宋体" w:cs="Times New Roman"/>
                <w:b/>
                <w:bCs/>
                <w:color w:val="000000" w:themeColor="text1"/>
                <w:sz w:val="24"/>
                <w:szCs w:val="24"/>
                <w:highlight w:val="none"/>
                <w:u w:val="none" w:color="auto"/>
                <w:lang w:val="en-US" w:eastAsia="zh-CN"/>
                <w14:textFill>
                  <w14:solidFill>
                    <w14:schemeClr w14:val="tx1"/>
                  </w14:solidFill>
                </w14:textFill>
              </w:rPr>
              <w:t>炭化过程各组分产生情况</w:t>
            </w:r>
            <w:r>
              <w:rPr>
                <w:rFonts w:hint="default" w:ascii="Times New Roman" w:hAnsi="Times New Roman" w:eastAsia="宋体" w:cs="Times New Roman"/>
                <w:b/>
                <w:bCs/>
                <w:color w:val="000000" w:themeColor="text1"/>
                <w:sz w:val="24"/>
                <w:szCs w:val="24"/>
                <w:highlight w:val="none"/>
                <w:u w:val="none" w:color="auto"/>
                <w14:textFill>
                  <w14:solidFill>
                    <w14:schemeClr w14:val="tx1"/>
                  </w14:solidFill>
                </w14:textFill>
              </w:rPr>
              <w:t>一览表</w:t>
            </w:r>
          </w:p>
          <w:tbl>
            <w:tblPr>
              <w:tblStyle w:val="29"/>
              <w:tblW w:w="4998"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2209"/>
              <w:gridCol w:w="1748"/>
              <w:gridCol w:w="2878"/>
              <w:gridCol w:w="2467"/>
            </w:tblGrid>
            <w:tr w14:paraId="5F86B0F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187" w:type="pct"/>
                  <w:tcBorders>
                    <w:top w:val="single" w:color="auto" w:sz="4" w:space="0"/>
                    <w:left w:val="single" w:color="auto" w:sz="4" w:space="0"/>
                    <w:bottom w:val="single" w:color="auto" w:sz="4" w:space="0"/>
                    <w:right w:val="single" w:color="auto" w:sz="4" w:space="0"/>
                  </w:tcBorders>
                  <w:noWrap w:val="0"/>
                  <w:vAlign w:val="center"/>
                </w:tcPr>
                <w:p w14:paraId="61FF85AB">
                  <w:pPr>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sz w:val="21"/>
                      <w:szCs w:val="21"/>
                      <w:highlight w:val="none"/>
                      <w:u w:val="none" w:color="auto"/>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en-US" w:eastAsia="zh-CN"/>
                      <w14:textFill>
                        <w14:solidFill>
                          <w14:schemeClr w14:val="tx1"/>
                        </w14:solidFill>
                      </w14:textFill>
                    </w:rPr>
                    <w:t>炭化工序原料</w:t>
                  </w:r>
                  <w:r>
                    <w:rPr>
                      <w:rFonts w:hint="default" w:ascii="Times New Roman" w:hAnsi="Times New Roman" w:cs="Times New Roman"/>
                      <w:color w:val="000000" w:themeColor="text1"/>
                      <w:sz w:val="21"/>
                      <w:szCs w:val="21"/>
                      <w:highlight w:val="none"/>
                      <w:u w:val="none" w:color="auto"/>
                      <w14:textFill>
                        <w14:solidFill>
                          <w14:schemeClr w14:val="tx1"/>
                        </w14:solidFill>
                      </w14:textFill>
                    </w:rPr>
                    <w:t>（t/a）</w:t>
                  </w:r>
                </w:p>
              </w:tc>
              <w:tc>
                <w:tcPr>
                  <w:tcW w:w="939" w:type="pct"/>
                  <w:tcBorders>
                    <w:top w:val="single" w:color="auto" w:sz="4" w:space="0"/>
                    <w:left w:val="single" w:color="auto" w:sz="4" w:space="0"/>
                    <w:bottom w:val="single" w:color="auto" w:sz="4" w:space="0"/>
                    <w:right w:val="single" w:color="auto" w:sz="4" w:space="0"/>
                  </w:tcBorders>
                  <w:noWrap w:val="0"/>
                  <w:vAlign w:val="center"/>
                </w:tcPr>
                <w:p w14:paraId="6BB4C072">
                  <w:pPr>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sz w:val="21"/>
                      <w:szCs w:val="21"/>
                      <w:highlight w:val="none"/>
                      <w:u w:val="none" w:color="auto"/>
                      <w14:textFill>
                        <w14:solidFill>
                          <w14:schemeClr w14:val="tx1"/>
                        </w14:solidFill>
                      </w14:textFill>
                    </w:rPr>
                  </w:pPr>
                  <w:r>
                    <w:rPr>
                      <w:rFonts w:hint="default" w:ascii="Times New Roman" w:hAnsi="Times New Roman" w:cs="Times New Roman"/>
                      <w:bCs/>
                      <w:color w:val="000000" w:themeColor="text1"/>
                      <w:sz w:val="21"/>
                      <w:szCs w:val="21"/>
                      <w:highlight w:val="none"/>
                      <w:u w:val="none" w:color="auto"/>
                      <w14:textFill>
                        <w14:solidFill>
                          <w14:schemeClr w14:val="tx1"/>
                        </w14:solidFill>
                      </w14:textFill>
                    </w:rPr>
                    <w:t>绝干原料（t/a）</w:t>
                  </w:r>
                </w:p>
              </w:tc>
              <w:tc>
                <w:tcPr>
                  <w:tcW w:w="1546" w:type="pct"/>
                  <w:tcBorders>
                    <w:top w:val="single" w:color="auto" w:sz="4" w:space="0"/>
                    <w:left w:val="single" w:color="auto" w:sz="4" w:space="0"/>
                    <w:bottom w:val="single" w:color="auto" w:sz="4" w:space="0"/>
                    <w:right w:val="single" w:color="auto" w:sz="4" w:space="0"/>
                  </w:tcBorders>
                  <w:noWrap w:val="0"/>
                  <w:vAlign w:val="center"/>
                </w:tcPr>
                <w:p w14:paraId="3E6CE4BD">
                  <w:pPr>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sz w:val="21"/>
                      <w:szCs w:val="21"/>
                      <w:highlight w:val="none"/>
                      <w:u w:val="none" w:color="auto"/>
                      <w14:textFill>
                        <w14:solidFill>
                          <w14:schemeClr w14:val="tx1"/>
                        </w14:solidFill>
                      </w14:textFill>
                    </w:rPr>
                  </w:pPr>
                  <w:r>
                    <w:rPr>
                      <w:rFonts w:hint="default" w:ascii="Times New Roman" w:hAnsi="Times New Roman" w:cs="Times New Roman"/>
                      <w:color w:val="000000" w:themeColor="text1"/>
                      <w:sz w:val="21"/>
                      <w:szCs w:val="21"/>
                      <w:highlight w:val="none"/>
                      <w:u w:val="none" w:color="auto"/>
                      <w14:textFill>
                        <w14:solidFill>
                          <w14:schemeClr w14:val="tx1"/>
                        </w14:solidFill>
                      </w14:textFill>
                    </w:rPr>
                    <w:t>炭化产物</w:t>
                  </w:r>
                </w:p>
              </w:tc>
              <w:tc>
                <w:tcPr>
                  <w:tcW w:w="1325" w:type="pct"/>
                  <w:tcBorders>
                    <w:top w:val="single" w:color="auto" w:sz="4" w:space="0"/>
                    <w:left w:val="single" w:color="auto" w:sz="4" w:space="0"/>
                    <w:bottom w:val="single" w:color="auto" w:sz="4" w:space="0"/>
                    <w:right w:val="single" w:color="auto" w:sz="4" w:space="0"/>
                  </w:tcBorders>
                  <w:noWrap w:val="0"/>
                  <w:vAlign w:val="center"/>
                </w:tcPr>
                <w:p w14:paraId="66B9AA86">
                  <w:pPr>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sz w:val="21"/>
                      <w:szCs w:val="21"/>
                      <w:highlight w:val="none"/>
                      <w:u w:val="none" w:color="auto"/>
                      <w14:textFill>
                        <w14:solidFill>
                          <w14:schemeClr w14:val="tx1"/>
                        </w14:solidFill>
                      </w14:textFill>
                    </w:rPr>
                  </w:pPr>
                  <w:r>
                    <w:rPr>
                      <w:rFonts w:hint="default" w:ascii="Times New Roman" w:hAnsi="Times New Roman" w:cs="Times New Roman"/>
                      <w:color w:val="000000" w:themeColor="text1"/>
                      <w:sz w:val="21"/>
                      <w:szCs w:val="21"/>
                      <w:highlight w:val="none"/>
                      <w:u w:val="none" w:color="auto"/>
                      <w14:textFill>
                        <w14:solidFill>
                          <w14:schemeClr w14:val="tx1"/>
                        </w14:solidFill>
                      </w14:textFill>
                    </w:rPr>
                    <w:t>数量（t/a）</w:t>
                  </w:r>
                </w:p>
              </w:tc>
            </w:tr>
            <w:tr w14:paraId="69B5DC4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187" w:type="pct"/>
                  <w:vMerge w:val="restart"/>
                  <w:tcBorders>
                    <w:top w:val="single" w:color="auto" w:sz="4" w:space="0"/>
                    <w:left w:val="single" w:color="auto" w:sz="4" w:space="0"/>
                    <w:bottom w:val="single" w:color="auto" w:sz="4" w:space="0"/>
                    <w:right w:val="single" w:color="auto" w:sz="4" w:space="0"/>
                  </w:tcBorders>
                  <w:noWrap w:val="0"/>
                  <w:vAlign w:val="center"/>
                </w:tcPr>
                <w:p w14:paraId="3564DDB4">
                  <w:pPr>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sz w:val="21"/>
                      <w:szCs w:val="21"/>
                      <w:highlight w:val="none"/>
                      <w:u w:val="none" w:color="auto"/>
                      <w14:textFill>
                        <w14:solidFill>
                          <w14:schemeClr w14:val="tx1"/>
                        </w14:solidFill>
                      </w14:textFill>
                    </w:rPr>
                  </w:pPr>
                  <w:r>
                    <w:rPr>
                      <w:rFonts w:hint="eastAsia" w:cs="Times New Roman"/>
                      <w:color w:val="000000" w:themeColor="text1"/>
                      <w:kern w:val="0"/>
                      <w:sz w:val="21"/>
                      <w:szCs w:val="21"/>
                      <w:u w:val="none" w:color="auto"/>
                      <w:lang w:val="en-US" w:eastAsia="zh-CN"/>
                      <w14:textFill>
                        <w14:solidFill>
                          <w14:schemeClr w14:val="tx1"/>
                        </w14:solidFill>
                      </w14:textFill>
                    </w:rPr>
                    <w:t>9447.73（含水率10%）</w:t>
                  </w:r>
                </w:p>
              </w:tc>
              <w:tc>
                <w:tcPr>
                  <w:tcW w:w="939" w:type="pct"/>
                  <w:vMerge w:val="restart"/>
                  <w:tcBorders>
                    <w:top w:val="single" w:color="auto" w:sz="4" w:space="0"/>
                    <w:left w:val="single" w:color="auto" w:sz="4" w:space="0"/>
                    <w:bottom w:val="single" w:color="auto" w:sz="4" w:space="0"/>
                    <w:right w:val="single" w:color="auto" w:sz="4" w:space="0"/>
                  </w:tcBorders>
                  <w:noWrap w:val="0"/>
                  <w:vAlign w:val="center"/>
                </w:tcPr>
                <w:p w14:paraId="4087F8D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eastAsia" w:cs="Times New Roman"/>
                      <w:color w:val="000000" w:themeColor="text1"/>
                      <w:kern w:val="2"/>
                      <w:sz w:val="21"/>
                      <w:szCs w:val="21"/>
                      <w:u w:val="none" w:color="auto"/>
                      <w:lang w:val="en-US" w:eastAsia="zh-CN" w:bidi="ar-SA"/>
                      <w14:textFill>
                        <w14:solidFill>
                          <w14:schemeClr w14:val="tx1"/>
                        </w14:solidFill>
                      </w14:textFill>
                    </w:rPr>
                    <w:t>8502.96</w:t>
                  </w:r>
                </w:p>
              </w:tc>
              <w:tc>
                <w:tcPr>
                  <w:tcW w:w="1546" w:type="pct"/>
                  <w:tcBorders>
                    <w:top w:val="single" w:color="auto" w:sz="4" w:space="0"/>
                    <w:left w:val="single" w:color="auto" w:sz="4" w:space="0"/>
                    <w:bottom w:val="single" w:color="auto" w:sz="4" w:space="0"/>
                    <w:right w:val="single" w:color="auto" w:sz="4" w:space="0"/>
                  </w:tcBorders>
                  <w:noWrap w:val="0"/>
                  <w:vAlign w:val="center"/>
                </w:tcPr>
                <w:p w14:paraId="42020202">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eastAsia"/>
                      <w:color w:val="000000" w:themeColor="text1"/>
                      <w:sz w:val="21"/>
                      <w:szCs w:val="21"/>
                      <w:u w:val="none" w:color="auto"/>
                      <w:lang w:val="en-US" w:eastAsia="zh-CN"/>
                      <w14:textFill>
                        <w14:solidFill>
                          <w14:schemeClr w14:val="tx1"/>
                        </w14:solidFill>
                      </w14:textFill>
                    </w:rPr>
                    <w:t>炭化后</w:t>
                  </w:r>
                  <w:r>
                    <w:rPr>
                      <w:rFonts w:hint="eastAsia"/>
                      <w:color w:val="000000" w:themeColor="text1"/>
                      <w:sz w:val="21"/>
                      <w:szCs w:val="21"/>
                      <w:u w:val="none" w:color="auto"/>
                      <w14:textFill>
                        <w14:solidFill>
                          <w14:schemeClr w14:val="tx1"/>
                        </w14:solidFill>
                      </w14:textFill>
                    </w:rPr>
                    <w:t>机制炭</w:t>
                  </w:r>
                </w:p>
              </w:tc>
              <w:tc>
                <w:tcPr>
                  <w:tcW w:w="2467" w:type="dxa"/>
                  <w:tcBorders>
                    <w:top w:val="single" w:color="auto" w:sz="4" w:space="0"/>
                    <w:left w:val="single" w:color="auto" w:sz="4" w:space="0"/>
                    <w:bottom w:val="single" w:color="auto" w:sz="4" w:space="0"/>
                    <w:right w:val="single" w:color="auto" w:sz="4" w:space="0"/>
                  </w:tcBorders>
                  <w:noWrap w:val="0"/>
                  <w:vAlign w:val="center"/>
                </w:tcPr>
                <w:p w14:paraId="459C9AF1">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eastAsia"/>
                      <w:color w:val="000000" w:themeColor="text1"/>
                      <w:sz w:val="21"/>
                      <w:szCs w:val="21"/>
                      <w:u w:val="none" w:color="auto"/>
                      <w:lang w:val="en-US" w:eastAsia="zh-CN"/>
                      <w14:textFill>
                        <w14:solidFill>
                          <w14:schemeClr w14:val="tx1"/>
                        </w14:solidFill>
                      </w14:textFill>
                    </w:rPr>
                    <w:t>3002.31</w:t>
                  </w:r>
                </w:p>
              </w:tc>
            </w:tr>
            <w:tr w14:paraId="28FBBC5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187" w:type="pct"/>
                  <w:vMerge w:val="continue"/>
                  <w:tcBorders>
                    <w:top w:val="single" w:color="auto" w:sz="4" w:space="0"/>
                    <w:left w:val="single" w:color="auto" w:sz="4" w:space="0"/>
                    <w:bottom w:val="single" w:color="auto" w:sz="4" w:space="0"/>
                    <w:right w:val="single" w:color="auto" w:sz="4" w:space="0"/>
                  </w:tcBorders>
                  <w:noWrap w:val="0"/>
                  <w:vAlign w:val="center"/>
                </w:tcPr>
                <w:p w14:paraId="30588A78">
                  <w:pPr>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sz w:val="21"/>
                      <w:szCs w:val="21"/>
                      <w:highlight w:val="none"/>
                      <w:u w:val="none" w:color="auto"/>
                      <w14:textFill>
                        <w14:solidFill>
                          <w14:schemeClr w14:val="tx1"/>
                        </w14:solidFill>
                      </w14:textFill>
                    </w:rPr>
                  </w:pPr>
                </w:p>
              </w:tc>
              <w:tc>
                <w:tcPr>
                  <w:tcW w:w="939" w:type="pct"/>
                  <w:vMerge w:val="continue"/>
                  <w:tcBorders>
                    <w:top w:val="single" w:color="auto" w:sz="4" w:space="0"/>
                    <w:left w:val="single" w:color="auto" w:sz="4" w:space="0"/>
                    <w:bottom w:val="single" w:color="auto" w:sz="4" w:space="0"/>
                    <w:right w:val="single" w:color="auto" w:sz="4" w:space="0"/>
                  </w:tcBorders>
                  <w:noWrap w:val="0"/>
                  <w:vAlign w:val="center"/>
                </w:tcPr>
                <w:p w14:paraId="57065357">
                  <w:pPr>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sz w:val="21"/>
                      <w:szCs w:val="21"/>
                      <w:highlight w:val="none"/>
                      <w:u w:val="none" w:color="auto"/>
                      <w14:textFill>
                        <w14:solidFill>
                          <w14:schemeClr w14:val="tx1"/>
                        </w14:solidFill>
                      </w14:textFill>
                    </w:rPr>
                  </w:pPr>
                </w:p>
              </w:tc>
              <w:tc>
                <w:tcPr>
                  <w:tcW w:w="1546" w:type="pct"/>
                  <w:tcBorders>
                    <w:top w:val="single" w:color="auto" w:sz="4" w:space="0"/>
                    <w:left w:val="single" w:color="auto" w:sz="4" w:space="0"/>
                    <w:bottom w:val="single" w:color="auto" w:sz="4" w:space="0"/>
                    <w:right w:val="single" w:color="auto" w:sz="4" w:space="0"/>
                  </w:tcBorders>
                  <w:noWrap w:val="0"/>
                  <w:vAlign w:val="center"/>
                </w:tcPr>
                <w:p w14:paraId="343113C5">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000000" w:themeColor="text1"/>
                      <w:sz w:val="21"/>
                      <w:szCs w:val="21"/>
                      <w:highlight w:val="none"/>
                      <w:u w:val="none" w:color="auto"/>
                      <w14:textFill>
                        <w14:solidFill>
                          <w14:schemeClr w14:val="tx1"/>
                        </w14:solidFill>
                      </w14:textFill>
                    </w:rPr>
                  </w:pPr>
                  <w:r>
                    <w:rPr>
                      <w:rFonts w:hint="eastAsia"/>
                      <w:bCs/>
                      <w:color w:val="000000" w:themeColor="text1"/>
                      <w:sz w:val="21"/>
                      <w:szCs w:val="21"/>
                      <w:u w:val="none" w:color="auto"/>
                      <w14:textFill>
                        <w14:solidFill>
                          <w14:schemeClr w14:val="tx1"/>
                        </w14:solidFill>
                      </w14:textFill>
                    </w:rPr>
                    <w:t>木煤气</w:t>
                  </w:r>
                </w:p>
              </w:tc>
              <w:tc>
                <w:tcPr>
                  <w:tcW w:w="2467" w:type="dxa"/>
                  <w:tcBorders>
                    <w:top w:val="single" w:color="auto" w:sz="4" w:space="0"/>
                    <w:left w:val="single" w:color="auto" w:sz="4" w:space="0"/>
                    <w:bottom w:val="single" w:color="auto" w:sz="4" w:space="0"/>
                    <w:right w:val="single" w:color="auto" w:sz="4" w:space="0"/>
                  </w:tcBorders>
                  <w:noWrap w:val="0"/>
                  <w:vAlign w:val="center"/>
                </w:tcPr>
                <w:p w14:paraId="26C43F3A">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eastAsia"/>
                      <w:color w:val="000000" w:themeColor="text1"/>
                      <w:sz w:val="21"/>
                      <w:szCs w:val="21"/>
                      <w:u w:val="none" w:color="auto"/>
                      <w:lang w:val="en-US" w:eastAsia="zh-CN"/>
                      <w14:textFill>
                        <w14:solidFill>
                          <w14:schemeClr w14:val="tx1"/>
                        </w14:solidFill>
                      </w14:textFill>
                    </w:rPr>
                    <w:t>1437.72</w:t>
                  </w:r>
                </w:p>
              </w:tc>
            </w:tr>
            <w:tr w14:paraId="7994120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187" w:type="pct"/>
                  <w:vMerge w:val="continue"/>
                  <w:tcBorders>
                    <w:top w:val="single" w:color="auto" w:sz="4" w:space="0"/>
                    <w:left w:val="single" w:color="auto" w:sz="4" w:space="0"/>
                    <w:bottom w:val="single" w:color="auto" w:sz="4" w:space="0"/>
                    <w:right w:val="single" w:color="auto" w:sz="4" w:space="0"/>
                  </w:tcBorders>
                  <w:noWrap w:val="0"/>
                  <w:vAlign w:val="center"/>
                </w:tcPr>
                <w:p w14:paraId="7F1B1D1D">
                  <w:pPr>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sz w:val="21"/>
                      <w:szCs w:val="21"/>
                      <w:highlight w:val="none"/>
                      <w:u w:val="none" w:color="auto"/>
                      <w14:textFill>
                        <w14:solidFill>
                          <w14:schemeClr w14:val="tx1"/>
                        </w14:solidFill>
                      </w14:textFill>
                    </w:rPr>
                  </w:pPr>
                </w:p>
              </w:tc>
              <w:tc>
                <w:tcPr>
                  <w:tcW w:w="939" w:type="pct"/>
                  <w:vMerge w:val="continue"/>
                  <w:tcBorders>
                    <w:top w:val="single" w:color="auto" w:sz="4" w:space="0"/>
                    <w:left w:val="single" w:color="auto" w:sz="4" w:space="0"/>
                    <w:bottom w:val="single" w:color="auto" w:sz="4" w:space="0"/>
                    <w:right w:val="single" w:color="auto" w:sz="4" w:space="0"/>
                  </w:tcBorders>
                  <w:noWrap w:val="0"/>
                  <w:vAlign w:val="center"/>
                </w:tcPr>
                <w:p w14:paraId="07232E01">
                  <w:pPr>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sz w:val="21"/>
                      <w:szCs w:val="21"/>
                      <w:highlight w:val="none"/>
                      <w:u w:val="none" w:color="auto"/>
                      <w14:textFill>
                        <w14:solidFill>
                          <w14:schemeClr w14:val="tx1"/>
                        </w14:solidFill>
                      </w14:textFill>
                    </w:rPr>
                  </w:pPr>
                </w:p>
              </w:tc>
              <w:tc>
                <w:tcPr>
                  <w:tcW w:w="1546" w:type="pct"/>
                  <w:tcBorders>
                    <w:top w:val="single" w:color="auto" w:sz="4" w:space="0"/>
                    <w:left w:val="single" w:color="auto" w:sz="4" w:space="0"/>
                    <w:bottom w:val="single" w:color="auto" w:sz="4" w:space="0"/>
                    <w:right w:val="single" w:color="auto" w:sz="4" w:space="0"/>
                  </w:tcBorders>
                  <w:noWrap w:val="0"/>
                  <w:vAlign w:val="center"/>
                </w:tcPr>
                <w:p w14:paraId="2C16E8C0">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000000" w:themeColor="text1"/>
                      <w:sz w:val="21"/>
                      <w:szCs w:val="21"/>
                      <w:highlight w:val="none"/>
                      <w:u w:val="none" w:color="auto"/>
                      <w14:textFill>
                        <w14:solidFill>
                          <w14:schemeClr w14:val="tx1"/>
                        </w14:solidFill>
                      </w14:textFill>
                    </w:rPr>
                  </w:pPr>
                  <w:r>
                    <w:rPr>
                      <w:rFonts w:hint="eastAsia"/>
                      <w:bCs/>
                      <w:color w:val="000000" w:themeColor="text1"/>
                      <w:sz w:val="21"/>
                      <w:szCs w:val="21"/>
                      <w:u w:val="none" w:color="auto"/>
                      <w14:textFill>
                        <w14:solidFill>
                          <w14:schemeClr w14:val="tx1"/>
                        </w14:solidFill>
                      </w14:textFill>
                    </w:rPr>
                    <w:t>木焦油、木醋液</w:t>
                  </w:r>
                </w:p>
              </w:tc>
              <w:tc>
                <w:tcPr>
                  <w:tcW w:w="2467" w:type="dxa"/>
                  <w:tcBorders>
                    <w:top w:val="single" w:color="auto" w:sz="4" w:space="0"/>
                    <w:left w:val="single" w:color="auto" w:sz="4" w:space="0"/>
                    <w:bottom w:val="single" w:color="auto" w:sz="4" w:space="0"/>
                    <w:right w:val="single" w:color="auto" w:sz="4" w:space="0"/>
                  </w:tcBorders>
                  <w:noWrap w:val="0"/>
                  <w:vAlign w:val="center"/>
                </w:tcPr>
                <w:p w14:paraId="0C067943">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eastAsia"/>
                      <w:color w:val="000000" w:themeColor="text1"/>
                      <w:sz w:val="21"/>
                      <w:szCs w:val="21"/>
                      <w:u w:val="none" w:color="auto"/>
                      <w:lang w:val="en-US" w:eastAsia="zh-CN"/>
                      <w14:textFill>
                        <w14:solidFill>
                          <w14:schemeClr w14:val="tx1"/>
                        </w14:solidFill>
                      </w14:textFill>
                    </w:rPr>
                    <w:t>3974.89</w:t>
                  </w:r>
                </w:p>
              </w:tc>
            </w:tr>
            <w:tr w14:paraId="2FC6D10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187" w:type="pct"/>
                  <w:vMerge w:val="continue"/>
                  <w:tcBorders>
                    <w:top w:val="single" w:color="auto" w:sz="4" w:space="0"/>
                    <w:left w:val="single" w:color="auto" w:sz="4" w:space="0"/>
                    <w:bottom w:val="single" w:color="auto" w:sz="4" w:space="0"/>
                    <w:right w:val="single" w:color="auto" w:sz="4" w:space="0"/>
                  </w:tcBorders>
                  <w:noWrap w:val="0"/>
                  <w:vAlign w:val="center"/>
                </w:tcPr>
                <w:p w14:paraId="458F6BF9">
                  <w:pPr>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sz w:val="21"/>
                      <w:szCs w:val="21"/>
                      <w:highlight w:val="none"/>
                      <w:u w:val="none" w:color="auto"/>
                      <w14:textFill>
                        <w14:solidFill>
                          <w14:schemeClr w14:val="tx1"/>
                        </w14:solidFill>
                      </w14:textFill>
                    </w:rPr>
                  </w:pPr>
                </w:p>
              </w:tc>
              <w:tc>
                <w:tcPr>
                  <w:tcW w:w="939" w:type="pct"/>
                  <w:vMerge w:val="continue"/>
                  <w:tcBorders>
                    <w:top w:val="single" w:color="auto" w:sz="4" w:space="0"/>
                    <w:left w:val="single" w:color="auto" w:sz="4" w:space="0"/>
                    <w:bottom w:val="single" w:color="auto" w:sz="4" w:space="0"/>
                    <w:right w:val="single" w:color="auto" w:sz="4" w:space="0"/>
                  </w:tcBorders>
                  <w:noWrap w:val="0"/>
                  <w:vAlign w:val="center"/>
                </w:tcPr>
                <w:p w14:paraId="55D7BD18">
                  <w:pPr>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sz w:val="21"/>
                      <w:szCs w:val="21"/>
                      <w:highlight w:val="none"/>
                      <w:u w:val="none" w:color="auto"/>
                      <w14:textFill>
                        <w14:solidFill>
                          <w14:schemeClr w14:val="tx1"/>
                        </w14:solidFill>
                      </w14:textFill>
                    </w:rPr>
                  </w:pPr>
                </w:p>
              </w:tc>
              <w:tc>
                <w:tcPr>
                  <w:tcW w:w="1546" w:type="pct"/>
                  <w:tcBorders>
                    <w:top w:val="single" w:color="auto" w:sz="4" w:space="0"/>
                    <w:left w:val="single" w:color="auto" w:sz="4" w:space="0"/>
                    <w:bottom w:val="single" w:color="auto" w:sz="4" w:space="0"/>
                    <w:right w:val="single" w:color="auto" w:sz="4" w:space="0"/>
                  </w:tcBorders>
                  <w:noWrap w:val="0"/>
                  <w:vAlign w:val="center"/>
                </w:tcPr>
                <w:p w14:paraId="1590CC6C">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bCs/>
                      <w:color w:val="000000" w:themeColor="text1"/>
                      <w:sz w:val="21"/>
                      <w:szCs w:val="21"/>
                      <w:highlight w:val="none"/>
                      <w:u w:val="none" w:color="auto"/>
                      <w14:textFill>
                        <w14:solidFill>
                          <w14:schemeClr w14:val="tx1"/>
                        </w14:solidFill>
                      </w14:textFill>
                    </w:rPr>
                  </w:pPr>
                  <w:r>
                    <w:rPr>
                      <w:rFonts w:hint="eastAsia"/>
                      <w:bCs/>
                      <w:color w:val="000000" w:themeColor="text1"/>
                      <w:sz w:val="21"/>
                      <w:szCs w:val="21"/>
                      <w:u w:val="none" w:color="auto"/>
                      <w:lang w:val="en-US" w:eastAsia="zh-CN"/>
                      <w14:textFill>
                        <w14:solidFill>
                          <w14:schemeClr w14:val="tx1"/>
                        </w14:solidFill>
                      </w14:textFill>
                    </w:rPr>
                    <w:t>颗粒物</w:t>
                  </w:r>
                </w:p>
              </w:tc>
              <w:tc>
                <w:tcPr>
                  <w:tcW w:w="2467" w:type="dxa"/>
                  <w:tcBorders>
                    <w:top w:val="single" w:color="auto" w:sz="4" w:space="0"/>
                    <w:left w:val="single" w:color="auto" w:sz="4" w:space="0"/>
                    <w:bottom w:val="single" w:color="auto" w:sz="4" w:space="0"/>
                    <w:right w:val="single" w:color="auto" w:sz="4" w:space="0"/>
                  </w:tcBorders>
                  <w:noWrap w:val="0"/>
                  <w:vAlign w:val="center"/>
                </w:tcPr>
                <w:p w14:paraId="4E131031">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000000" w:themeColor="text1"/>
                      <w:sz w:val="21"/>
                      <w:szCs w:val="21"/>
                      <w:highlight w:val="none"/>
                      <w:u w:val="none" w:color="auto"/>
                      <w:lang w:val="en-US" w:eastAsia="zh-CN"/>
                      <w14:textFill>
                        <w14:solidFill>
                          <w14:schemeClr w14:val="tx1"/>
                        </w14:solidFill>
                      </w14:textFill>
                    </w:rPr>
                  </w:pPr>
                  <w:r>
                    <w:rPr>
                      <w:rFonts w:hint="eastAsia"/>
                      <w:color w:val="000000" w:themeColor="text1"/>
                      <w:sz w:val="21"/>
                      <w:szCs w:val="21"/>
                      <w:u w:val="none" w:color="auto"/>
                      <w:lang w:val="en-US" w:eastAsia="zh-CN"/>
                      <w14:textFill>
                        <w14:solidFill>
                          <w14:schemeClr w14:val="tx1"/>
                        </w14:solidFill>
                      </w14:textFill>
                    </w:rPr>
                    <w:t>34.2</w:t>
                  </w:r>
                </w:p>
              </w:tc>
            </w:tr>
            <w:tr w14:paraId="4BF5926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187" w:type="pct"/>
                  <w:vMerge w:val="continue"/>
                  <w:tcBorders>
                    <w:top w:val="single" w:color="auto" w:sz="4" w:space="0"/>
                    <w:left w:val="single" w:color="auto" w:sz="4" w:space="0"/>
                    <w:bottom w:val="single" w:color="auto" w:sz="4" w:space="0"/>
                    <w:right w:val="single" w:color="auto" w:sz="4" w:space="0"/>
                  </w:tcBorders>
                  <w:noWrap w:val="0"/>
                  <w:vAlign w:val="center"/>
                </w:tcPr>
                <w:p w14:paraId="57116C03">
                  <w:pPr>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sz w:val="21"/>
                      <w:szCs w:val="21"/>
                      <w:highlight w:val="none"/>
                      <w:u w:val="none" w:color="auto"/>
                      <w14:textFill>
                        <w14:solidFill>
                          <w14:schemeClr w14:val="tx1"/>
                        </w14:solidFill>
                      </w14:textFill>
                    </w:rPr>
                  </w:pPr>
                </w:p>
              </w:tc>
              <w:tc>
                <w:tcPr>
                  <w:tcW w:w="939" w:type="pct"/>
                  <w:vMerge w:val="continue"/>
                  <w:tcBorders>
                    <w:top w:val="single" w:color="auto" w:sz="4" w:space="0"/>
                    <w:left w:val="single" w:color="auto" w:sz="4" w:space="0"/>
                    <w:bottom w:val="single" w:color="auto" w:sz="4" w:space="0"/>
                    <w:right w:val="single" w:color="auto" w:sz="4" w:space="0"/>
                  </w:tcBorders>
                  <w:noWrap w:val="0"/>
                  <w:vAlign w:val="center"/>
                </w:tcPr>
                <w:p w14:paraId="4B053A22">
                  <w:pPr>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sz w:val="21"/>
                      <w:szCs w:val="21"/>
                      <w:highlight w:val="none"/>
                      <w:u w:val="none" w:color="auto"/>
                      <w14:textFill>
                        <w14:solidFill>
                          <w14:schemeClr w14:val="tx1"/>
                        </w14:solidFill>
                      </w14:textFill>
                    </w:rPr>
                  </w:pPr>
                </w:p>
              </w:tc>
              <w:tc>
                <w:tcPr>
                  <w:tcW w:w="1546" w:type="pct"/>
                  <w:tcBorders>
                    <w:top w:val="single" w:color="auto" w:sz="4" w:space="0"/>
                    <w:left w:val="single" w:color="auto" w:sz="4" w:space="0"/>
                    <w:bottom w:val="single" w:color="auto" w:sz="4" w:space="0"/>
                    <w:right w:val="single" w:color="auto" w:sz="4" w:space="0"/>
                  </w:tcBorders>
                  <w:noWrap w:val="0"/>
                  <w:vAlign w:val="center"/>
                </w:tcPr>
                <w:p w14:paraId="789BCFB5">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bCs/>
                      <w:color w:val="000000" w:themeColor="text1"/>
                      <w:sz w:val="21"/>
                      <w:szCs w:val="21"/>
                      <w:highlight w:val="none"/>
                      <w:u w:val="none" w:color="auto"/>
                      <w14:textFill>
                        <w14:solidFill>
                          <w14:schemeClr w14:val="tx1"/>
                        </w14:solidFill>
                      </w14:textFill>
                    </w:rPr>
                  </w:pPr>
                  <w:r>
                    <w:rPr>
                      <w:rFonts w:hint="eastAsia"/>
                      <w:bCs/>
                      <w:color w:val="000000" w:themeColor="text1"/>
                      <w:sz w:val="21"/>
                      <w:szCs w:val="21"/>
                      <w:u w:val="none" w:color="auto"/>
                      <w:lang w:val="en-US" w:eastAsia="zh-CN"/>
                      <w14:textFill>
                        <w14:solidFill>
                          <w14:schemeClr w14:val="tx1"/>
                        </w14:solidFill>
                      </w14:textFill>
                    </w:rPr>
                    <w:t>二氧化硫</w:t>
                  </w:r>
                </w:p>
              </w:tc>
              <w:tc>
                <w:tcPr>
                  <w:tcW w:w="2467" w:type="dxa"/>
                  <w:tcBorders>
                    <w:top w:val="single" w:color="auto" w:sz="4" w:space="0"/>
                    <w:left w:val="single" w:color="auto" w:sz="4" w:space="0"/>
                    <w:bottom w:val="single" w:color="auto" w:sz="4" w:space="0"/>
                    <w:right w:val="single" w:color="auto" w:sz="4" w:space="0"/>
                  </w:tcBorders>
                  <w:noWrap w:val="0"/>
                  <w:vAlign w:val="center"/>
                </w:tcPr>
                <w:p w14:paraId="0A8EAF87">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000000" w:themeColor="text1"/>
                      <w:sz w:val="21"/>
                      <w:szCs w:val="21"/>
                      <w:highlight w:val="none"/>
                      <w:u w:val="none" w:color="auto"/>
                      <w:lang w:val="en-US" w:eastAsia="zh-CN"/>
                      <w14:textFill>
                        <w14:solidFill>
                          <w14:schemeClr w14:val="tx1"/>
                        </w14:solidFill>
                      </w14:textFill>
                    </w:rPr>
                  </w:pPr>
                  <w:r>
                    <w:rPr>
                      <w:rFonts w:hint="eastAsia"/>
                      <w:color w:val="000000" w:themeColor="text1"/>
                      <w:sz w:val="21"/>
                      <w:szCs w:val="21"/>
                      <w:u w:val="none" w:color="auto"/>
                      <w:lang w:val="en-US" w:eastAsia="zh-CN"/>
                      <w14:textFill>
                        <w14:solidFill>
                          <w14:schemeClr w14:val="tx1"/>
                        </w14:solidFill>
                      </w14:textFill>
                    </w:rPr>
                    <w:t>7.05</w:t>
                  </w:r>
                </w:p>
              </w:tc>
            </w:tr>
            <w:tr w14:paraId="11293E9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187" w:type="pct"/>
                  <w:vMerge w:val="continue"/>
                  <w:tcBorders>
                    <w:top w:val="single" w:color="auto" w:sz="4" w:space="0"/>
                    <w:left w:val="single" w:color="auto" w:sz="4" w:space="0"/>
                    <w:bottom w:val="single" w:color="auto" w:sz="4" w:space="0"/>
                    <w:right w:val="single" w:color="auto" w:sz="4" w:space="0"/>
                  </w:tcBorders>
                  <w:noWrap w:val="0"/>
                  <w:vAlign w:val="center"/>
                </w:tcPr>
                <w:p w14:paraId="250AF8BB">
                  <w:pPr>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sz w:val="21"/>
                      <w:szCs w:val="21"/>
                      <w:highlight w:val="none"/>
                      <w:u w:val="none" w:color="auto"/>
                      <w14:textFill>
                        <w14:solidFill>
                          <w14:schemeClr w14:val="tx1"/>
                        </w14:solidFill>
                      </w14:textFill>
                    </w:rPr>
                  </w:pPr>
                </w:p>
              </w:tc>
              <w:tc>
                <w:tcPr>
                  <w:tcW w:w="939" w:type="pct"/>
                  <w:vMerge w:val="continue"/>
                  <w:tcBorders>
                    <w:top w:val="single" w:color="auto" w:sz="4" w:space="0"/>
                    <w:left w:val="single" w:color="auto" w:sz="4" w:space="0"/>
                    <w:bottom w:val="single" w:color="auto" w:sz="4" w:space="0"/>
                    <w:right w:val="single" w:color="auto" w:sz="4" w:space="0"/>
                  </w:tcBorders>
                  <w:noWrap w:val="0"/>
                  <w:vAlign w:val="center"/>
                </w:tcPr>
                <w:p w14:paraId="56C41029">
                  <w:pPr>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sz w:val="21"/>
                      <w:szCs w:val="21"/>
                      <w:highlight w:val="none"/>
                      <w:u w:val="none" w:color="auto"/>
                      <w14:textFill>
                        <w14:solidFill>
                          <w14:schemeClr w14:val="tx1"/>
                        </w14:solidFill>
                      </w14:textFill>
                    </w:rPr>
                  </w:pPr>
                </w:p>
              </w:tc>
              <w:tc>
                <w:tcPr>
                  <w:tcW w:w="1546" w:type="pct"/>
                  <w:tcBorders>
                    <w:top w:val="single" w:color="auto" w:sz="4" w:space="0"/>
                    <w:left w:val="single" w:color="auto" w:sz="4" w:space="0"/>
                    <w:bottom w:val="single" w:color="auto" w:sz="4" w:space="0"/>
                    <w:right w:val="single" w:color="auto" w:sz="4" w:space="0"/>
                  </w:tcBorders>
                  <w:noWrap w:val="0"/>
                  <w:vAlign w:val="center"/>
                </w:tcPr>
                <w:p w14:paraId="1024E96F">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bCs/>
                      <w:color w:val="000000" w:themeColor="text1"/>
                      <w:sz w:val="21"/>
                      <w:szCs w:val="21"/>
                      <w:highlight w:val="none"/>
                      <w:u w:val="none" w:color="auto"/>
                      <w14:textFill>
                        <w14:solidFill>
                          <w14:schemeClr w14:val="tx1"/>
                        </w14:solidFill>
                      </w14:textFill>
                    </w:rPr>
                  </w:pPr>
                  <w:r>
                    <w:rPr>
                      <w:rFonts w:hint="eastAsia"/>
                      <w:bCs/>
                      <w:color w:val="000000" w:themeColor="text1"/>
                      <w:sz w:val="21"/>
                      <w:szCs w:val="21"/>
                      <w:u w:val="none" w:color="auto"/>
                      <w:lang w:val="en-US" w:eastAsia="zh-CN"/>
                      <w14:textFill>
                        <w14:solidFill>
                          <w14:schemeClr w14:val="tx1"/>
                        </w14:solidFill>
                      </w14:textFill>
                    </w:rPr>
                    <w:t>氮氧化物</w:t>
                  </w:r>
                </w:p>
              </w:tc>
              <w:tc>
                <w:tcPr>
                  <w:tcW w:w="2467" w:type="dxa"/>
                  <w:tcBorders>
                    <w:top w:val="single" w:color="auto" w:sz="4" w:space="0"/>
                    <w:left w:val="single" w:color="auto" w:sz="4" w:space="0"/>
                    <w:bottom w:val="single" w:color="auto" w:sz="4" w:space="0"/>
                    <w:right w:val="single" w:color="auto" w:sz="4" w:space="0"/>
                  </w:tcBorders>
                  <w:noWrap w:val="0"/>
                  <w:vAlign w:val="center"/>
                </w:tcPr>
                <w:p w14:paraId="16A7C231">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000000" w:themeColor="text1"/>
                      <w:sz w:val="21"/>
                      <w:szCs w:val="21"/>
                      <w:highlight w:val="none"/>
                      <w:u w:val="none" w:color="auto"/>
                      <w:lang w:val="en-US" w:eastAsia="zh-CN"/>
                      <w14:textFill>
                        <w14:solidFill>
                          <w14:schemeClr w14:val="tx1"/>
                        </w14:solidFill>
                      </w14:textFill>
                    </w:rPr>
                  </w:pPr>
                  <w:r>
                    <w:rPr>
                      <w:rFonts w:hint="eastAsia"/>
                      <w:color w:val="000000" w:themeColor="text1"/>
                      <w:sz w:val="21"/>
                      <w:szCs w:val="21"/>
                      <w:u w:val="none" w:color="auto"/>
                      <w:lang w:val="en-US" w:eastAsia="zh-CN"/>
                      <w14:textFill>
                        <w14:solidFill>
                          <w14:schemeClr w14:val="tx1"/>
                        </w14:solidFill>
                      </w14:textFill>
                    </w:rPr>
                    <w:t>4.5</w:t>
                  </w:r>
                </w:p>
              </w:tc>
            </w:tr>
            <w:tr w14:paraId="225E511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187" w:type="pct"/>
                  <w:vMerge w:val="continue"/>
                  <w:tcBorders>
                    <w:top w:val="single" w:color="auto" w:sz="4" w:space="0"/>
                    <w:left w:val="single" w:color="auto" w:sz="4" w:space="0"/>
                    <w:bottom w:val="single" w:color="auto" w:sz="4" w:space="0"/>
                    <w:right w:val="single" w:color="auto" w:sz="4" w:space="0"/>
                  </w:tcBorders>
                  <w:noWrap w:val="0"/>
                  <w:vAlign w:val="center"/>
                </w:tcPr>
                <w:p w14:paraId="51B4D1A4">
                  <w:pPr>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sz w:val="21"/>
                      <w:szCs w:val="21"/>
                      <w:highlight w:val="none"/>
                      <w:u w:val="none" w:color="auto"/>
                      <w14:textFill>
                        <w14:solidFill>
                          <w14:schemeClr w14:val="tx1"/>
                        </w14:solidFill>
                      </w14:textFill>
                    </w:rPr>
                  </w:pPr>
                </w:p>
              </w:tc>
              <w:tc>
                <w:tcPr>
                  <w:tcW w:w="939" w:type="pct"/>
                  <w:vMerge w:val="continue"/>
                  <w:tcBorders>
                    <w:top w:val="single" w:color="auto" w:sz="4" w:space="0"/>
                    <w:left w:val="single" w:color="auto" w:sz="4" w:space="0"/>
                    <w:bottom w:val="single" w:color="auto" w:sz="4" w:space="0"/>
                    <w:right w:val="single" w:color="auto" w:sz="4" w:space="0"/>
                  </w:tcBorders>
                  <w:noWrap w:val="0"/>
                  <w:vAlign w:val="center"/>
                </w:tcPr>
                <w:p w14:paraId="37BAAFDD">
                  <w:pPr>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sz w:val="21"/>
                      <w:szCs w:val="21"/>
                      <w:highlight w:val="none"/>
                      <w:u w:val="none" w:color="auto"/>
                      <w14:textFill>
                        <w14:solidFill>
                          <w14:schemeClr w14:val="tx1"/>
                        </w14:solidFill>
                      </w14:textFill>
                    </w:rPr>
                  </w:pPr>
                </w:p>
              </w:tc>
              <w:tc>
                <w:tcPr>
                  <w:tcW w:w="1546" w:type="pct"/>
                  <w:tcBorders>
                    <w:top w:val="single" w:color="auto" w:sz="4" w:space="0"/>
                    <w:left w:val="single" w:color="auto" w:sz="4" w:space="0"/>
                    <w:bottom w:val="single" w:color="auto" w:sz="4" w:space="0"/>
                    <w:right w:val="single" w:color="auto" w:sz="4" w:space="0"/>
                  </w:tcBorders>
                  <w:noWrap w:val="0"/>
                  <w:vAlign w:val="center"/>
                </w:tcPr>
                <w:p w14:paraId="06C02C6D">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Cs/>
                      <w:color w:val="000000" w:themeColor="text1"/>
                      <w:sz w:val="21"/>
                      <w:szCs w:val="21"/>
                      <w:highlight w:val="none"/>
                      <w:u w:val="none" w:color="auto"/>
                      <w:lang w:val="en-US" w:eastAsia="zh-CN"/>
                      <w14:textFill>
                        <w14:solidFill>
                          <w14:schemeClr w14:val="tx1"/>
                        </w14:solidFill>
                      </w14:textFill>
                    </w:rPr>
                  </w:pPr>
                  <w:r>
                    <w:rPr>
                      <w:rFonts w:hint="eastAsia"/>
                      <w:bCs/>
                      <w:color w:val="000000" w:themeColor="text1"/>
                      <w:sz w:val="21"/>
                      <w:szCs w:val="21"/>
                      <w:u w:val="none" w:color="auto"/>
                      <w:lang w:val="en-US" w:eastAsia="zh-CN"/>
                      <w14:textFill>
                        <w14:solidFill>
                          <w14:schemeClr w14:val="tx1"/>
                        </w14:solidFill>
                      </w14:textFill>
                    </w:rPr>
                    <w:t>损耗</w:t>
                  </w:r>
                </w:p>
              </w:tc>
              <w:tc>
                <w:tcPr>
                  <w:tcW w:w="2467" w:type="dxa"/>
                  <w:tcBorders>
                    <w:top w:val="single" w:color="auto" w:sz="4" w:space="0"/>
                    <w:left w:val="single" w:color="auto" w:sz="4" w:space="0"/>
                    <w:bottom w:val="single" w:color="auto" w:sz="4" w:space="0"/>
                    <w:right w:val="single" w:color="auto" w:sz="4" w:space="0"/>
                  </w:tcBorders>
                  <w:noWrap w:val="0"/>
                  <w:vAlign w:val="center"/>
                </w:tcPr>
                <w:p w14:paraId="1535D931">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000000" w:themeColor="text1"/>
                      <w:sz w:val="21"/>
                      <w:szCs w:val="21"/>
                      <w:highlight w:val="none"/>
                      <w:u w:val="none" w:color="auto"/>
                      <w:lang w:val="en-US" w:eastAsia="zh-CN"/>
                      <w14:textFill>
                        <w14:solidFill>
                          <w14:schemeClr w14:val="tx1"/>
                        </w14:solidFill>
                      </w14:textFill>
                    </w:rPr>
                  </w:pPr>
                  <w:r>
                    <w:rPr>
                      <w:rFonts w:hint="eastAsia"/>
                      <w:color w:val="000000" w:themeColor="text1"/>
                      <w:sz w:val="21"/>
                      <w:szCs w:val="21"/>
                      <w:u w:val="none" w:color="auto"/>
                      <w:lang w:val="en-US" w:eastAsia="zh-CN"/>
                      <w14:textFill>
                        <w14:solidFill>
                          <w14:schemeClr w14:val="tx1"/>
                        </w14:solidFill>
                      </w14:textFill>
                    </w:rPr>
                    <w:t>42.29</w:t>
                  </w:r>
                </w:p>
              </w:tc>
            </w:tr>
            <w:tr w14:paraId="5F89E9F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187" w:type="pct"/>
                  <w:vMerge w:val="continue"/>
                  <w:tcBorders>
                    <w:top w:val="single" w:color="auto" w:sz="4" w:space="0"/>
                    <w:left w:val="single" w:color="auto" w:sz="4" w:space="0"/>
                    <w:bottom w:val="single" w:color="auto" w:sz="4" w:space="0"/>
                    <w:right w:val="single" w:color="auto" w:sz="4" w:space="0"/>
                  </w:tcBorders>
                  <w:noWrap w:val="0"/>
                  <w:vAlign w:val="center"/>
                </w:tcPr>
                <w:p w14:paraId="5AA0D57B">
                  <w:pPr>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sz w:val="21"/>
                      <w:szCs w:val="21"/>
                      <w:highlight w:val="none"/>
                      <w:u w:val="none" w:color="auto"/>
                      <w14:textFill>
                        <w14:solidFill>
                          <w14:schemeClr w14:val="tx1"/>
                        </w14:solidFill>
                      </w14:textFill>
                    </w:rPr>
                  </w:pPr>
                </w:p>
              </w:tc>
              <w:tc>
                <w:tcPr>
                  <w:tcW w:w="939" w:type="pct"/>
                  <w:vMerge w:val="continue"/>
                  <w:tcBorders>
                    <w:top w:val="single" w:color="auto" w:sz="4" w:space="0"/>
                    <w:left w:val="single" w:color="auto" w:sz="4" w:space="0"/>
                    <w:bottom w:val="single" w:color="auto" w:sz="4" w:space="0"/>
                    <w:right w:val="single" w:color="auto" w:sz="4" w:space="0"/>
                  </w:tcBorders>
                  <w:noWrap w:val="0"/>
                  <w:vAlign w:val="center"/>
                </w:tcPr>
                <w:p w14:paraId="38155BF8">
                  <w:pPr>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sz w:val="21"/>
                      <w:szCs w:val="21"/>
                      <w:highlight w:val="none"/>
                      <w:u w:val="none" w:color="auto"/>
                      <w14:textFill>
                        <w14:solidFill>
                          <w14:schemeClr w14:val="tx1"/>
                        </w14:solidFill>
                      </w14:textFill>
                    </w:rPr>
                  </w:pPr>
                </w:p>
              </w:tc>
              <w:tc>
                <w:tcPr>
                  <w:tcW w:w="1546" w:type="pct"/>
                  <w:tcBorders>
                    <w:top w:val="single" w:color="auto" w:sz="4" w:space="0"/>
                    <w:left w:val="single" w:color="auto" w:sz="4" w:space="0"/>
                    <w:bottom w:val="single" w:color="auto" w:sz="4" w:space="0"/>
                    <w:right w:val="single" w:color="auto" w:sz="4" w:space="0"/>
                  </w:tcBorders>
                  <w:noWrap w:val="0"/>
                  <w:vAlign w:val="center"/>
                </w:tcPr>
                <w:p w14:paraId="60551E23">
                  <w:pPr>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sz w:val="21"/>
                      <w:szCs w:val="21"/>
                      <w:highlight w:val="none"/>
                      <w:u w:val="none" w:color="auto"/>
                      <w14:textFill>
                        <w14:solidFill>
                          <w14:schemeClr w14:val="tx1"/>
                        </w14:solidFill>
                      </w14:textFill>
                    </w:rPr>
                  </w:pPr>
                  <w:r>
                    <w:rPr>
                      <w:rFonts w:hint="default" w:ascii="Times New Roman" w:hAnsi="Times New Roman" w:cs="Times New Roman"/>
                      <w:color w:val="000000" w:themeColor="text1"/>
                      <w:sz w:val="21"/>
                      <w:szCs w:val="21"/>
                      <w:highlight w:val="none"/>
                      <w:u w:val="none" w:color="auto"/>
                      <w14:textFill>
                        <w14:solidFill>
                          <w14:schemeClr w14:val="tx1"/>
                        </w14:solidFill>
                      </w14:textFill>
                    </w:rPr>
                    <w:t>合计</w:t>
                  </w:r>
                </w:p>
              </w:tc>
              <w:tc>
                <w:tcPr>
                  <w:tcW w:w="1325" w:type="pct"/>
                  <w:tcBorders>
                    <w:top w:val="single" w:color="auto" w:sz="4" w:space="0"/>
                    <w:left w:val="single" w:color="auto" w:sz="4" w:space="0"/>
                    <w:bottom w:val="single" w:color="auto" w:sz="4" w:space="0"/>
                    <w:right w:val="single" w:color="auto" w:sz="4" w:space="0"/>
                  </w:tcBorders>
                  <w:noWrap w:val="0"/>
                  <w:vAlign w:val="center"/>
                </w:tcPr>
                <w:p w14:paraId="7A81909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eastAsia" w:cs="Times New Roman"/>
                      <w:color w:val="000000" w:themeColor="text1"/>
                      <w:kern w:val="2"/>
                      <w:sz w:val="21"/>
                      <w:szCs w:val="21"/>
                      <w:u w:val="none" w:color="auto"/>
                      <w:lang w:val="en-US" w:eastAsia="zh-CN" w:bidi="ar-SA"/>
                      <w14:textFill>
                        <w14:solidFill>
                          <w14:schemeClr w14:val="tx1"/>
                        </w14:solidFill>
                      </w14:textFill>
                    </w:rPr>
                    <w:t>8502.96</w:t>
                  </w:r>
                </w:p>
              </w:tc>
            </w:tr>
          </w:tbl>
          <w:p w14:paraId="33899E9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ascii="宋体" w:hAnsi="宋体" w:cs="宋体"/>
                <w:color w:val="000000" w:themeColor="text1"/>
                <w:kern w:val="0"/>
                <w:sz w:val="24"/>
                <w:szCs w:val="24"/>
                <w:lang w:val="en-US" w:eastAsia="zh-CN" w:bidi="ar"/>
                <w14:textFill>
                  <w14:solidFill>
                    <w14:schemeClr w14:val="tx1"/>
                  </w14:solidFill>
                </w14:textFill>
              </w:rPr>
            </w:pPr>
            <w:r>
              <w:rPr>
                <w:rFonts w:hint="eastAsia" w:ascii="宋体" w:hAnsi="宋体" w:cs="宋体"/>
                <w:color w:val="000000" w:themeColor="text1"/>
                <w:kern w:val="0"/>
                <w:sz w:val="24"/>
                <w:szCs w:val="24"/>
                <w:lang w:val="en-US" w:eastAsia="zh-CN" w:bidi="ar"/>
                <w14:textFill>
                  <w14:solidFill>
                    <w14:schemeClr w14:val="tx1"/>
                  </w14:solidFill>
                </w14:textFill>
              </w:rPr>
              <w:t>烘干和炭化过程废气产排情况如下：</w:t>
            </w:r>
          </w:p>
          <w:p w14:paraId="348E0A1D">
            <w:pPr>
              <w:keepNext w:val="0"/>
              <w:keepLines w:val="0"/>
              <w:suppressLineNumbers w:val="0"/>
              <w:spacing w:before="0" w:beforeAutospacing="0" w:after="0" w:afterAutospacing="0" w:line="360" w:lineRule="auto"/>
              <w:ind w:left="0" w:right="0"/>
              <w:jc w:val="center"/>
              <w:rPr>
                <w:rFonts w:hint="default"/>
                <w:b/>
                <w:color w:val="auto"/>
                <w:sz w:val="24"/>
                <w:szCs w:val="24"/>
              </w:rPr>
            </w:pPr>
            <w:r>
              <w:rPr>
                <w:rFonts w:hint="default"/>
                <w:b/>
                <w:color w:val="auto"/>
                <w:sz w:val="24"/>
                <w:szCs w:val="24"/>
              </w:rPr>
              <w:t>表</w:t>
            </w:r>
            <w:r>
              <w:rPr>
                <w:rFonts w:hint="eastAsia"/>
                <w:b/>
                <w:color w:val="auto"/>
                <w:sz w:val="24"/>
                <w:szCs w:val="24"/>
                <w:lang w:val="en-US" w:eastAsia="zh-CN"/>
              </w:rPr>
              <w:t>4-6  炭化炉引火</w:t>
            </w:r>
            <w:r>
              <w:rPr>
                <w:rFonts w:hint="eastAsia" w:ascii="宋体" w:hAnsi="宋体" w:eastAsia="宋体" w:cs="宋体"/>
                <w:b/>
                <w:bCs/>
                <w:color w:val="000000" w:themeColor="text1"/>
                <w:kern w:val="0"/>
                <w:sz w:val="24"/>
                <w:szCs w:val="24"/>
                <w:highlight w:val="none"/>
                <w:lang w:val="en-US" w:eastAsia="zh-CN" w:bidi="ar"/>
                <w14:textFill>
                  <w14:solidFill>
                    <w14:schemeClr w14:val="tx1"/>
                  </w14:solidFill>
                </w14:textFill>
              </w:rPr>
              <w:t>及炭化窑启动初始过程废气污染物产排</w:t>
            </w:r>
            <w:r>
              <w:rPr>
                <w:rFonts w:hint="eastAsia"/>
                <w:b/>
                <w:color w:val="auto"/>
                <w:sz w:val="24"/>
                <w:szCs w:val="24"/>
                <w:lang w:val="en-US" w:eastAsia="zh-CN"/>
              </w:rPr>
              <w:t>情况一览表</w:t>
            </w:r>
          </w:p>
          <w:tbl>
            <w:tblPr>
              <w:tblStyle w:val="29"/>
              <w:tblW w:w="927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38"/>
              <w:gridCol w:w="751"/>
              <w:gridCol w:w="992"/>
              <w:gridCol w:w="925"/>
              <w:gridCol w:w="899"/>
              <w:gridCol w:w="1867"/>
              <w:gridCol w:w="602"/>
              <w:gridCol w:w="900"/>
              <w:gridCol w:w="900"/>
              <w:gridCol w:w="796"/>
            </w:tblGrid>
            <w:tr w14:paraId="7D99D2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54" w:type="pct"/>
                  <w:noWrap w:val="0"/>
                  <w:vAlign w:val="center"/>
                </w:tcPr>
                <w:p w14:paraId="3CC695CF">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燃料名称</w:t>
                  </w:r>
                </w:p>
              </w:tc>
              <w:tc>
                <w:tcPr>
                  <w:tcW w:w="415" w:type="pct"/>
                  <w:shd w:val="clear" w:color="auto" w:fill="auto"/>
                  <w:noWrap w:val="0"/>
                  <w:vAlign w:val="center"/>
                </w:tcPr>
                <w:p w14:paraId="21301814">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cs="Times New Roman"/>
                      <w:color w:val="000000" w:themeColor="text1"/>
                      <w:sz w:val="21"/>
                      <w:szCs w:val="21"/>
                      <w:u w:val="none" w:color="auto"/>
                      <w14:textFill>
                        <w14:solidFill>
                          <w14:schemeClr w14:val="tx1"/>
                        </w14:solidFill>
                      </w14:textFill>
                    </w:rPr>
                    <w:t>污染物指标</w:t>
                  </w:r>
                </w:p>
              </w:tc>
              <w:tc>
                <w:tcPr>
                  <w:tcW w:w="545" w:type="pct"/>
                  <w:shd w:val="clear" w:color="auto" w:fill="auto"/>
                  <w:noWrap w:val="0"/>
                  <w:vAlign w:val="center"/>
                </w:tcPr>
                <w:p w14:paraId="1FB7E99D">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cs="Times New Roman"/>
                      <w:color w:val="000000" w:themeColor="text1"/>
                      <w:sz w:val="21"/>
                      <w:szCs w:val="21"/>
                      <w:u w:val="none" w:color="auto"/>
                      <w14:textFill>
                        <w14:solidFill>
                          <w14:schemeClr w14:val="tx1"/>
                        </w14:solidFill>
                      </w14:textFill>
                    </w:rPr>
                    <w:t>产生量</w:t>
                  </w: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t/a</w:t>
                  </w:r>
                </w:p>
              </w:tc>
              <w:tc>
                <w:tcPr>
                  <w:tcW w:w="509" w:type="pct"/>
                  <w:shd w:val="clear" w:color="auto" w:fill="auto"/>
                  <w:noWrap w:val="0"/>
                  <w:vAlign w:val="center"/>
                </w:tcPr>
                <w:p w14:paraId="4C27FB10">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产生速率kg/h</w:t>
                  </w:r>
                </w:p>
              </w:tc>
              <w:tc>
                <w:tcPr>
                  <w:tcW w:w="494" w:type="pct"/>
                  <w:shd w:val="clear" w:color="auto" w:fill="auto"/>
                  <w:noWrap w:val="0"/>
                  <w:vAlign w:val="center"/>
                </w:tcPr>
                <w:p w14:paraId="62CC5427">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产生浓度mg/m</w:t>
                  </w:r>
                  <w:r>
                    <w:rPr>
                      <w:rFonts w:hint="default" w:ascii="Times New Roman" w:hAnsi="Times New Roman" w:cs="Times New Roman"/>
                      <w:color w:val="000000" w:themeColor="text1"/>
                      <w:sz w:val="21"/>
                      <w:szCs w:val="21"/>
                      <w:u w:val="none" w:color="auto"/>
                      <w:vertAlign w:val="superscript"/>
                      <w:lang w:val="en-US" w:eastAsia="zh-CN"/>
                      <w14:textFill>
                        <w14:solidFill>
                          <w14:schemeClr w14:val="tx1"/>
                        </w14:solidFill>
                      </w14:textFill>
                    </w:rPr>
                    <w:t>3</w:t>
                  </w:r>
                </w:p>
              </w:tc>
              <w:tc>
                <w:tcPr>
                  <w:tcW w:w="1017" w:type="pct"/>
                  <w:shd w:val="clear" w:color="auto" w:fill="auto"/>
                  <w:noWrap w:val="0"/>
                  <w:vAlign w:val="center"/>
                </w:tcPr>
                <w:p w14:paraId="6DB096E8">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处理措施</w:t>
                  </w:r>
                </w:p>
              </w:tc>
              <w:tc>
                <w:tcPr>
                  <w:tcW w:w="325" w:type="pct"/>
                  <w:shd w:val="clear" w:color="auto" w:fill="auto"/>
                  <w:noWrap w:val="0"/>
                  <w:vAlign w:val="center"/>
                </w:tcPr>
                <w:p w14:paraId="04B5E6EB">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处理效率</w:t>
                  </w:r>
                </w:p>
              </w:tc>
              <w:tc>
                <w:tcPr>
                  <w:tcW w:w="436" w:type="pct"/>
                  <w:shd w:val="clear" w:color="auto" w:fill="auto"/>
                  <w:noWrap w:val="0"/>
                  <w:vAlign w:val="center"/>
                </w:tcPr>
                <w:p w14:paraId="24B84DBA">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排放</w:t>
                  </w:r>
                  <w:r>
                    <w:rPr>
                      <w:rFonts w:hint="default" w:ascii="Times New Roman" w:hAnsi="Times New Roman" w:cs="Times New Roman"/>
                      <w:color w:val="000000" w:themeColor="text1"/>
                      <w:sz w:val="21"/>
                      <w:szCs w:val="21"/>
                      <w:u w:val="none" w:color="auto"/>
                      <w14:textFill>
                        <w14:solidFill>
                          <w14:schemeClr w14:val="tx1"/>
                        </w14:solidFill>
                      </w14:textFill>
                    </w:rPr>
                    <w:t>量</w:t>
                  </w:r>
                  <w:r>
                    <w:rPr>
                      <w:rFonts w:hint="default" w:ascii="Times New Roman" w:hAnsi="Times New Roman" w:eastAsia="宋体" w:cs="Times New Roman"/>
                      <w:color w:val="000000" w:themeColor="text1"/>
                      <w:kern w:val="2"/>
                      <w:sz w:val="21"/>
                      <w:szCs w:val="21"/>
                      <w:highlight w:val="none"/>
                      <w:u w:val="none" w:color="auto"/>
                      <w:lang w:val="en-US" w:eastAsia="zh-CN" w:bidi="ar"/>
                      <w14:textFill>
                        <w14:solidFill>
                          <w14:schemeClr w14:val="tx1"/>
                        </w14:solidFill>
                      </w14:textFill>
                    </w:rPr>
                    <w:t>kg/a</w:t>
                  </w:r>
                </w:p>
              </w:tc>
              <w:tc>
                <w:tcPr>
                  <w:tcW w:w="453" w:type="pct"/>
                  <w:shd w:val="clear" w:color="auto" w:fill="auto"/>
                  <w:noWrap w:val="0"/>
                  <w:vAlign w:val="center"/>
                </w:tcPr>
                <w:p w14:paraId="17701480">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排放速率kg/h</w:t>
                  </w:r>
                </w:p>
              </w:tc>
              <w:tc>
                <w:tcPr>
                  <w:tcW w:w="448" w:type="pct"/>
                  <w:shd w:val="clear" w:color="auto" w:fill="auto"/>
                  <w:noWrap w:val="0"/>
                  <w:vAlign w:val="center"/>
                </w:tcPr>
                <w:p w14:paraId="4F03358C">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排放浓度mg/m</w:t>
                  </w:r>
                  <w:r>
                    <w:rPr>
                      <w:rFonts w:hint="default" w:ascii="Times New Roman" w:hAnsi="Times New Roman" w:cs="Times New Roman"/>
                      <w:color w:val="000000" w:themeColor="text1"/>
                      <w:sz w:val="21"/>
                      <w:szCs w:val="21"/>
                      <w:u w:val="none" w:color="auto"/>
                      <w:vertAlign w:val="superscript"/>
                      <w:lang w:val="en-US" w:eastAsia="zh-CN"/>
                      <w14:textFill>
                        <w14:solidFill>
                          <w14:schemeClr w14:val="tx1"/>
                        </w14:solidFill>
                      </w14:textFill>
                    </w:rPr>
                    <w:t>3</w:t>
                  </w:r>
                </w:p>
              </w:tc>
            </w:tr>
            <w:tr w14:paraId="1A12FE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54" w:type="pct"/>
                  <w:noWrap w:val="0"/>
                  <w:vAlign w:val="center"/>
                </w:tcPr>
                <w:p w14:paraId="51BC771D">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制棒工序</w:t>
                  </w:r>
                </w:p>
              </w:tc>
              <w:tc>
                <w:tcPr>
                  <w:tcW w:w="415" w:type="pct"/>
                  <w:shd w:val="clear" w:color="auto" w:fill="auto"/>
                  <w:noWrap w:val="0"/>
                  <w:vAlign w:val="center"/>
                </w:tcPr>
                <w:p w14:paraId="6826AAA8">
                  <w:pPr>
                    <w:keepNext w:val="0"/>
                    <w:keepLines w:val="0"/>
                    <w:suppressLineNumbers w:val="0"/>
                    <w:adjustRightInd w:val="0"/>
                    <w:snapToGrid w:val="0"/>
                    <w:spacing w:before="0" w:beforeAutospacing="0" w:after="0" w:afterAutospacing="0" w:line="240" w:lineRule="auto"/>
                    <w:ind w:left="0" w:leftChars="0" w:right="0" w:rightChars="0"/>
                    <w:jc w:val="cente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颗粒物</w:t>
                  </w:r>
                </w:p>
              </w:tc>
              <w:tc>
                <w:tcPr>
                  <w:tcW w:w="545" w:type="pct"/>
                  <w:shd w:val="clear" w:color="auto" w:fill="auto"/>
                  <w:noWrap w:val="0"/>
                  <w:vAlign w:val="center"/>
                </w:tcPr>
                <w:p w14:paraId="67DFFDDC">
                  <w:pPr>
                    <w:keepNext w:val="0"/>
                    <w:keepLines w:val="0"/>
                    <w:widowControl/>
                    <w:suppressLineNumbers w:val="0"/>
                    <w:jc w:val="center"/>
                    <w:textAlignment w:val="center"/>
                    <w:rPr>
                      <w:rFonts w:hint="default" w:ascii="Times New Roman" w:hAnsi="Times New Roman"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1.910</w:t>
                  </w:r>
                </w:p>
              </w:tc>
              <w:tc>
                <w:tcPr>
                  <w:tcW w:w="509" w:type="pct"/>
                  <w:shd w:val="clear" w:color="auto" w:fill="auto"/>
                  <w:noWrap w:val="0"/>
                  <w:vAlign w:val="center"/>
                </w:tcPr>
                <w:p w14:paraId="6EBF1FE6">
                  <w:pPr>
                    <w:keepNext w:val="0"/>
                    <w:keepLines w:val="0"/>
                    <w:widowControl/>
                    <w:suppressLineNumbers w:val="0"/>
                    <w:jc w:val="center"/>
                    <w:textAlignment w:val="cente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0.530</w:t>
                  </w:r>
                </w:p>
              </w:tc>
              <w:tc>
                <w:tcPr>
                  <w:tcW w:w="494" w:type="pct"/>
                  <w:shd w:val="clear" w:color="auto" w:fill="auto"/>
                  <w:noWrap w:val="0"/>
                  <w:vAlign w:val="center"/>
                </w:tcPr>
                <w:p w14:paraId="6C69C3E0">
                  <w:pPr>
                    <w:keepNext w:val="0"/>
                    <w:keepLines w:val="0"/>
                    <w:widowControl/>
                    <w:suppressLineNumbers w:val="0"/>
                    <w:jc w:val="center"/>
                    <w:textAlignment w:val="cente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26.521</w:t>
                  </w:r>
                </w:p>
              </w:tc>
              <w:tc>
                <w:tcPr>
                  <w:tcW w:w="1017" w:type="pct"/>
                  <w:vMerge w:val="restart"/>
                  <w:shd w:val="clear" w:color="auto" w:fill="auto"/>
                  <w:noWrap w:val="0"/>
                  <w:vAlign w:val="center"/>
                </w:tcPr>
                <w:p w14:paraId="2120E157">
                  <w:pPr>
                    <w:keepNext w:val="0"/>
                    <w:keepLines w:val="0"/>
                    <w:suppressLineNumbers w:val="0"/>
                    <w:adjustRightInd w:val="0"/>
                    <w:snapToGrid w:val="0"/>
                    <w:spacing w:before="0" w:beforeAutospacing="0" w:after="0" w:afterAutospacing="0" w:line="240" w:lineRule="auto"/>
                    <w:ind w:left="0" w:leftChars="0" w:right="0" w:rightChars="0"/>
                    <w:jc w:val="both"/>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烘干时：机制炭生产线制棒废气引入烘干机作为热源，最终与炭化炉点火和炭化初始阶段燃料燃烧废气、烘干废气一起经“碱喷淋+静电除尘装置”处理后经15m高排气筒（DA002）排放</w:t>
                  </w: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w:t>
                  </w: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非烘干时，制棒废气、炭化炉点火和炭化初始阶段燃料燃烧废气一起经“碱喷淋+静电除尘装置”处理后经15m高排气筒（DA00</w:t>
                  </w: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2</w:t>
                  </w: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）排放</w:t>
                  </w: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w:t>
                  </w:r>
                </w:p>
              </w:tc>
              <w:tc>
                <w:tcPr>
                  <w:tcW w:w="325" w:type="pct"/>
                  <w:shd w:val="clear" w:color="auto" w:fill="auto"/>
                  <w:noWrap w:val="0"/>
                  <w:vAlign w:val="center"/>
                </w:tcPr>
                <w:p w14:paraId="5D00620E">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99%</w:t>
                  </w:r>
                </w:p>
              </w:tc>
              <w:tc>
                <w:tcPr>
                  <w:tcW w:w="436" w:type="pct"/>
                  <w:shd w:val="clear" w:color="auto" w:fill="auto"/>
                  <w:noWrap w:val="0"/>
                  <w:vAlign w:val="center"/>
                </w:tcPr>
                <w:p w14:paraId="70148923">
                  <w:pPr>
                    <w:keepNext w:val="0"/>
                    <w:keepLines w:val="0"/>
                    <w:widowControl/>
                    <w:suppressLineNumbers w:val="0"/>
                    <w:jc w:val="center"/>
                    <w:textAlignment w:val="cente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0.019</w:t>
                  </w:r>
                </w:p>
              </w:tc>
              <w:tc>
                <w:tcPr>
                  <w:tcW w:w="453" w:type="pct"/>
                  <w:shd w:val="clear" w:color="auto" w:fill="auto"/>
                  <w:noWrap w:val="0"/>
                  <w:vAlign w:val="center"/>
                </w:tcPr>
                <w:p w14:paraId="75F8B0EC">
                  <w:pPr>
                    <w:keepNext w:val="0"/>
                    <w:keepLines w:val="0"/>
                    <w:widowControl/>
                    <w:suppressLineNumbers w:val="0"/>
                    <w:jc w:val="center"/>
                    <w:textAlignment w:val="cente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0.005</w:t>
                  </w:r>
                </w:p>
              </w:tc>
              <w:tc>
                <w:tcPr>
                  <w:tcW w:w="448" w:type="pct"/>
                  <w:shd w:val="clear" w:color="auto" w:fill="auto"/>
                  <w:noWrap w:val="0"/>
                  <w:vAlign w:val="center"/>
                </w:tcPr>
                <w:p w14:paraId="256DA88C">
                  <w:pPr>
                    <w:keepNext w:val="0"/>
                    <w:keepLines w:val="0"/>
                    <w:widowControl/>
                    <w:suppressLineNumbers w:val="0"/>
                    <w:jc w:val="center"/>
                    <w:textAlignment w:val="cente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0.265</w:t>
                  </w:r>
                </w:p>
              </w:tc>
            </w:tr>
            <w:tr w14:paraId="16C6BC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54" w:type="pct"/>
                  <w:vMerge w:val="restart"/>
                  <w:noWrap w:val="0"/>
                  <w:vAlign w:val="center"/>
                </w:tcPr>
                <w:p w14:paraId="25628172">
                  <w:pPr>
                    <w:keepNext w:val="0"/>
                    <w:keepLines w:val="0"/>
                    <w:suppressLineNumbers w:val="0"/>
                    <w:adjustRightInd w:val="0"/>
                    <w:snapToGrid w:val="0"/>
                    <w:spacing w:before="0" w:beforeAutospacing="0" w:after="0" w:afterAutospacing="0" w:line="240" w:lineRule="auto"/>
                    <w:ind w:left="0" w:right="0"/>
                    <w:jc w:val="cente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烘干工序</w:t>
                  </w:r>
                </w:p>
              </w:tc>
              <w:tc>
                <w:tcPr>
                  <w:tcW w:w="415" w:type="pct"/>
                  <w:shd w:val="clear" w:color="auto" w:fill="auto"/>
                  <w:noWrap w:val="0"/>
                  <w:vAlign w:val="center"/>
                </w:tcPr>
                <w:p w14:paraId="2DE37A76">
                  <w:pPr>
                    <w:keepNext w:val="0"/>
                    <w:keepLines w:val="0"/>
                    <w:suppressLineNumbers w:val="0"/>
                    <w:adjustRightInd w:val="0"/>
                    <w:snapToGrid w:val="0"/>
                    <w:spacing w:before="0" w:beforeAutospacing="0" w:after="0" w:afterAutospacing="0" w:line="240" w:lineRule="auto"/>
                    <w:ind w:left="0" w:leftChars="0" w:right="0" w:rightChars="0"/>
                    <w:jc w:val="cente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颗粒物</w:t>
                  </w:r>
                </w:p>
              </w:tc>
              <w:tc>
                <w:tcPr>
                  <w:tcW w:w="545" w:type="pct"/>
                  <w:shd w:val="clear" w:color="auto" w:fill="auto"/>
                  <w:noWrap w:val="0"/>
                  <w:vAlign w:val="center"/>
                </w:tcPr>
                <w:p w14:paraId="0D8320E4">
                  <w:pPr>
                    <w:keepNext w:val="0"/>
                    <w:keepLines w:val="0"/>
                    <w:widowControl/>
                    <w:suppressLineNumbers w:val="0"/>
                    <w:jc w:val="center"/>
                    <w:textAlignment w:val="cente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12.052</w:t>
                  </w:r>
                </w:p>
              </w:tc>
              <w:tc>
                <w:tcPr>
                  <w:tcW w:w="509" w:type="pct"/>
                  <w:shd w:val="clear" w:color="auto" w:fill="auto"/>
                  <w:noWrap w:val="0"/>
                  <w:vAlign w:val="center"/>
                </w:tcPr>
                <w:p w14:paraId="3A6F3205">
                  <w:pPr>
                    <w:keepNext w:val="0"/>
                    <w:keepLines w:val="0"/>
                    <w:widowControl/>
                    <w:suppressLineNumbers w:val="0"/>
                    <w:jc w:val="center"/>
                    <w:textAlignment w:val="cente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3.348</w:t>
                  </w:r>
                </w:p>
              </w:tc>
              <w:tc>
                <w:tcPr>
                  <w:tcW w:w="494" w:type="pct"/>
                  <w:shd w:val="clear" w:color="auto" w:fill="auto"/>
                  <w:noWrap w:val="0"/>
                  <w:vAlign w:val="center"/>
                </w:tcPr>
                <w:p w14:paraId="1D45CC6A">
                  <w:pPr>
                    <w:keepNext w:val="0"/>
                    <w:keepLines w:val="0"/>
                    <w:widowControl/>
                    <w:suppressLineNumbers w:val="0"/>
                    <w:jc w:val="center"/>
                    <w:textAlignment w:val="cente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167.400</w:t>
                  </w:r>
                </w:p>
              </w:tc>
              <w:tc>
                <w:tcPr>
                  <w:tcW w:w="1017" w:type="pct"/>
                  <w:vMerge w:val="continue"/>
                  <w:shd w:val="clear" w:color="auto" w:fill="auto"/>
                  <w:noWrap w:val="0"/>
                  <w:vAlign w:val="center"/>
                </w:tcPr>
                <w:p w14:paraId="61455B00">
                  <w:pPr>
                    <w:keepNext w:val="0"/>
                    <w:keepLines w:val="0"/>
                    <w:suppressLineNumbers w:val="0"/>
                    <w:adjustRightInd w:val="0"/>
                    <w:snapToGrid w:val="0"/>
                    <w:spacing w:before="0" w:beforeAutospacing="0" w:after="0" w:afterAutospacing="0" w:line="240" w:lineRule="auto"/>
                    <w:ind w:left="0" w:leftChars="0" w:right="0" w:rightChars="0"/>
                    <w:jc w:val="both"/>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pPr>
                </w:p>
              </w:tc>
              <w:tc>
                <w:tcPr>
                  <w:tcW w:w="325" w:type="pct"/>
                  <w:shd w:val="clear" w:color="auto" w:fill="auto"/>
                  <w:noWrap w:val="0"/>
                  <w:vAlign w:val="center"/>
                </w:tcPr>
                <w:p w14:paraId="15FDD115">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99%</w:t>
                  </w:r>
                </w:p>
              </w:tc>
              <w:tc>
                <w:tcPr>
                  <w:tcW w:w="436" w:type="pct"/>
                  <w:shd w:val="clear" w:color="auto" w:fill="auto"/>
                  <w:noWrap w:val="0"/>
                  <w:vAlign w:val="center"/>
                </w:tcPr>
                <w:p w14:paraId="09A7173C">
                  <w:pPr>
                    <w:keepNext w:val="0"/>
                    <w:keepLines w:val="0"/>
                    <w:widowControl/>
                    <w:suppressLineNumbers w:val="0"/>
                    <w:jc w:val="center"/>
                    <w:textAlignment w:val="cente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0.121</w:t>
                  </w:r>
                </w:p>
              </w:tc>
              <w:tc>
                <w:tcPr>
                  <w:tcW w:w="453" w:type="pct"/>
                  <w:shd w:val="clear" w:color="auto" w:fill="auto"/>
                  <w:noWrap w:val="0"/>
                  <w:vAlign w:val="center"/>
                </w:tcPr>
                <w:p w14:paraId="6A32066F">
                  <w:pPr>
                    <w:keepNext w:val="0"/>
                    <w:keepLines w:val="0"/>
                    <w:widowControl/>
                    <w:suppressLineNumbers w:val="0"/>
                    <w:jc w:val="center"/>
                    <w:textAlignment w:val="cente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0.033</w:t>
                  </w:r>
                </w:p>
              </w:tc>
              <w:tc>
                <w:tcPr>
                  <w:tcW w:w="448" w:type="pct"/>
                  <w:shd w:val="clear" w:color="auto" w:fill="auto"/>
                  <w:noWrap w:val="0"/>
                  <w:vAlign w:val="center"/>
                </w:tcPr>
                <w:p w14:paraId="5AD2E786">
                  <w:pPr>
                    <w:keepNext w:val="0"/>
                    <w:keepLines w:val="0"/>
                    <w:widowControl/>
                    <w:suppressLineNumbers w:val="0"/>
                    <w:jc w:val="center"/>
                    <w:textAlignment w:val="cente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1.674</w:t>
                  </w:r>
                </w:p>
              </w:tc>
            </w:tr>
            <w:tr w14:paraId="4973E6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54" w:type="pct"/>
                  <w:vMerge w:val="continue"/>
                  <w:noWrap w:val="0"/>
                  <w:vAlign w:val="center"/>
                </w:tcPr>
                <w:p w14:paraId="6B542D42">
                  <w:pPr>
                    <w:keepNext w:val="0"/>
                    <w:keepLines w:val="0"/>
                    <w:suppressLineNumbers w:val="0"/>
                    <w:adjustRightInd w:val="0"/>
                    <w:snapToGrid w:val="0"/>
                    <w:spacing w:before="0" w:beforeAutospacing="0" w:after="0" w:afterAutospacing="0" w:line="240" w:lineRule="auto"/>
                    <w:ind w:left="0" w:right="0"/>
                    <w:jc w:val="cente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pPr>
                </w:p>
              </w:tc>
              <w:tc>
                <w:tcPr>
                  <w:tcW w:w="415" w:type="pct"/>
                  <w:shd w:val="clear" w:color="auto" w:fill="auto"/>
                  <w:noWrap w:val="0"/>
                  <w:vAlign w:val="center"/>
                </w:tcPr>
                <w:p w14:paraId="0B2D92AD">
                  <w:pPr>
                    <w:keepNext w:val="0"/>
                    <w:keepLines w:val="0"/>
                    <w:suppressLineNumbers w:val="0"/>
                    <w:adjustRightInd w:val="0"/>
                    <w:snapToGrid w:val="0"/>
                    <w:spacing w:before="0" w:beforeAutospacing="0" w:after="0" w:afterAutospacing="0" w:line="240" w:lineRule="auto"/>
                    <w:ind w:left="0" w:leftChars="0" w:right="0" w:rightChars="0"/>
                    <w:jc w:val="cente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cs="Times New Roman"/>
                      <w:color w:val="000000" w:themeColor="text1"/>
                      <w:sz w:val="21"/>
                      <w:szCs w:val="21"/>
                      <w:u w:val="none" w:color="auto"/>
                      <w14:textFill>
                        <w14:solidFill>
                          <w14:schemeClr w14:val="tx1"/>
                        </w14:solidFill>
                      </w14:textFill>
                    </w:rPr>
                    <w:t>SO</w:t>
                  </w:r>
                  <w:r>
                    <w:rPr>
                      <w:rFonts w:hint="default" w:ascii="Times New Roman" w:hAnsi="Times New Roman" w:cs="Times New Roman"/>
                      <w:color w:val="000000" w:themeColor="text1"/>
                      <w:sz w:val="21"/>
                      <w:szCs w:val="21"/>
                      <w:u w:val="none" w:color="auto"/>
                      <w:vertAlign w:val="subscript"/>
                      <w14:textFill>
                        <w14:solidFill>
                          <w14:schemeClr w14:val="tx1"/>
                        </w14:solidFill>
                      </w14:textFill>
                    </w:rPr>
                    <w:t>2</w:t>
                  </w:r>
                </w:p>
              </w:tc>
              <w:tc>
                <w:tcPr>
                  <w:tcW w:w="545" w:type="pct"/>
                  <w:shd w:val="clear" w:color="auto" w:fill="auto"/>
                  <w:noWrap w:val="0"/>
                  <w:vAlign w:val="center"/>
                </w:tcPr>
                <w:p w14:paraId="0FDF4372">
                  <w:pPr>
                    <w:keepNext w:val="0"/>
                    <w:keepLines w:val="0"/>
                    <w:widowControl/>
                    <w:suppressLineNumbers w:val="0"/>
                    <w:jc w:val="center"/>
                    <w:textAlignment w:val="cente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0.043</w:t>
                  </w:r>
                </w:p>
              </w:tc>
              <w:tc>
                <w:tcPr>
                  <w:tcW w:w="509" w:type="pct"/>
                  <w:shd w:val="clear" w:color="auto" w:fill="auto"/>
                  <w:noWrap w:val="0"/>
                  <w:vAlign w:val="center"/>
                </w:tcPr>
                <w:p w14:paraId="32A1892A">
                  <w:pPr>
                    <w:keepNext w:val="0"/>
                    <w:keepLines w:val="0"/>
                    <w:widowControl/>
                    <w:suppressLineNumbers w:val="0"/>
                    <w:jc w:val="center"/>
                    <w:textAlignment w:val="cente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0.012</w:t>
                  </w:r>
                </w:p>
              </w:tc>
              <w:tc>
                <w:tcPr>
                  <w:tcW w:w="494" w:type="pct"/>
                  <w:shd w:val="clear" w:color="auto" w:fill="auto"/>
                  <w:noWrap w:val="0"/>
                  <w:vAlign w:val="center"/>
                </w:tcPr>
                <w:p w14:paraId="7CA108DE">
                  <w:pPr>
                    <w:keepNext w:val="0"/>
                    <w:keepLines w:val="0"/>
                    <w:widowControl/>
                    <w:suppressLineNumbers w:val="0"/>
                    <w:jc w:val="center"/>
                    <w:textAlignment w:val="cente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0.600</w:t>
                  </w:r>
                </w:p>
              </w:tc>
              <w:tc>
                <w:tcPr>
                  <w:tcW w:w="1017" w:type="pct"/>
                  <w:vMerge w:val="continue"/>
                  <w:shd w:val="clear" w:color="auto" w:fill="auto"/>
                  <w:noWrap w:val="0"/>
                  <w:vAlign w:val="center"/>
                </w:tcPr>
                <w:p w14:paraId="7C3E4D27">
                  <w:pPr>
                    <w:keepNext w:val="0"/>
                    <w:keepLines w:val="0"/>
                    <w:suppressLineNumbers w:val="0"/>
                    <w:adjustRightInd w:val="0"/>
                    <w:snapToGrid w:val="0"/>
                    <w:spacing w:before="0" w:beforeAutospacing="0" w:after="0" w:afterAutospacing="0" w:line="240" w:lineRule="auto"/>
                    <w:ind w:left="0" w:leftChars="0" w:right="0" w:rightChars="0"/>
                    <w:jc w:val="both"/>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pPr>
                </w:p>
              </w:tc>
              <w:tc>
                <w:tcPr>
                  <w:tcW w:w="325" w:type="pct"/>
                  <w:shd w:val="clear" w:color="auto" w:fill="auto"/>
                  <w:noWrap w:val="0"/>
                  <w:vAlign w:val="center"/>
                </w:tcPr>
                <w:p w14:paraId="4C97847B">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80%</w:t>
                  </w:r>
                </w:p>
              </w:tc>
              <w:tc>
                <w:tcPr>
                  <w:tcW w:w="436" w:type="pct"/>
                  <w:shd w:val="clear" w:color="auto" w:fill="auto"/>
                  <w:noWrap w:val="0"/>
                  <w:vAlign w:val="center"/>
                </w:tcPr>
                <w:p w14:paraId="7C184FB3">
                  <w:pPr>
                    <w:keepNext w:val="0"/>
                    <w:keepLines w:val="0"/>
                    <w:widowControl/>
                    <w:suppressLineNumbers w:val="0"/>
                    <w:jc w:val="center"/>
                    <w:textAlignment w:val="cente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0.009</w:t>
                  </w:r>
                </w:p>
              </w:tc>
              <w:tc>
                <w:tcPr>
                  <w:tcW w:w="453" w:type="pct"/>
                  <w:shd w:val="clear" w:color="auto" w:fill="auto"/>
                  <w:noWrap w:val="0"/>
                  <w:vAlign w:val="center"/>
                </w:tcPr>
                <w:p w14:paraId="2D8ADD3F">
                  <w:pPr>
                    <w:keepNext w:val="0"/>
                    <w:keepLines w:val="0"/>
                    <w:widowControl/>
                    <w:suppressLineNumbers w:val="0"/>
                    <w:jc w:val="center"/>
                    <w:textAlignment w:val="cente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0.002</w:t>
                  </w:r>
                </w:p>
              </w:tc>
              <w:tc>
                <w:tcPr>
                  <w:tcW w:w="448" w:type="pct"/>
                  <w:shd w:val="clear" w:color="auto" w:fill="auto"/>
                  <w:noWrap w:val="0"/>
                  <w:vAlign w:val="center"/>
                </w:tcPr>
                <w:p w14:paraId="5929D208">
                  <w:pPr>
                    <w:keepNext w:val="0"/>
                    <w:keepLines w:val="0"/>
                    <w:widowControl/>
                    <w:suppressLineNumbers w:val="0"/>
                    <w:jc w:val="center"/>
                    <w:textAlignment w:val="cente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0.120</w:t>
                  </w:r>
                </w:p>
              </w:tc>
            </w:tr>
            <w:tr w14:paraId="287914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54" w:type="pct"/>
                  <w:vMerge w:val="continue"/>
                  <w:noWrap w:val="0"/>
                  <w:vAlign w:val="center"/>
                </w:tcPr>
                <w:p w14:paraId="150B7A78">
                  <w:pPr>
                    <w:keepNext w:val="0"/>
                    <w:keepLines w:val="0"/>
                    <w:suppressLineNumbers w:val="0"/>
                    <w:adjustRightInd w:val="0"/>
                    <w:snapToGrid w:val="0"/>
                    <w:spacing w:before="0" w:beforeAutospacing="0" w:after="0" w:afterAutospacing="0" w:line="240" w:lineRule="auto"/>
                    <w:ind w:left="0" w:right="0"/>
                    <w:jc w:val="cente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pPr>
                </w:p>
              </w:tc>
              <w:tc>
                <w:tcPr>
                  <w:tcW w:w="415" w:type="pct"/>
                  <w:shd w:val="clear" w:color="auto" w:fill="auto"/>
                  <w:noWrap w:val="0"/>
                  <w:vAlign w:val="center"/>
                </w:tcPr>
                <w:p w14:paraId="3F98AA56">
                  <w:pPr>
                    <w:keepNext w:val="0"/>
                    <w:keepLines w:val="0"/>
                    <w:suppressLineNumbers w:val="0"/>
                    <w:adjustRightInd w:val="0"/>
                    <w:snapToGrid w:val="0"/>
                    <w:spacing w:before="0" w:beforeAutospacing="0" w:after="0" w:afterAutospacing="0" w:line="240" w:lineRule="auto"/>
                    <w:ind w:left="0" w:leftChars="0" w:right="0" w:rightChars="0"/>
                    <w:jc w:val="cente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cs="Times New Roman"/>
                      <w:color w:val="000000" w:themeColor="text1"/>
                      <w:sz w:val="21"/>
                      <w:szCs w:val="21"/>
                      <w:u w:val="none" w:color="auto"/>
                      <w14:textFill>
                        <w14:solidFill>
                          <w14:schemeClr w14:val="tx1"/>
                        </w14:solidFill>
                      </w14:textFill>
                    </w:rPr>
                    <w:t>NO</w:t>
                  </w:r>
                  <w:r>
                    <w:rPr>
                      <w:rFonts w:hint="default" w:ascii="Times New Roman" w:hAnsi="Times New Roman" w:cs="Times New Roman"/>
                      <w:color w:val="000000" w:themeColor="text1"/>
                      <w:sz w:val="21"/>
                      <w:szCs w:val="21"/>
                      <w:u w:val="none" w:color="auto"/>
                      <w:vertAlign w:val="subscript"/>
                      <w14:textFill>
                        <w14:solidFill>
                          <w14:schemeClr w14:val="tx1"/>
                        </w14:solidFill>
                      </w14:textFill>
                    </w:rPr>
                    <w:t>X</w:t>
                  </w:r>
                </w:p>
              </w:tc>
              <w:tc>
                <w:tcPr>
                  <w:tcW w:w="545" w:type="pct"/>
                  <w:shd w:val="clear" w:color="auto" w:fill="auto"/>
                  <w:noWrap w:val="0"/>
                  <w:vAlign w:val="center"/>
                </w:tcPr>
                <w:p w14:paraId="3C43692C">
                  <w:pPr>
                    <w:keepNext w:val="0"/>
                    <w:keepLines w:val="0"/>
                    <w:widowControl/>
                    <w:suppressLineNumbers w:val="0"/>
                    <w:jc w:val="center"/>
                    <w:textAlignment w:val="cente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0.805</w:t>
                  </w:r>
                </w:p>
              </w:tc>
              <w:tc>
                <w:tcPr>
                  <w:tcW w:w="509" w:type="pct"/>
                  <w:shd w:val="clear" w:color="auto" w:fill="auto"/>
                  <w:noWrap w:val="0"/>
                  <w:vAlign w:val="center"/>
                </w:tcPr>
                <w:p w14:paraId="7238A175">
                  <w:pPr>
                    <w:keepNext w:val="0"/>
                    <w:keepLines w:val="0"/>
                    <w:widowControl/>
                    <w:suppressLineNumbers w:val="0"/>
                    <w:jc w:val="center"/>
                    <w:textAlignment w:val="cente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0.224</w:t>
                  </w:r>
                </w:p>
              </w:tc>
              <w:tc>
                <w:tcPr>
                  <w:tcW w:w="494" w:type="pct"/>
                  <w:shd w:val="clear" w:color="auto" w:fill="auto"/>
                  <w:noWrap w:val="0"/>
                  <w:vAlign w:val="center"/>
                </w:tcPr>
                <w:p w14:paraId="746C875F">
                  <w:pPr>
                    <w:keepNext w:val="0"/>
                    <w:keepLines w:val="0"/>
                    <w:widowControl/>
                    <w:suppressLineNumbers w:val="0"/>
                    <w:jc w:val="center"/>
                    <w:textAlignment w:val="cente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11.200</w:t>
                  </w:r>
                </w:p>
              </w:tc>
              <w:tc>
                <w:tcPr>
                  <w:tcW w:w="1017" w:type="pct"/>
                  <w:vMerge w:val="continue"/>
                  <w:shd w:val="clear" w:color="auto" w:fill="auto"/>
                  <w:noWrap w:val="0"/>
                  <w:vAlign w:val="center"/>
                </w:tcPr>
                <w:p w14:paraId="16D3D2AE">
                  <w:pPr>
                    <w:keepNext w:val="0"/>
                    <w:keepLines w:val="0"/>
                    <w:suppressLineNumbers w:val="0"/>
                    <w:adjustRightInd w:val="0"/>
                    <w:snapToGrid w:val="0"/>
                    <w:spacing w:before="0" w:beforeAutospacing="0" w:after="0" w:afterAutospacing="0" w:line="240" w:lineRule="auto"/>
                    <w:ind w:left="0" w:leftChars="0" w:right="0" w:rightChars="0"/>
                    <w:jc w:val="both"/>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pPr>
                </w:p>
              </w:tc>
              <w:tc>
                <w:tcPr>
                  <w:tcW w:w="325" w:type="pct"/>
                  <w:shd w:val="clear" w:color="auto" w:fill="auto"/>
                  <w:noWrap w:val="0"/>
                  <w:vAlign w:val="center"/>
                </w:tcPr>
                <w:p w14:paraId="5F110699">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w:t>
                  </w:r>
                </w:p>
              </w:tc>
              <w:tc>
                <w:tcPr>
                  <w:tcW w:w="436" w:type="pct"/>
                  <w:shd w:val="clear" w:color="auto" w:fill="auto"/>
                  <w:noWrap w:val="0"/>
                  <w:vAlign w:val="center"/>
                </w:tcPr>
                <w:p w14:paraId="6D195221">
                  <w:pPr>
                    <w:keepNext w:val="0"/>
                    <w:keepLines w:val="0"/>
                    <w:widowControl/>
                    <w:suppressLineNumbers w:val="0"/>
                    <w:jc w:val="center"/>
                    <w:textAlignment w:val="cente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0.805</w:t>
                  </w:r>
                </w:p>
              </w:tc>
              <w:tc>
                <w:tcPr>
                  <w:tcW w:w="453" w:type="pct"/>
                  <w:shd w:val="clear" w:color="auto" w:fill="auto"/>
                  <w:noWrap w:val="0"/>
                  <w:vAlign w:val="center"/>
                </w:tcPr>
                <w:p w14:paraId="748F29CF">
                  <w:pPr>
                    <w:keepNext w:val="0"/>
                    <w:keepLines w:val="0"/>
                    <w:widowControl/>
                    <w:suppressLineNumbers w:val="0"/>
                    <w:jc w:val="center"/>
                    <w:textAlignment w:val="cente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0.224</w:t>
                  </w:r>
                </w:p>
              </w:tc>
              <w:tc>
                <w:tcPr>
                  <w:tcW w:w="448" w:type="pct"/>
                  <w:shd w:val="clear" w:color="auto" w:fill="auto"/>
                  <w:noWrap w:val="0"/>
                  <w:vAlign w:val="center"/>
                </w:tcPr>
                <w:p w14:paraId="4CDEAF90">
                  <w:pPr>
                    <w:keepNext w:val="0"/>
                    <w:keepLines w:val="0"/>
                    <w:widowControl/>
                    <w:suppressLineNumbers w:val="0"/>
                    <w:jc w:val="center"/>
                    <w:textAlignment w:val="cente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11.200</w:t>
                  </w:r>
                </w:p>
              </w:tc>
            </w:tr>
            <w:tr w14:paraId="02C0D8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54" w:type="pct"/>
                  <w:vMerge w:val="restart"/>
                  <w:noWrap w:val="0"/>
                  <w:vAlign w:val="center"/>
                </w:tcPr>
                <w:p w14:paraId="555097A5">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cs="Times New Roman"/>
                      <w:b w:val="0"/>
                      <w:bCs/>
                      <w:color w:val="000000" w:themeColor="text1"/>
                      <w:sz w:val="21"/>
                      <w:szCs w:val="21"/>
                      <w:u w:val="none" w:color="auto"/>
                      <w:lang w:val="en-US" w:eastAsia="zh-CN"/>
                      <w14:textFill>
                        <w14:solidFill>
                          <w14:schemeClr w14:val="tx1"/>
                        </w14:solidFill>
                      </w14:textFill>
                    </w:rPr>
                    <w:t>引火</w:t>
                  </w:r>
                  <w:r>
                    <w:rPr>
                      <w:rFonts w:hint="default" w:ascii="Times New Roman" w:hAnsi="Times New Roman" w:eastAsia="宋体" w:cs="Times New Roman"/>
                      <w:b w:val="0"/>
                      <w:bCs/>
                      <w:color w:val="000000" w:themeColor="text1"/>
                      <w:kern w:val="0"/>
                      <w:sz w:val="21"/>
                      <w:szCs w:val="21"/>
                      <w:highlight w:val="none"/>
                      <w:u w:val="none" w:color="auto"/>
                      <w:lang w:val="en-US" w:eastAsia="zh-CN" w:bidi="ar"/>
                      <w14:textFill>
                        <w14:solidFill>
                          <w14:schemeClr w14:val="tx1"/>
                        </w14:solidFill>
                      </w14:textFill>
                    </w:rPr>
                    <w:t>及炭化窑启动初始过程</w:t>
                  </w:r>
                </w:p>
              </w:tc>
              <w:tc>
                <w:tcPr>
                  <w:tcW w:w="415" w:type="pct"/>
                  <w:shd w:val="clear" w:color="auto" w:fill="auto"/>
                  <w:noWrap w:val="0"/>
                  <w:vAlign w:val="center"/>
                </w:tcPr>
                <w:p w14:paraId="660157B2">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cs="Times New Roman"/>
                      <w:color w:val="000000" w:themeColor="text1"/>
                      <w:sz w:val="21"/>
                      <w:szCs w:val="21"/>
                      <w:u w:val="none" w:color="auto"/>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颗粒物</w:t>
                  </w:r>
                </w:p>
              </w:tc>
              <w:tc>
                <w:tcPr>
                  <w:tcW w:w="545" w:type="pct"/>
                  <w:shd w:val="clear" w:color="auto" w:fill="auto"/>
                  <w:noWrap w:val="0"/>
                  <w:vAlign w:val="center"/>
                </w:tcPr>
                <w:p w14:paraId="2C7FB950">
                  <w:pPr>
                    <w:keepNext w:val="0"/>
                    <w:keepLines w:val="0"/>
                    <w:widowControl/>
                    <w:suppressLineNumbers w:val="0"/>
                    <w:jc w:val="center"/>
                    <w:textAlignment w:val="center"/>
                    <w:rPr>
                      <w:rFonts w:hint="default" w:ascii="Times New Roman" w:hAnsi="Times New Roman"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0.002</w:t>
                  </w:r>
                </w:p>
              </w:tc>
              <w:tc>
                <w:tcPr>
                  <w:tcW w:w="509" w:type="pct"/>
                  <w:shd w:val="clear" w:color="auto" w:fill="auto"/>
                  <w:noWrap w:val="0"/>
                  <w:vAlign w:val="center"/>
                </w:tcPr>
                <w:p w14:paraId="7584C989">
                  <w:pPr>
                    <w:keepNext w:val="0"/>
                    <w:keepLines w:val="0"/>
                    <w:widowControl/>
                    <w:suppressLineNumbers w:val="0"/>
                    <w:jc w:val="center"/>
                    <w:textAlignment w:val="center"/>
                    <w:rPr>
                      <w:rFonts w:hint="default" w:ascii="Times New Roman" w:hAnsi="Times New Roman"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0.004</w:t>
                  </w:r>
                </w:p>
              </w:tc>
              <w:tc>
                <w:tcPr>
                  <w:tcW w:w="494" w:type="pct"/>
                  <w:shd w:val="clear" w:color="auto" w:fill="auto"/>
                  <w:noWrap w:val="0"/>
                  <w:vAlign w:val="center"/>
                </w:tcPr>
                <w:p w14:paraId="743DBCEE">
                  <w:pPr>
                    <w:keepNext w:val="0"/>
                    <w:keepLines w:val="0"/>
                    <w:widowControl/>
                    <w:suppressLineNumbers w:val="0"/>
                    <w:jc w:val="center"/>
                    <w:textAlignment w:val="center"/>
                    <w:rPr>
                      <w:rFonts w:hint="default" w:ascii="Times New Roman" w:hAnsi="Times New Roman"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0.200</w:t>
                  </w:r>
                </w:p>
              </w:tc>
              <w:tc>
                <w:tcPr>
                  <w:tcW w:w="1017" w:type="pct"/>
                  <w:vMerge w:val="continue"/>
                  <w:shd w:val="clear" w:color="auto" w:fill="auto"/>
                  <w:noWrap w:val="0"/>
                  <w:vAlign w:val="center"/>
                </w:tcPr>
                <w:p w14:paraId="7FB53C4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000000" w:themeColor="text1"/>
                      <w:sz w:val="21"/>
                      <w:szCs w:val="21"/>
                      <w:highlight w:val="none"/>
                      <w:u w:val="none" w:color="auto"/>
                      <w:lang w:val="en-US" w:eastAsia="zh-CN"/>
                      <w14:textFill>
                        <w14:solidFill>
                          <w14:schemeClr w14:val="tx1"/>
                        </w14:solidFill>
                      </w14:textFill>
                    </w:rPr>
                  </w:pPr>
                </w:p>
              </w:tc>
              <w:tc>
                <w:tcPr>
                  <w:tcW w:w="325" w:type="pct"/>
                  <w:shd w:val="clear" w:color="auto" w:fill="auto"/>
                  <w:noWrap w:val="0"/>
                  <w:vAlign w:val="center"/>
                </w:tcPr>
                <w:p w14:paraId="651E7B38">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99%</w:t>
                  </w:r>
                </w:p>
              </w:tc>
              <w:tc>
                <w:tcPr>
                  <w:tcW w:w="436" w:type="pct"/>
                  <w:shd w:val="clear" w:color="auto" w:fill="auto"/>
                  <w:noWrap w:val="0"/>
                  <w:vAlign w:val="center"/>
                </w:tcPr>
                <w:p w14:paraId="4E8E7EBB">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0.00002</w:t>
                  </w:r>
                </w:p>
              </w:tc>
              <w:tc>
                <w:tcPr>
                  <w:tcW w:w="453" w:type="pct"/>
                  <w:shd w:val="clear" w:color="auto" w:fill="auto"/>
                  <w:noWrap w:val="0"/>
                  <w:vAlign w:val="center"/>
                </w:tcPr>
                <w:p w14:paraId="7AAC4AE4">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0.00004</w:t>
                  </w:r>
                </w:p>
              </w:tc>
              <w:tc>
                <w:tcPr>
                  <w:tcW w:w="448" w:type="pct"/>
                  <w:shd w:val="clear" w:color="auto" w:fill="auto"/>
                  <w:noWrap w:val="0"/>
                  <w:vAlign w:val="center"/>
                </w:tcPr>
                <w:p w14:paraId="4C19FD17">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0.002</w:t>
                  </w:r>
                </w:p>
              </w:tc>
            </w:tr>
            <w:tr w14:paraId="7B6D14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54" w:type="pct"/>
                  <w:vMerge w:val="continue"/>
                  <w:noWrap w:val="0"/>
                  <w:vAlign w:val="center"/>
                </w:tcPr>
                <w:p w14:paraId="63678794">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pPr>
                </w:p>
              </w:tc>
              <w:tc>
                <w:tcPr>
                  <w:tcW w:w="415" w:type="pct"/>
                  <w:shd w:val="clear" w:color="auto" w:fill="auto"/>
                  <w:noWrap w:val="0"/>
                  <w:vAlign w:val="center"/>
                </w:tcPr>
                <w:p w14:paraId="45842C71">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cs="Times New Roman"/>
                      <w:b w:val="0"/>
                      <w:bCs w:val="0"/>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cs="Times New Roman"/>
                      <w:color w:val="000000" w:themeColor="text1"/>
                      <w:sz w:val="21"/>
                      <w:szCs w:val="21"/>
                      <w:u w:val="none" w:color="auto"/>
                      <w14:textFill>
                        <w14:solidFill>
                          <w14:schemeClr w14:val="tx1"/>
                        </w14:solidFill>
                      </w14:textFill>
                    </w:rPr>
                    <w:t>SO</w:t>
                  </w:r>
                  <w:r>
                    <w:rPr>
                      <w:rFonts w:hint="default" w:ascii="Times New Roman" w:hAnsi="Times New Roman" w:cs="Times New Roman"/>
                      <w:color w:val="000000" w:themeColor="text1"/>
                      <w:sz w:val="21"/>
                      <w:szCs w:val="21"/>
                      <w:u w:val="none" w:color="auto"/>
                      <w:vertAlign w:val="subscript"/>
                      <w14:textFill>
                        <w14:solidFill>
                          <w14:schemeClr w14:val="tx1"/>
                        </w14:solidFill>
                      </w14:textFill>
                    </w:rPr>
                    <w:t>2</w:t>
                  </w:r>
                </w:p>
              </w:tc>
              <w:tc>
                <w:tcPr>
                  <w:tcW w:w="545" w:type="pct"/>
                  <w:shd w:val="clear" w:color="auto" w:fill="auto"/>
                  <w:noWrap w:val="0"/>
                  <w:vAlign w:val="center"/>
                </w:tcPr>
                <w:p w14:paraId="7AAE6349">
                  <w:pPr>
                    <w:keepNext w:val="0"/>
                    <w:keepLines w:val="0"/>
                    <w:widowControl/>
                    <w:suppressLineNumbers w:val="0"/>
                    <w:jc w:val="center"/>
                    <w:textAlignment w:val="center"/>
                    <w:rPr>
                      <w:rFonts w:hint="default" w:ascii="Times New Roman" w:hAnsi="Times New Roman" w:cs="Times New Roman"/>
                      <w:b w:val="0"/>
                      <w:bCs w:val="0"/>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0.004</w:t>
                  </w:r>
                </w:p>
              </w:tc>
              <w:tc>
                <w:tcPr>
                  <w:tcW w:w="509" w:type="pct"/>
                  <w:shd w:val="clear" w:color="auto" w:fill="auto"/>
                  <w:noWrap w:val="0"/>
                  <w:vAlign w:val="center"/>
                </w:tcPr>
                <w:p w14:paraId="3E069E37">
                  <w:pPr>
                    <w:keepNext w:val="0"/>
                    <w:keepLines w:val="0"/>
                    <w:widowControl/>
                    <w:suppressLineNumbers w:val="0"/>
                    <w:jc w:val="center"/>
                    <w:textAlignment w:val="center"/>
                    <w:rPr>
                      <w:rFonts w:hint="default" w:ascii="Times New Roman" w:hAnsi="Times New Roman"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0.007</w:t>
                  </w:r>
                </w:p>
              </w:tc>
              <w:tc>
                <w:tcPr>
                  <w:tcW w:w="494" w:type="pct"/>
                  <w:shd w:val="clear" w:color="auto" w:fill="auto"/>
                  <w:noWrap w:val="0"/>
                  <w:vAlign w:val="center"/>
                </w:tcPr>
                <w:p w14:paraId="01D70D57">
                  <w:pPr>
                    <w:keepNext w:val="0"/>
                    <w:keepLines w:val="0"/>
                    <w:widowControl/>
                    <w:suppressLineNumbers w:val="0"/>
                    <w:jc w:val="center"/>
                    <w:textAlignment w:val="center"/>
                    <w:rPr>
                      <w:rFonts w:hint="default" w:ascii="Times New Roman" w:hAnsi="Times New Roman"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0.350</w:t>
                  </w:r>
                </w:p>
              </w:tc>
              <w:tc>
                <w:tcPr>
                  <w:tcW w:w="1017" w:type="pct"/>
                  <w:vMerge w:val="continue"/>
                  <w:shd w:val="clear" w:color="auto" w:fill="auto"/>
                  <w:noWrap w:val="0"/>
                  <w:vAlign w:val="center"/>
                </w:tcPr>
                <w:p w14:paraId="1E35031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000000" w:themeColor="text1"/>
                      <w:kern w:val="0"/>
                      <w:sz w:val="21"/>
                      <w:szCs w:val="21"/>
                      <w:u w:val="none" w:color="auto"/>
                      <w:lang w:val="en-US" w:eastAsia="zh-CN" w:bidi="ar"/>
                      <w14:textFill>
                        <w14:solidFill>
                          <w14:schemeClr w14:val="tx1"/>
                        </w14:solidFill>
                      </w14:textFill>
                    </w:rPr>
                  </w:pPr>
                </w:p>
              </w:tc>
              <w:tc>
                <w:tcPr>
                  <w:tcW w:w="325" w:type="pct"/>
                  <w:shd w:val="clear" w:color="auto" w:fill="auto"/>
                  <w:noWrap w:val="0"/>
                  <w:vAlign w:val="center"/>
                </w:tcPr>
                <w:p w14:paraId="17E62EC7">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80%</w:t>
                  </w:r>
                </w:p>
              </w:tc>
              <w:tc>
                <w:tcPr>
                  <w:tcW w:w="436" w:type="pct"/>
                  <w:shd w:val="clear" w:color="auto" w:fill="auto"/>
                  <w:noWrap w:val="0"/>
                  <w:vAlign w:val="center"/>
                </w:tcPr>
                <w:p w14:paraId="1A40871A">
                  <w:pPr>
                    <w:keepNext w:val="0"/>
                    <w:keepLines w:val="0"/>
                    <w:widowControl/>
                    <w:suppressLineNumbers w:val="0"/>
                    <w:jc w:val="center"/>
                    <w:textAlignment w:val="center"/>
                    <w:rPr>
                      <w:rFonts w:hint="default" w:ascii="Times New Roman" w:hAnsi="Times New Roman"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0.001</w:t>
                  </w:r>
                </w:p>
              </w:tc>
              <w:tc>
                <w:tcPr>
                  <w:tcW w:w="453" w:type="pct"/>
                  <w:shd w:val="clear" w:color="auto" w:fill="auto"/>
                  <w:noWrap w:val="0"/>
                  <w:vAlign w:val="center"/>
                </w:tcPr>
                <w:p w14:paraId="2F6592DC">
                  <w:pPr>
                    <w:keepNext w:val="0"/>
                    <w:keepLines w:val="0"/>
                    <w:widowControl/>
                    <w:suppressLineNumbers w:val="0"/>
                    <w:jc w:val="center"/>
                    <w:textAlignment w:val="center"/>
                    <w:rPr>
                      <w:rFonts w:hint="default" w:ascii="Times New Roman" w:hAnsi="Times New Roman"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0.001</w:t>
                  </w:r>
                </w:p>
              </w:tc>
              <w:tc>
                <w:tcPr>
                  <w:tcW w:w="448" w:type="pct"/>
                  <w:shd w:val="clear" w:color="auto" w:fill="auto"/>
                  <w:noWrap w:val="0"/>
                  <w:vAlign w:val="center"/>
                </w:tcPr>
                <w:p w14:paraId="13F1D1B2">
                  <w:pPr>
                    <w:keepNext w:val="0"/>
                    <w:keepLines w:val="0"/>
                    <w:widowControl/>
                    <w:suppressLineNumbers w:val="0"/>
                    <w:jc w:val="center"/>
                    <w:textAlignment w:val="center"/>
                    <w:rPr>
                      <w:rFonts w:hint="default" w:ascii="Times New Roman" w:hAnsi="Times New Roman"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0.070</w:t>
                  </w:r>
                </w:p>
              </w:tc>
            </w:tr>
            <w:tr w14:paraId="6F49FF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54" w:type="pct"/>
                  <w:vMerge w:val="continue"/>
                  <w:noWrap w:val="0"/>
                  <w:vAlign w:val="center"/>
                </w:tcPr>
                <w:p w14:paraId="6538FF33">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pPr>
                </w:p>
              </w:tc>
              <w:tc>
                <w:tcPr>
                  <w:tcW w:w="415" w:type="pct"/>
                  <w:shd w:val="clear" w:color="auto" w:fill="auto"/>
                  <w:noWrap w:val="0"/>
                  <w:vAlign w:val="center"/>
                </w:tcPr>
                <w:p w14:paraId="3A811F2B">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cs="Times New Roman"/>
                      <w:b w:val="0"/>
                      <w:bCs w:val="0"/>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cs="Times New Roman"/>
                      <w:color w:val="000000" w:themeColor="text1"/>
                      <w:sz w:val="21"/>
                      <w:szCs w:val="21"/>
                      <w:u w:val="none" w:color="auto"/>
                      <w14:textFill>
                        <w14:solidFill>
                          <w14:schemeClr w14:val="tx1"/>
                        </w14:solidFill>
                      </w14:textFill>
                    </w:rPr>
                    <w:t>NO</w:t>
                  </w:r>
                  <w:r>
                    <w:rPr>
                      <w:rFonts w:hint="default" w:ascii="Times New Roman" w:hAnsi="Times New Roman" w:cs="Times New Roman"/>
                      <w:color w:val="000000" w:themeColor="text1"/>
                      <w:sz w:val="21"/>
                      <w:szCs w:val="21"/>
                      <w:u w:val="none" w:color="auto"/>
                      <w:vertAlign w:val="subscript"/>
                      <w14:textFill>
                        <w14:solidFill>
                          <w14:schemeClr w14:val="tx1"/>
                        </w14:solidFill>
                      </w14:textFill>
                    </w:rPr>
                    <w:t>X</w:t>
                  </w:r>
                </w:p>
              </w:tc>
              <w:tc>
                <w:tcPr>
                  <w:tcW w:w="545" w:type="pct"/>
                  <w:shd w:val="clear" w:color="auto" w:fill="auto"/>
                  <w:noWrap w:val="0"/>
                  <w:vAlign w:val="center"/>
                </w:tcPr>
                <w:p w14:paraId="33A253A9">
                  <w:pPr>
                    <w:keepNext w:val="0"/>
                    <w:keepLines w:val="0"/>
                    <w:widowControl/>
                    <w:suppressLineNumbers w:val="0"/>
                    <w:jc w:val="center"/>
                    <w:textAlignment w:val="center"/>
                    <w:rPr>
                      <w:rFonts w:hint="default" w:ascii="Times New Roman" w:hAnsi="Times New Roman" w:cs="Times New Roman"/>
                      <w:b w:val="0"/>
                      <w:bCs w:val="0"/>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0.057</w:t>
                  </w:r>
                </w:p>
              </w:tc>
              <w:tc>
                <w:tcPr>
                  <w:tcW w:w="509" w:type="pct"/>
                  <w:shd w:val="clear" w:color="auto" w:fill="auto"/>
                  <w:noWrap w:val="0"/>
                  <w:vAlign w:val="center"/>
                </w:tcPr>
                <w:p w14:paraId="395246CB">
                  <w:pPr>
                    <w:keepNext w:val="0"/>
                    <w:keepLines w:val="0"/>
                    <w:widowControl/>
                    <w:suppressLineNumbers w:val="0"/>
                    <w:jc w:val="center"/>
                    <w:textAlignment w:val="center"/>
                    <w:rPr>
                      <w:rFonts w:hint="default" w:ascii="Times New Roman" w:hAnsi="Times New Roman"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0.059</w:t>
                  </w:r>
                </w:p>
              </w:tc>
              <w:tc>
                <w:tcPr>
                  <w:tcW w:w="494" w:type="pct"/>
                  <w:shd w:val="clear" w:color="auto" w:fill="auto"/>
                  <w:noWrap w:val="0"/>
                  <w:vAlign w:val="center"/>
                </w:tcPr>
                <w:p w14:paraId="05EE3ABF">
                  <w:pPr>
                    <w:keepNext w:val="0"/>
                    <w:keepLines w:val="0"/>
                    <w:widowControl/>
                    <w:suppressLineNumbers w:val="0"/>
                    <w:jc w:val="center"/>
                    <w:textAlignment w:val="center"/>
                    <w:rPr>
                      <w:rFonts w:hint="default" w:ascii="Times New Roman" w:hAnsi="Times New Roman"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2.950</w:t>
                  </w:r>
                </w:p>
              </w:tc>
              <w:tc>
                <w:tcPr>
                  <w:tcW w:w="1017" w:type="pct"/>
                  <w:vMerge w:val="continue"/>
                  <w:shd w:val="clear" w:color="auto" w:fill="auto"/>
                  <w:noWrap w:val="0"/>
                  <w:vAlign w:val="center"/>
                </w:tcPr>
                <w:p w14:paraId="7EF2786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000000" w:themeColor="text1"/>
                      <w:kern w:val="0"/>
                      <w:sz w:val="21"/>
                      <w:szCs w:val="21"/>
                      <w:u w:val="none" w:color="auto"/>
                      <w:lang w:val="en-US" w:eastAsia="zh-CN" w:bidi="ar"/>
                      <w14:textFill>
                        <w14:solidFill>
                          <w14:schemeClr w14:val="tx1"/>
                        </w14:solidFill>
                      </w14:textFill>
                    </w:rPr>
                  </w:pPr>
                </w:p>
              </w:tc>
              <w:tc>
                <w:tcPr>
                  <w:tcW w:w="325" w:type="pct"/>
                  <w:shd w:val="clear" w:color="auto" w:fill="auto"/>
                  <w:noWrap w:val="0"/>
                  <w:vAlign w:val="center"/>
                </w:tcPr>
                <w:p w14:paraId="45AD4415">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cs="Times New Roman"/>
                      <w:color w:val="000000" w:themeColor="text1"/>
                      <w:sz w:val="21"/>
                      <w:szCs w:val="21"/>
                      <w:highlight w:val="none"/>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w:t>
                  </w:r>
                </w:p>
              </w:tc>
              <w:tc>
                <w:tcPr>
                  <w:tcW w:w="436" w:type="pct"/>
                  <w:shd w:val="clear" w:color="auto" w:fill="auto"/>
                  <w:noWrap w:val="0"/>
                  <w:vAlign w:val="center"/>
                </w:tcPr>
                <w:p w14:paraId="75592238">
                  <w:pPr>
                    <w:keepNext w:val="0"/>
                    <w:keepLines w:val="0"/>
                    <w:widowControl/>
                    <w:suppressLineNumbers w:val="0"/>
                    <w:jc w:val="center"/>
                    <w:textAlignment w:val="center"/>
                    <w:rPr>
                      <w:rFonts w:hint="default" w:ascii="Times New Roman" w:hAnsi="Times New Roman"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0.057</w:t>
                  </w:r>
                </w:p>
              </w:tc>
              <w:tc>
                <w:tcPr>
                  <w:tcW w:w="453" w:type="pct"/>
                  <w:shd w:val="clear" w:color="auto" w:fill="auto"/>
                  <w:noWrap w:val="0"/>
                  <w:vAlign w:val="center"/>
                </w:tcPr>
                <w:p w14:paraId="74C9F694">
                  <w:pPr>
                    <w:keepNext w:val="0"/>
                    <w:keepLines w:val="0"/>
                    <w:widowControl/>
                    <w:suppressLineNumbers w:val="0"/>
                    <w:jc w:val="center"/>
                    <w:textAlignment w:val="center"/>
                    <w:rPr>
                      <w:rFonts w:hint="default" w:ascii="Times New Roman" w:hAnsi="Times New Roman"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0.059</w:t>
                  </w:r>
                </w:p>
              </w:tc>
              <w:tc>
                <w:tcPr>
                  <w:tcW w:w="448" w:type="pct"/>
                  <w:shd w:val="clear" w:color="auto" w:fill="auto"/>
                  <w:noWrap w:val="0"/>
                  <w:vAlign w:val="center"/>
                </w:tcPr>
                <w:p w14:paraId="25131C7C">
                  <w:pPr>
                    <w:keepNext w:val="0"/>
                    <w:keepLines w:val="0"/>
                    <w:widowControl/>
                    <w:suppressLineNumbers w:val="0"/>
                    <w:jc w:val="center"/>
                    <w:textAlignment w:val="center"/>
                    <w:rPr>
                      <w:rFonts w:hint="default" w:ascii="Times New Roman" w:hAnsi="Times New Roman"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2.950</w:t>
                  </w:r>
                </w:p>
              </w:tc>
            </w:tr>
            <w:tr w14:paraId="153628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54" w:type="pct"/>
                  <w:vMerge w:val="restart"/>
                  <w:noWrap w:val="0"/>
                  <w:vAlign w:val="center"/>
                </w:tcPr>
                <w:p w14:paraId="15E9EE59">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炭化废气中不</w:t>
                  </w:r>
                </w:p>
                <w:p w14:paraId="13E6A303">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可燃烧气体</w:t>
                  </w:r>
                </w:p>
              </w:tc>
              <w:tc>
                <w:tcPr>
                  <w:tcW w:w="415" w:type="pct"/>
                  <w:shd w:val="clear" w:color="auto" w:fill="auto"/>
                  <w:noWrap w:val="0"/>
                  <w:vAlign w:val="center"/>
                </w:tcPr>
                <w:p w14:paraId="42C131CC">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颗粒物</w:t>
                  </w:r>
                </w:p>
              </w:tc>
              <w:tc>
                <w:tcPr>
                  <w:tcW w:w="545" w:type="pct"/>
                  <w:shd w:val="clear" w:color="auto" w:fill="auto"/>
                  <w:noWrap w:val="0"/>
                  <w:vAlign w:val="center"/>
                </w:tcPr>
                <w:p w14:paraId="0F322208">
                  <w:pPr>
                    <w:keepNext w:val="0"/>
                    <w:keepLines w:val="0"/>
                    <w:widowControl/>
                    <w:suppressLineNumbers w:val="0"/>
                    <w:jc w:val="center"/>
                    <w:textAlignment w:val="center"/>
                    <w:rPr>
                      <w:rFonts w:hint="default" w:ascii="Times New Roman" w:hAnsi="Times New Roman" w:eastAsia="Times New Roman"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34.2</w:t>
                  </w:r>
                </w:p>
              </w:tc>
              <w:tc>
                <w:tcPr>
                  <w:tcW w:w="509" w:type="pct"/>
                  <w:shd w:val="clear" w:color="auto" w:fill="auto"/>
                  <w:noWrap w:val="0"/>
                  <w:vAlign w:val="center"/>
                </w:tcPr>
                <w:p w14:paraId="34F7B2A7">
                  <w:pPr>
                    <w:keepNext w:val="0"/>
                    <w:keepLines w:val="0"/>
                    <w:widowControl/>
                    <w:suppressLineNumbers w:val="0"/>
                    <w:jc w:val="center"/>
                    <w:textAlignment w:val="center"/>
                    <w:rPr>
                      <w:rFonts w:hint="default" w:ascii="Times New Roman" w:hAnsi="Times New Roman" w:eastAsia="Times New Roman"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4.75</w:t>
                  </w:r>
                </w:p>
              </w:tc>
              <w:tc>
                <w:tcPr>
                  <w:tcW w:w="494" w:type="pct"/>
                  <w:shd w:val="clear" w:color="auto" w:fill="auto"/>
                  <w:noWrap w:val="0"/>
                  <w:vAlign w:val="center"/>
                </w:tcPr>
                <w:p w14:paraId="16032E1C">
                  <w:pPr>
                    <w:keepNext w:val="0"/>
                    <w:keepLines w:val="0"/>
                    <w:widowControl/>
                    <w:suppressLineNumbers w:val="0"/>
                    <w:jc w:val="center"/>
                    <w:textAlignment w:val="center"/>
                    <w:rPr>
                      <w:rFonts w:hint="default" w:ascii="Times New Roman" w:hAnsi="Times New Roman"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237.500</w:t>
                  </w:r>
                </w:p>
              </w:tc>
              <w:tc>
                <w:tcPr>
                  <w:tcW w:w="1017" w:type="pct"/>
                  <w:vMerge w:val="continue"/>
                  <w:shd w:val="clear" w:color="auto" w:fill="auto"/>
                  <w:noWrap w:val="0"/>
                  <w:vAlign w:val="center"/>
                </w:tcPr>
                <w:p w14:paraId="3DDB9850">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color w:val="000000" w:themeColor="text1"/>
                      <w:sz w:val="21"/>
                      <w:szCs w:val="21"/>
                      <w:highlight w:val="none"/>
                      <w:u w:val="none" w:color="auto"/>
                      <w:lang w:val="en-US" w:eastAsia="zh-CN"/>
                      <w14:textFill>
                        <w14:solidFill>
                          <w14:schemeClr w14:val="tx1"/>
                        </w14:solidFill>
                      </w14:textFill>
                    </w:rPr>
                  </w:pPr>
                </w:p>
              </w:tc>
              <w:tc>
                <w:tcPr>
                  <w:tcW w:w="325" w:type="pct"/>
                  <w:shd w:val="clear" w:color="auto" w:fill="auto"/>
                  <w:noWrap w:val="0"/>
                  <w:vAlign w:val="center"/>
                </w:tcPr>
                <w:p w14:paraId="6C3FEDBF">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99%</w:t>
                  </w:r>
                </w:p>
              </w:tc>
              <w:tc>
                <w:tcPr>
                  <w:tcW w:w="436" w:type="pct"/>
                  <w:shd w:val="clear" w:color="auto" w:fill="auto"/>
                  <w:noWrap w:val="0"/>
                  <w:vAlign w:val="center"/>
                </w:tcPr>
                <w:p w14:paraId="3649CEC1">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0.342</w:t>
                  </w:r>
                </w:p>
              </w:tc>
              <w:tc>
                <w:tcPr>
                  <w:tcW w:w="453" w:type="pct"/>
                  <w:shd w:val="clear" w:color="auto" w:fill="auto"/>
                  <w:noWrap w:val="0"/>
                  <w:vAlign w:val="center"/>
                </w:tcPr>
                <w:p w14:paraId="7E0336C1">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0.048</w:t>
                  </w:r>
                </w:p>
              </w:tc>
              <w:tc>
                <w:tcPr>
                  <w:tcW w:w="448" w:type="pct"/>
                  <w:shd w:val="clear" w:color="auto" w:fill="auto"/>
                  <w:noWrap w:val="0"/>
                  <w:vAlign w:val="center"/>
                </w:tcPr>
                <w:p w14:paraId="7A025B02">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2.375</w:t>
                  </w:r>
                </w:p>
              </w:tc>
            </w:tr>
            <w:tr w14:paraId="6740D8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54" w:type="pct"/>
                  <w:vMerge w:val="continue"/>
                  <w:noWrap w:val="0"/>
                  <w:vAlign w:val="center"/>
                </w:tcPr>
                <w:p w14:paraId="66598F17">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pPr>
                </w:p>
              </w:tc>
              <w:tc>
                <w:tcPr>
                  <w:tcW w:w="415" w:type="pct"/>
                  <w:shd w:val="clear" w:color="auto" w:fill="auto"/>
                  <w:noWrap w:val="0"/>
                  <w:vAlign w:val="center"/>
                </w:tcPr>
                <w:p w14:paraId="097E7061">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cs="Times New Roman"/>
                      <w:color w:val="000000" w:themeColor="text1"/>
                      <w:sz w:val="21"/>
                      <w:szCs w:val="21"/>
                      <w:u w:val="none" w:color="auto"/>
                      <w14:textFill>
                        <w14:solidFill>
                          <w14:schemeClr w14:val="tx1"/>
                        </w14:solidFill>
                      </w14:textFill>
                    </w:rPr>
                    <w:t>SO</w:t>
                  </w:r>
                  <w:r>
                    <w:rPr>
                      <w:rFonts w:hint="default" w:ascii="Times New Roman" w:hAnsi="Times New Roman" w:cs="Times New Roman"/>
                      <w:color w:val="000000" w:themeColor="text1"/>
                      <w:sz w:val="21"/>
                      <w:szCs w:val="21"/>
                      <w:u w:val="none" w:color="auto"/>
                      <w:vertAlign w:val="subscript"/>
                      <w14:textFill>
                        <w14:solidFill>
                          <w14:schemeClr w14:val="tx1"/>
                        </w14:solidFill>
                      </w14:textFill>
                    </w:rPr>
                    <w:t>2</w:t>
                  </w:r>
                </w:p>
              </w:tc>
              <w:tc>
                <w:tcPr>
                  <w:tcW w:w="545" w:type="pct"/>
                  <w:shd w:val="clear" w:color="auto" w:fill="auto"/>
                  <w:noWrap w:val="0"/>
                  <w:vAlign w:val="center"/>
                </w:tcPr>
                <w:p w14:paraId="7D35A6B9">
                  <w:pPr>
                    <w:keepNext w:val="0"/>
                    <w:keepLines w:val="0"/>
                    <w:widowControl/>
                    <w:suppressLineNumbers w:val="0"/>
                    <w:jc w:val="center"/>
                    <w:textAlignment w:val="center"/>
                    <w:rPr>
                      <w:rFonts w:hint="default" w:ascii="Times New Roman" w:hAnsi="Times New Roman" w:eastAsia="Times New Roman"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7.05</w:t>
                  </w:r>
                </w:p>
              </w:tc>
              <w:tc>
                <w:tcPr>
                  <w:tcW w:w="509" w:type="pct"/>
                  <w:shd w:val="clear" w:color="auto" w:fill="auto"/>
                  <w:noWrap w:val="0"/>
                  <w:vAlign w:val="center"/>
                </w:tcPr>
                <w:p w14:paraId="18AC33A9">
                  <w:pPr>
                    <w:keepNext w:val="0"/>
                    <w:keepLines w:val="0"/>
                    <w:widowControl/>
                    <w:suppressLineNumbers w:val="0"/>
                    <w:jc w:val="center"/>
                    <w:textAlignment w:val="center"/>
                    <w:rPr>
                      <w:rFonts w:hint="default" w:ascii="Times New Roman" w:hAnsi="Times New Roman" w:eastAsia="Times New Roman"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0.979</w:t>
                  </w:r>
                </w:p>
              </w:tc>
              <w:tc>
                <w:tcPr>
                  <w:tcW w:w="494" w:type="pct"/>
                  <w:shd w:val="clear" w:color="auto" w:fill="auto"/>
                  <w:noWrap w:val="0"/>
                  <w:vAlign w:val="center"/>
                </w:tcPr>
                <w:p w14:paraId="62615D0F">
                  <w:pPr>
                    <w:keepNext w:val="0"/>
                    <w:keepLines w:val="0"/>
                    <w:widowControl/>
                    <w:suppressLineNumbers w:val="0"/>
                    <w:jc w:val="center"/>
                    <w:textAlignment w:val="center"/>
                    <w:rPr>
                      <w:rFonts w:hint="default" w:ascii="Times New Roman" w:hAnsi="Times New Roman"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48.950</w:t>
                  </w:r>
                </w:p>
              </w:tc>
              <w:tc>
                <w:tcPr>
                  <w:tcW w:w="1017" w:type="pct"/>
                  <w:vMerge w:val="continue"/>
                  <w:shd w:val="clear" w:color="auto" w:fill="auto"/>
                  <w:noWrap w:val="0"/>
                  <w:vAlign w:val="center"/>
                </w:tcPr>
                <w:p w14:paraId="46839470">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color w:val="000000" w:themeColor="text1"/>
                      <w:sz w:val="21"/>
                      <w:szCs w:val="21"/>
                      <w:highlight w:val="none"/>
                      <w:u w:val="none" w:color="auto"/>
                      <w:lang w:val="en-US" w:eastAsia="zh-CN"/>
                      <w14:textFill>
                        <w14:solidFill>
                          <w14:schemeClr w14:val="tx1"/>
                        </w14:solidFill>
                      </w14:textFill>
                    </w:rPr>
                  </w:pPr>
                </w:p>
              </w:tc>
              <w:tc>
                <w:tcPr>
                  <w:tcW w:w="325" w:type="pct"/>
                  <w:shd w:val="clear" w:color="auto" w:fill="auto"/>
                  <w:noWrap w:val="0"/>
                  <w:vAlign w:val="center"/>
                </w:tcPr>
                <w:p w14:paraId="494B6086">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80%</w:t>
                  </w:r>
                </w:p>
              </w:tc>
              <w:tc>
                <w:tcPr>
                  <w:tcW w:w="436" w:type="pct"/>
                  <w:shd w:val="clear" w:color="auto" w:fill="auto"/>
                  <w:noWrap w:val="0"/>
                  <w:vAlign w:val="center"/>
                </w:tcPr>
                <w:p w14:paraId="31EF91B4">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1.410</w:t>
                  </w:r>
                </w:p>
              </w:tc>
              <w:tc>
                <w:tcPr>
                  <w:tcW w:w="453" w:type="pct"/>
                  <w:shd w:val="clear" w:color="auto" w:fill="auto"/>
                  <w:noWrap w:val="0"/>
                  <w:vAlign w:val="center"/>
                </w:tcPr>
                <w:p w14:paraId="4D2B4C78">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0.196</w:t>
                  </w:r>
                </w:p>
              </w:tc>
              <w:tc>
                <w:tcPr>
                  <w:tcW w:w="448" w:type="pct"/>
                  <w:shd w:val="clear" w:color="auto" w:fill="auto"/>
                  <w:noWrap w:val="0"/>
                  <w:vAlign w:val="center"/>
                </w:tcPr>
                <w:p w14:paraId="74E76C75">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9.790</w:t>
                  </w:r>
                </w:p>
              </w:tc>
            </w:tr>
            <w:tr w14:paraId="4D5C81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54" w:type="pct"/>
                  <w:vMerge w:val="continue"/>
                  <w:noWrap w:val="0"/>
                  <w:vAlign w:val="center"/>
                </w:tcPr>
                <w:p w14:paraId="426053C5">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pPr>
                </w:p>
              </w:tc>
              <w:tc>
                <w:tcPr>
                  <w:tcW w:w="415" w:type="pct"/>
                  <w:shd w:val="clear" w:color="auto" w:fill="auto"/>
                  <w:noWrap w:val="0"/>
                  <w:vAlign w:val="center"/>
                </w:tcPr>
                <w:p w14:paraId="7F546D3E">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cs="Times New Roman"/>
                      <w:color w:val="000000" w:themeColor="text1"/>
                      <w:sz w:val="21"/>
                      <w:szCs w:val="21"/>
                      <w:u w:val="none" w:color="auto"/>
                      <w14:textFill>
                        <w14:solidFill>
                          <w14:schemeClr w14:val="tx1"/>
                        </w14:solidFill>
                      </w14:textFill>
                    </w:rPr>
                    <w:t>NO</w:t>
                  </w:r>
                  <w:r>
                    <w:rPr>
                      <w:rFonts w:hint="default" w:ascii="Times New Roman" w:hAnsi="Times New Roman" w:cs="Times New Roman"/>
                      <w:color w:val="000000" w:themeColor="text1"/>
                      <w:sz w:val="21"/>
                      <w:szCs w:val="21"/>
                      <w:u w:val="none" w:color="auto"/>
                      <w:vertAlign w:val="subscript"/>
                      <w14:textFill>
                        <w14:solidFill>
                          <w14:schemeClr w14:val="tx1"/>
                        </w14:solidFill>
                      </w14:textFill>
                    </w:rPr>
                    <w:t>X</w:t>
                  </w:r>
                </w:p>
              </w:tc>
              <w:tc>
                <w:tcPr>
                  <w:tcW w:w="545" w:type="pct"/>
                  <w:shd w:val="clear" w:color="auto" w:fill="auto"/>
                  <w:noWrap w:val="0"/>
                  <w:vAlign w:val="center"/>
                </w:tcPr>
                <w:p w14:paraId="4464D8C2">
                  <w:pPr>
                    <w:keepNext w:val="0"/>
                    <w:keepLines w:val="0"/>
                    <w:widowControl/>
                    <w:suppressLineNumbers w:val="0"/>
                    <w:jc w:val="center"/>
                    <w:textAlignment w:val="center"/>
                    <w:rPr>
                      <w:rFonts w:hint="default" w:ascii="Times New Roman" w:hAnsi="Times New Roman" w:eastAsia="Times New Roman"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4.5</w:t>
                  </w:r>
                </w:p>
              </w:tc>
              <w:tc>
                <w:tcPr>
                  <w:tcW w:w="509" w:type="pct"/>
                  <w:shd w:val="clear" w:color="auto" w:fill="auto"/>
                  <w:noWrap w:val="0"/>
                  <w:vAlign w:val="center"/>
                </w:tcPr>
                <w:p w14:paraId="1BDDD44B">
                  <w:pPr>
                    <w:keepNext w:val="0"/>
                    <w:keepLines w:val="0"/>
                    <w:widowControl/>
                    <w:suppressLineNumbers w:val="0"/>
                    <w:jc w:val="center"/>
                    <w:textAlignment w:val="center"/>
                    <w:rPr>
                      <w:rFonts w:hint="default" w:ascii="Times New Roman" w:hAnsi="Times New Roman" w:eastAsia="Times New Roman"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0.625</w:t>
                  </w:r>
                </w:p>
              </w:tc>
              <w:tc>
                <w:tcPr>
                  <w:tcW w:w="494" w:type="pct"/>
                  <w:shd w:val="clear" w:color="auto" w:fill="auto"/>
                  <w:noWrap w:val="0"/>
                  <w:vAlign w:val="center"/>
                </w:tcPr>
                <w:p w14:paraId="1D523438">
                  <w:pPr>
                    <w:keepNext w:val="0"/>
                    <w:keepLines w:val="0"/>
                    <w:widowControl/>
                    <w:suppressLineNumbers w:val="0"/>
                    <w:jc w:val="center"/>
                    <w:textAlignment w:val="center"/>
                    <w:rPr>
                      <w:rFonts w:hint="default" w:ascii="Times New Roman" w:hAnsi="Times New Roman"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31.250</w:t>
                  </w:r>
                </w:p>
              </w:tc>
              <w:tc>
                <w:tcPr>
                  <w:tcW w:w="1017" w:type="pct"/>
                  <w:vMerge w:val="continue"/>
                  <w:shd w:val="clear" w:color="auto" w:fill="auto"/>
                  <w:noWrap w:val="0"/>
                  <w:vAlign w:val="center"/>
                </w:tcPr>
                <w:p w14:paraId="033CB932">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color w:val="000000" w:themeColor="text1"/>
                      <w:sz w:val="21"/>
                      <w:szCs w:val="21"/>
                      <w:highlight w:val="none"/>
                      <w:u w:val="none" w:color="auto"/>
                      <w:lang w:val="en-US" w:eastAsia="zh-CN"/>
                      <w14:textFill>
                        <w14:solidFill>
                          <w14:schemeClr w14:val="tx1"/>
                        </w14:solidFill>
                      </w14:textFill>
                    </w:rPr>
                  </w:pPr>
                </w:p>
              </w:tc>
              <w:tc>
                <w:tcPr>
                  <w:tcW w:w="325" w:type="pct"/>
                  <w:shd w:val="clear" w:color="auto" w:fill="auto"/>
                  <w:noWrap w:val="0"/>
                  <w:vAlign w:val="center"/>
                </w:tcPr>
                <w:p w14:paraId="2023B297">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w:t>
                  </w:r>
                </w:p>
              </w:tc>
              <w:tc>
                <w:tcPr>
                  <w:tcW w:w="436" w:type="pct"/>
                  <w:shd w:val="clear" w:color="auto" w:fill="auto"/>
                  <w:noWrap w:val="0"/>
                  <w:vAlign w:val="center"/>
                </w:tcPr>
                <w:p w14:paraId="5BD66778">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4.500</w:t>
                  </w:r>
                </w:p>
              </w:tc>
              <w:tc>
                <w:tcPr>
                  <w:tcW w:w="453" w:type="pct"/>
                  <w:shd w:val="clear" w:color="auto" w:fill="auto"/>
                  <w:noWrap w:val="0"/>
                  <w:vAlign w:val="center"/>
                </w:tcPr>
                <w:p w14:paraId="1196D717">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0.625</w:t>
                  </w:r>
                </w:p>
              </w:tc>
              <w:tc>
                <w:tcPr>
                  <w:tcW w:w="448" w:type="pct"/>
                  <w:shd w:val="clear" w:color="auto" w:fill="auto"/>
                  <w:noWrap w:val="0"/>
                  <w:vAlign w:val="center"/>
                </w:tcPr>
                <w:p w14:paraId="414415B4">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31.250</w:t>
                  </w:r>
                </w:p>
              </w:tc>
            </w:tr>
            <w:tr w14:paraId="4EABED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354" w:type="pct"/>
                  <w:vMerge w:val="restart"/>
                  <w:vAlign w:val="center"/>
                </w:tcPr>
                <w:p w14:paraId="57061219">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有组织合计</w:t>
                  </w:r>
                </w:p>
              </w:tc>
              <w:tc>
                <w:tcPr>
                  <w:tcW w:w="415" w:type="pct"/>
                  <w:shd w:val="clear" w:color="auto" w:fill="auto"/>
                  <w:vAlign w:val="center"/>
                </w:tcPr>
                <w:p w14:paraId="7A462DD9">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颗粒物</w:t>
                  </w:r>
                </w:p>
              </w:tc>
              <w:tc>
                <w:tcPr>
                  <w:tcW w:w="545" w:type="pct"/>
                  <w:shd w:val="clear" w:color="auto" w:fill="auto"/>
                  <w:vAlign w:val="center"/>
                </w:tcPr>
                <w:p w14:paraId="022A2049">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1"/>
                      <w:szCs w:val="21"/>
                      <w:highlight w:val="none"/>
                      <w:u w:val="none" w:color="auto"/>
                      <w:lang w:val="en-US" w:eastAsia="zh-CN" w:bidi="ar"/>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48.164</w:t>
                  </w:r>
                </w:p>
              </w:tc>
              <w:tc>
                <w:tcPr>
                  <w:tcW w:w="509" w:type="pct"/>
                  <w:vAlign w:val="center"/>
                </w:tcPr>
                <w:p w14:paraId="09233E22">
                  <w:pPr>
                    <w:keepNext w:val="0"/>
                    <w:keepLines w:val="0"/>
                    <w:widowControl/>
                    <w:suppressLineNumbers w:val="0"/>
                    <w:jc w:val="center"/>
                    <w:textAlignment w:val="center"/>
                    <w:rPr>
                      <w:rFonts w:hint="default" w:ascii="Times New Roman" w:hAnsi="Times New Roman"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8.632</w:t>
                  </w:r>
                </w:p>
              </w:tc>
              <w:tc>
                <w:tcPr>
                  <w:tcW w:w="494" w:type="pct"/>
                  <w:vAlign w:val="center"/>
                </w:tcPr>
                <w:p w14:paraId="35BABD98">
                  <w:pPr>
                    <w:keepNext w:val="0"/>
                    <w:keepLines w:val="0"/>
                    <w:widowControl/>
                    <w:suppressLineNumbers w:val="0"/>
                    <w:jc w:val="center"/>
                    <w:textAlignment w:val="center"/>
                    <w:rPr>
                      <w:rFonts w:hint="default" w:ascii="Times New Roman" w:hAnsi="Times New Roman"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431.621</w:t>
                  </w:r>
                </w:p>
              </w:tc>
              <w:tc>
                <w:tcPr>
                  <w:tcW w:w="1017" w:type="pct"/>
                  <w:vMerge w:val="continue"/>
                  <w:vAlign w:val="center"/>
                </w:tcPr>
                <w:p w14:paraId="1E1976C8">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color w:val="000000" w:themeColor="text1"/>
                      <w:sz w:val="21"/>
                      <w:szCs w:val="21"/>
                      <w:highlight w:val="none"/>
                      <w:u w:val="none" w:color="auto"/>
                      <w:lang w:val="en-US" w:eastAsia="zh-CN"/>
                      <w14:textFill>
                        <w14:solidFill>
                          <w14:schemeClr w14:val="tx1"/>
                        </w14:solidFill>
                      </w14:textFill>
                    </w:rPr>
                  </w:pPr>
                </w:p>
              </w:tc>
              <w:tc>
                <w:tcPr>
                  <w:tcW w:w="325" w:type="pct"/>
                  <w:vAlign w:val="center"/>
                </w:tcPr>
                <w:p w14:paraId="2117672A">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cs="Times New Roman"/>
                      <w:color w:val="000000" w:themeColor="text1"/>
                      <w:sz w:val="21"/>
                      <w:szCs w:val="21"/>
                      <w:highlight w:val="none"/>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99%</w:t>
                  </w:r>
                </w:p>
              </w:tc>
              <w:tc>
                <w:tcPr>
                  <w:tcW w:w="436" w:type="pct"/>
                  <w:vAlign w:val="center"/>
                </w:tcPr>
                <w:p w14:paraId="1DFC29CC">
                  <w:pPr>
                    <w:keepNext w:val="0"/>
                    <w:keepLines w:val="0"/>
                    <w:widowControl/>
                    <w:suppressLineNumbers w:val="0"/>
                    <w:jc w:val="center"/>
                    <w:textAlignment w:val="center"/>
                    <w:rPr>
                      <w:rFonts w:hint="default" w:ascii="Times New Roman" w:hAnsi="Times New Roman"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0.482</w:t>
                  </w:r>
                </w:p>
              </w:tc>
              <w:tc>
                <w:tcPr>
                  <w:tcW w:w="453" w:type="pct"/>
                  <w:vAlign w:val="center"/>
                </w:tcPr>
                <w:p w14:paraId="076328AB">
                  <w:pPr>
                    <w:keepNext w:val="0"/>
                    <w:keepLines w:val="0"/>
                    <w:widowControl/>
                    <w:suppressLineNumbers w:val="0"/>
                    <w:jc w:val="center"/>
                    <w:textAlignment w:val="center"/>
                    <w:rPr>
                      <w:rFonts w:hint="default" w:ascii="Times New Roman" w:hAnsi="Times New Roman"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0.086</w:t>
                  </w:r>
                </w:p>
              </w:tc>
              <w:tc>
                <w:tcPr>
                  <w:tcW w:w="448" w:type="pct"/>
                  <w:vAlign w:val="center"/>
                </w:tcPr>
                <w:p w14:paraId="0693358F">
                  <w:pPr>
                    <w:keepNext w:val="0"/>
                    <w:keepLines w:val="0"/>
                    <w:widowControl/>
                    <w:suppressLineNumbers w:val="0"/>
                    <w:jc w:val="center"/>
                    <w:textAlignment w:val="center"/>
                    <w:rPr>
                      <w:rFonts w:hint="default" w:ascii="Times New Roman" w:hAnsi="Times New Roman"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4.316</w:t>
                  </w:r>
                </w:p>
              </w:tc>
            </w:tr>
            <w:tr w14:paraId="3A88FE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54" w:type="pct"/>
                  <w:vMerge w:val="continue"/>
                  <w:vAlign w:val="center"/>
                </w:tcPr>
                <w:p w14:paraId="649BAEA7">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p>
              </w:tc>
              <w:tc>
                <w:tcPr>
                  <w:tcW w:w="415" w:type="pct"/>
                  <w:shd w:val="clear" w:color="auto" w:fill="auto"/>
                  <w:vAlign w:val="center"/>
                </w:tcPr>
                <w:p w14:paraId="1FB04F98">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cs="Times New Roman"/>
                      <w:color w:val="000000" w:themeColor="text1"/>
                      <w:sz w:val="21"/>
                      <w:szCs w:val="21"/>
                      <w:u w:val="none" w:color="auto"/>
                      <w14:textFill>
                        <w14:solidFill>
                          <w14:schemeClr w14:val="tx1"/>
                        </w14:solidFill>
                      </w14:textFill>
                    </w:rPr>
                    <w:t>SO</w:t>
                  </w:r>
                  <w:r>
                    <w:rPr>
                      <w:rFonts w:hint="default" w:ascii="Times New Roman" w:hAnsi="Times New Roman" w:cs="Times New Roman"/>
                      <w:color w:val="000000" w:themeColor="text1"/>
                      <w:sz w:val="21"/>
                      <w:szCs w:val="21"/>
                      <w:u w:val="none" w:color="auto"/>
                      <w:vertAlign w:val="subscript"/>
                      <w14:textFill>
                        <w14:solidFill>
                          <w14:schemeClr w14:val="tx1"/>
                        </w14:solidFill>
                      </w14:textFill>
                    </w:rPr>
                    <w:t>2</w:t>
                  </w:r>
                </w:p>
              </w:tc>
              <w:tc>
                <w:tcPr>
                  <w:tcW w:w="545" w:type="pct"/>
                  <w:shd w:val="clear" w:color="auto" w:fill="auto"/>
                  <w:vAlign w:val="center"/>
                </w:tcPr>
                <w:p w14:paraId="0186FC5D">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1"/>
                      <w:szCs w:val="21"/>
                      <w:highlight w:val="none"/>
                      <w:u w:val="none" w:color="auto"/>
                      <w:lang w:val="en-US" w:eastAsia="zh-CN" w:bidi="ar"/>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7.097</w:t>
                  </w:r>
                </w:p>
              </w:tc>
              <w:tc>
                <w:tcPr>
                  <w:tcW w:w="509" w:type="pct"/>
                  <w:vAlign w:val="center"/>
                </w:tcPr>
                <w:p w14:paraId="57840714">
                  <w:pPr>
                    <w:keepNext w:val="0"/>
                    <w:keepLines w:val="0"/>
                    <w:widowControl/>
                    <w:suppressLineNumbers w:val="0"/>
                    <w:jc w:val="center"/>
                    <w:textAlignment w:val="center"/>
                    <w:rPr>
                      <w:rFonts w:hint="default" w:ascii="Times New Roman" w:hAnsi="Times New Roman"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0.998</w:t>
                  </w:r>
                </w:p>
              </w:tc>
              <w:tc>
                <w:tcPr>
                  <w:tcW w:w="494" w:type="pct"/>
                  <w:vAlign w:val="center"/>
                </w:tcPr>
                <w:p w14:paraId="55E72FA0">
                  <w:pPr>
                    <w:keepNext w:val="0"/>
                    <w:keepLines w:val="0"/>
                    <w:widowControl/>
                    <w:suppressLineNumbers w:val="0"/>
                    <w:jc w:val="center"/>
                    <w:textAlignment w:val="center"/>
                    <w:rPr>
                      <w:rFonts w:hint="default" w:ascii="Times New Roman" w:hAnsi="Times New Roman"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49.900</w:t>
                  </w:r>
                </w:p>
              </w:tc>
              <w:tc>
                <w:tcPr>
                  <w:tcW w:w="1017" w:type="pct"/>
                  <w:vMerge w:val="continue"/>
                  <w:vAlign w:val="center"/>
                </w:tcPr>
                <w:p w14:paraId="641A5799">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color w:val="000000" w:themeColor="text1"/>
                      <w:sz w:val="21"/>
                      <w:szCs w:val="21"/>
                      <w:highlight w:val="none"/>
                      <w:u w:val="none" w:color="auto"/>
                      <w:lang w:val="en-US" w:eastAsia="zh-CN"/>
                      <w14:textFill>
                        <w14:solidFill>
                          <w14:schemeClr w14:val="tx1"/>
                        </w14:solidFill>
                      </w14:textFill>
                    </w:rPr>
                  </w:pPr>
                </w:p>
              </w:tc>
              <w:tc>
                <w:tcPr>
                  <w:tcW w:w="325" w:type="pct"/>
                  <w:vAlign w:val="center"/>
                </w:tcPr>
                <w:p w14:paraId="0791E39C">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80%</w:t>
                  </w:r>
                </w:p>
              </w:tc>
              <w:tc>
                <w:tcPr>
                  <w:tcW w:w="436" w:type="pct"/>
                  <w:vAlign w:val="center"/>
                </w:tcPr>
                <w:p w14:paraId="6F8B3B79">
                  <w:pPr>
                    <w:keepNext w:val="0"/>
                    <w:keepLines w:val="0"/>
                    <w:widowControl/>
                    <w:suppressLineNumbers w:val="0"/>
                    <w:jc w:val="center"/>
                    <w:textAlignment w:val="center"/>
                    <w:rPr>
                      <w:rFonts w:hint="default" w:ascii="Times New Roman" w:hAnsi="Times New Roman"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1.419</w:t>
                  </w:r>
                </w:p>
              </w:tc>
              <w:tc>
                <w:tcPr>
                  <w:tcW w:w="453" w:type="pct"/>
                  <w:vAlign w:val="center"/>
                </w:tcPr>
                <w:p w14:paraId="1AE9D987">
                  <w:pPr>
                    <w:keepNext w:val="0"/>
                    <w:keepLines w:val="0"/>
                    <w:widowControl/>
                    <w:suppressLineNumbers w:val="0"/>
                    <w:jc w:val="center"/>
                    <w:textAlignment w:val="center"/>
                    <w:rPr>
                      <w:rFonts w:hint="default" w:ascii="Times New Roman" w:hAnsi="Times New Roman"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0.200</w:t>
                  </w:r>
                </w:p>
              </w:tc>
              <w:tc>
                <w:tcPr>
                  <w:tcW w:w="448" w:type="pct"/>
                  <w:vAlign w:val="center"/>
                </w:tcPr>
                <w:p w14:paraId="55167763">
                  <w:pPr>
                    <w:keepNext w:val="0"/>
                    <w:keepLines w:val="0"/>
                    <w:widowControl/>
                    <w:suppressLineNumbers w:val="0"/>
                    <w:jc w:val="center"/>
                    <w:textAlignment w:val="center"/>
                    <w:rPr>
                      <w:rFonts w:hint="default" w:ascii="Times New Roman" w:hAnsi="Times New Roman"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9.980</w:t>
                  </w:r>
                </w:p>
              </w:tc>
            </w:tr>
            <w:tr w14:paraId="72B59F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54" w:type="pct"/>
                  <w:vMerge w:val="continue"/>
                  <w:vAlign w:val="center"/>
                </w:tcPr>
                <w:p w14:paraId="5B9EB3F3">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p>
              </w:tc>
              <w:tc>
                <w:tcPr>
                  <w:tcW w:w="415" w:type="pct"/>
                  <w:shd w:val="clear" w:color="auto" w:fill="auto"/>
                  <w:vAlign w:val="center"/>
                </w:tcPr>
                <w:p w14:paraId="56EFF763">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cs="Times New Roman"/>
                      <w:color w:val="000000" w:themeColor="text1"/>
                      <w:sz w:val="21"/>
                      <w:szCs w:val="21"/>
                      <w:u w:val="none" w:color="auto"/>
                      <w14:textFill>
                        <w14:solidFill>
                          <w14:schemeClr w14:val="tx1"/>
                        </w14:solidFill>
                      </w14:textFill>
                    </w:rPr>
                    <w:t>NO</w:t>
                  </w:r>
                  <w:r>
                    <w:rPr>
                      <w:rFonts w:hint="default" w:ascii="Times New Roman" w:hAnsi="Times New Roman" w:cs="Times New Roman"/>
                      <w:color w:val="000000" w:themeColor="text1"/>
                      <w:sz w:val="21"/>
                      <w:szCs w:val="21"/>
                      <w:u w:val="none" w:color="auto"/>
                      <w:vertAlign w:val="subscript"/>
                      <w14:textFill>
                        <w14:solidFill>
                          <w14:schemeClr w14:val="tx1"/>
                        </w14:solidFill>
                      </w14:textFill>
                    </w:rPr>
                    <w:t>X</w:t>
                  </w:r>
                </w:p>
              </w:tc>
              <w:tc>
                <w:tcPr>
                  <w:tcW w:w="545" w:type="pct"/>
                  <w:shd w:val="clear" w:color="auto" w:fill="auto"/>
                  <w:vAlign w:val="center"/>
                </w:tcPr>
                <w:p w14:paraId="466CA0E8">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1"/>
                      <w:szCs w:val="21"/>
                      <w:highlight w:val="none"/>
                      <w:u w:val="none" w:color="auto"/>
                      <w:lang w:val="en-US" w:eastAsia="zh-CN" w:bidi="ar"/>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5.362</w:t>
                  </w:r>
                </w:p>
              </w:tc>
              <w:tc>
                <w:tcPr>
                  <w:tcW w:w="509" w:type="pct"/>
                  <w:vAlign w:val="center"/>
                </w:tcPr>
                <w:p w14:paraId="79FE2EEC">
                  <w:pPr>
                    <w:keepNext w:val="0"/>
                    <w:keepLines w:val="0"/>
                    <w:widowControl/>
                    <w:suppressLineNumbers w:val="0"/>
                    <w:jc w:val="center"/>
                    <w:textAlignment w:val="center"/>
                    <w:rPr>
                      <w:rFonts w:hint="default" w:ascii="Times New Roman" w:hAnsi="Times New Roman"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0.908</w:t>
                  </w:r>
                </w:p>
              </w:tc>
              <w:tc>
                <w:tcPr>
                  <w:tcW w:w="494" w:type="pct"/>
                  <w:vAlign w:val="center"/>
                </w:tcPr>
                <w:p w14:paraId="654CC06D">
                  <w:pPr>
                    <w:keepNext w:val="0"/>
                    <w:keepLines w:val="0"/>
                    <w:widowControl/>
                    <w:suppressLineNumbers w:val="0"/>
                    <w:jc w:val="center"/>
                    <w:textAlignment w:val="center"/>
                    <w:rPr>
                      <w:rFonts w:hint="default" w:ascii="Times New Roman" w:hAnsi="Times New Roman"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45.400</w:t>
                  </w:r>
                </w:p>
              </w:tc>
              <w:tc>
                <w:tcPr>
                  <w:tcW w:w="1017" w:type="pct"/>
                  <w:vMerge w:val="continue"/>
                  <w:vAlign w:val="center"/>
                </w:tcPr>
                <w:p w14:paraId="3898A143">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color w:val="000000" w:themeColor="text1"/>
                      <w:sz w:val="21"/>
                      <w:szCs w:val="21"/>
                      <w:highlight w:val="none"/>
                      <w:u w:val="none" w:color="auto"/>
                      <w:lang w:val="en-US" w:eastAsia="zh-CN"/>
                      <w14:textFill>
                        <w14:solidFill>
                          <w14:schemeClr w14:val="tx1"/>
                        </w14:solidFill>
                      </w14:textFill>
                    </w:rPr>
                  </w:pPr>
                </w:p>
              </w:tc>
              <w:tc>
                <w:tcPr>
                  <w:tcW w:w="325" w:type="pct"/>
                  <w:vAlign w:val="center"/>
                </w:tcPr>
                <w:p w14:paraId="12EE452E">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cs="Times New Roman"/>
                      <w:color w:val="000000" w:themeColor="text1"/>
                      <w:sz w:val="21"/>
                      <w:szCs w:val="21"/>
                      <w:highlight w:val="none"/>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w:t>
                  </w:r>
                </w:p>
              </w:tc>
              <w:tc>
                <w:tcPr>
                  <w:tcW w:w="436" w:type="pct"/>
                  <w:shd w:val="clear" w:color="auto" w:fill="auto"/>
                  <w:vAlign w:val="center"/>
                </w:tcPr>
                <w:p w14:paraId="73CCA9E1">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1"/>
                      <w:szCs w:val="21"/>
                      <w:highlight w:val="none"/>
                      <w:u w:val="none" w:color="auto"/>
                      <w:lang w:val="en-US" w:eastAsia="zh-CN" w:bidi="ar"/>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5.362</w:t>
                  </w:r>
                </w:p>
              </w:tc>
              <w:tc>
                <w:tcPr>
                  <w:tcW w:w="453" w:type="pct"/>
                  <w:shd w:val="clear" w:color="auto" w:fill="auto"/>
                  <w:vAlign w:val="center"/>
                </w:tcPr>
                <w:p w14:paraId="68FE7F4E">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0.908</w:t>
                  </w:r>
                </w:p>
              </w:tc>
              <w:tc>
                <w:tcPr>
                  <w:tcW w:w="448" w:type="pct"/>
                  <w:vAlign w:val="center"/>
                </w:tcPr>
                <w:p w14:paraId="1F2DE88E">
                  <w:pPr>
                    <w:keepNext w:val="0"/>
                    <w:keepLines w:val="0"/>
                    <w:widowControl/>
                    <w:suppressLineNumbers w:val="0"/>
                    <w:jc w:val="center"/>
                    <w:textAlignment w:val="center"/>
                    <w:rPr>
                      <w:rFonts w:hint="default" w:ascii="Times New Roman" w:hAnsi="Times New Roman"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45.400</w:t>
                  </w:r>
                </w:p>
              </w:tc>
            </w:tr>
            <w:tr w14:paraId="7E5B60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57" w:type="dxa"/>
                  <w:vAlign w:val="center"/>
                </w:tcPr>
                <w:p w14:paraId="4E3E8FC0">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color w:val="000000" w:themeColor="text1"/>
                      <w:sz w:val="21"/>
                      <w:szCs w:val="21"/>
                      <w:u w:val="none" w:color="auto"/>
                      <w:lang w:val="en-US" w:eastAsia="zh-CN"/>
                      <w14:textFill>
                        <w14:solidFill>
                          <w14:schemeClr w14:val="tx1"/>
                        </w14:solidFill>
                      </w14:textFill>
                    </w:rPr>
                    <w:t>制棒工序无组织废气</w:t>
                  </w:r>
                </w:p>
              </w:tc>
              <w:tc>
                <w:tcPr>
                  <w:tcW w:w="770" w:type="dxa"/>
                  <w:shd w:val="clear" w:color="auto" w:fill="auto"/>
                  <w:vAlign w:val="center"/>
                </w:tcPr>
                <w:p w14:paraId="6312DFDB">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cs="Times New Roman"/>
                      <w:color w:val="000000" w:themeColor="text1"/>
                      <w:sz w:val="21"/>
                      <w:szCs w:val="21"/>
                      <w:u w:val="none" w:color="auto"/>
                      <w14:textFill>
                        <w14:solidFill>
                          <w14:schemeClr w14:val="tx1"/>
                        </w14:solidFill>
                      </w14:textFill>
                    </w:rPr>
                  </w:pP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颗粒物</w:t>
                  </w:r>
                </w:p>
              </w:tc>
              <w:tc>
                <w:tcPr>
                  <w:tcW w:w="1011" w:type="dxa"/>
                  <w:shd w:val="clear" w:color="auto" w:fill="auto"/>
                  <w:vAlign w:val="center"/>
                </w:tcPr>
                <w:p w14:paraId="1275282B">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pPr>
                  <w:r>
                    <w:rPr>
                      <w:rFonts w:hint="eastAsia"/>
                      <w:b w:val="0"/>
                      <w:bCs w:val="0"/>
                      <w:color w:val="000000" w:themeColor="text1"/>
                      <w:sz w:val="21"/>
                      <w:szCs w:val="21"/>
                      <w:highlight w:val="none"/>
                      <w:u w:val="none" w:color="auto"/>
                      <w:lang w:val="en-US" w:eastAsia="zh-CN"/>
                      <w14:textFill>
                        <w14:solidFill>
                          <w14:schemeClr w14:val="tx1"/>
                        </w14:solidFill>
                      </w14:textFill>
                    </w:rPr>
                    <w:t>0.1</w:t>
                  </w:r>
                </w:p>
              </w:tc>
              <w:tc>
                <w:tcPr>
                  <w:tcW w:w="945" w:type="dxa"/>
                  <w:vAlign w:val="center"/>
                </w:tcPr>
                <w:p w14:paraId="48893694">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pPr>
                  <w:r>
                    <w:rPr>
                      <w:rFonts w:hint="eastAsia"/>
                      <w:b w:val="0"/>
                      <w:bCs w:val="0"/>
                      <w:color w:val="000000" w:themeColor="text1"/>
                      <w:sz w:val="21"/>
                      <w:szCs w:val="21"/>
                      <w:highlight w:val="none"/>
                      <w:u w:val="none" w:color="auto"/>
                      <w:lang w:val="en-US" w:eastAsia="zh-CN"/>
                      <w14:textFill>
                        <w14:solidFill>
                          <w14:schemeClr w14:val="tx1"/>
                        </w14:solidFill>
                      </w14:textFill>
                    </w:rPr>
                    <w:t>0.028</w:t>
                  </w:r>
                </w:p>
              </w:tc>
              <w:tc>
                <w:tcPr>
                  <w:tcW w:w="916" w:type="dxa"/>
                  <w:vAlign w:val="center"/>
                </w:tcPr>
                <w:p w14:paraId="22104B0D">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cs="Times New Roman"/>
                      <w:color w:val="000000" w:themeColor="text1"/>
                      <w:sz w:val="21"/>
                      <w:szCs w:val="21"/>
                      <w:highlight w:val="none"/>
                      <w:u w:val="none" w:color="auto"/>
                      <w:lang w:val="en-US" w:eastAsia="zh-CN"/>
                      <w14:textFill>
                        <w14:solidFill>
                          <w14:schemeClr w14:val="tx1"/>
                        </w14:solidFill>
                      </w14:textFill>
                    </w:rPr>
                  </w:pPr>
                  <w:r>
                    <w:rPr>
                      <w:rFonts w:hint="eastAsia"/>
                      <w:color w:val="000000" w:themeColor="text1"/>
                      <w:sz w:val="21"/>
                      <w:szCs w:val="21"/>
                      <w:highlight w:val="none"/>
                      <w:u w:val="none" w:color="auto"/>
                      <w:lang w:val="en-US" w:eastAsia="zh-CN"/>
                      <w14:textFill>
                        <w14:solidFill>
                          <w14:schemeClr w14:val="tx1"/>
                        </w14:solidFill>
                      </w14:textFill>
                    </w:rPr>
                    <w:t>/</w:t>
                  </w:r>
                </w:p>
              </w:tc>
              <w:tc>
                <w:tcPr>
                  <w:tcW w:w="1887" w:type="dxa"/>
                  <w:vAlign w:val="center"/>
                </w:tcPr>
                <w:p w14:paraId="29E01720">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cs="Times New Roman"/>
                      <w:color w:val="000000" w:themeColor="text1"/>
                      <w:sz w:val="21"/>
                      <w:szCs w:val="21"/>
                      <w:highlight w:val="none"/>
                      <w:u w:val="none" w:color="auto"/>
                      <w:lang w:val="en-US" w:eastAsia="zh-CN"/>
                      <w14:textFill>
                        <w14:solidFill>
                          <w14:schemeClr w14:val="tx1"/>
                        </w14:solidFill>
                      </w14:textFill>
                    </w:rPr>
                  </w:pPr>
                  <w:r>
                    <w:rPr>
                      <w:rFonts w:hint="eastAsia"/>
                      <w:color w:val="000000" w:themeColor="text1"/>
                      <w:sz w:val="21"/>
                      <w:szCs w:val="21"/>
                      <w:highlight w:val="none"/>
                      <w:u w:val="none" w:color="auto"/>
                      <w:lang w:val="en-US" w:eastAsia="zh-CN"/>
                      <w14:textFill>
                        <w14:solidFill>
                          <w14:schemeClr w14:val="tx1"/>
                        </w14:solidFill>
                      </w14:textFill>
                    </w:rPr>
                    <w:t>/</w:t>
                  </w:r>
                </w:p>
              </w:tc>
              <w:tc>
                <w:tcPr>
                  <w:tcW w:w="603" w:type="dxa"/>
                  <w:vAlign w:val="center"/>
                </w:tcPr>
                <w:p w14:paraId="231291E8">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cs="Times New Roman"/>
                      <w:color w:val="000000" w:themeColor="text1"/>
                      <w:sz w:val="21"/>
                      <w:szCs w:val="21"/>
                      <w:highlight w:val="none"/>
                      <w:u w:val="none" w:color="auto"/>
                      <w:lang w:val="en-US" w:eastAsia="zh-CN"/>
                      <w14:textFill>
                        <w14:solidFill>
                          <w14:schemeClr w14:val="tx1"/>
                        </w14:solidFill>
                      </w14:textFill>
                    </w:rPr>
                  </w:pPr>
                  <w:r>
                    <w:rPr>
                      <w:rFonts w:hint="eastAsia"/>
                      <w:color w:val="000000" w:themeColor="text1"/>
                      <w:sz w:val="21"/>
                      <w:szCs w:val="21"/>
                      <w:highlight w:val="none"/>
                      <w:u w:val="none" w:color="auto"/>
                      <w:lang w:val="en-US" w:eastAsia="zh-CN"/>
                      <w14:textFill>
                        <w14:solidFill>
                          <w14:schemeClr w14:val="tx1"/>
                        </w14:solidFill>
                      </w14:textFill>
                    </w:rPr>
                    <w:t>/</w:t>
                  </w:r>
                </w:p>
              </w:tc>
              <w:tc>
                <w:tcPr>
                  <w:tcW w:w="809" w:type="dxa"/>
                  <w:shd w:val="clear" w:color="auto" w:fill="auto"/>
                  <w:vAlign w:val="center"/>
                </w:tcPr>
                <w:p w14:paraId="1CE3C733">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000000" w:themeColor="text1"/>
                      <w:kern w:val="2"/>
                      <w:sz w:val="21"/>
                      <w:szCs w:val="21"/>
                      <w:highlight w:val="none"/>
                      <w:u w:val="none" w:color="auto"/>
                      <w:lang w:val="en-US" w:eastAsia="zh-CN" w:bidi="ar"/>
                      <w14:textFill>
                        <w14:solidFill>
                          <w14:schemeClr w14:val="tx1"/>
                        </w14:solidFill>
                      </w14:textFill>
                    </w:rPr>
                  </w:pPr>
                  <w:r>
                    <w:rPr>
                      <w:rFonts w:hint="eastAsia"/>
                      <w:b w:val="0"/>
                      <w:bCs w:val="0"/>
                      <w:color w:val="000000" w:themeColor="text1"/>
                      <w:sz w:val="21"/>
                      <w:szCs w:val="21"/>
                      <w:highlight w:val="none"/>
                      <w:u w:val="none" w:color="auto"/>
                      <w:lang w:val="en-US" w:eastAsia="zh-CN"/>
                      <w14:textFill>
                        <w14:solidFill>
                          <w14:schemeClr w14:val="tx1"/>
                        </w14:solidFill>
                      </w14:textFill>
                    </w:rPr>
                    <w:t>0.1</w:t>
                  </w:r>
                </w:p>
              </w:tc>
              <w:tc>
                <w:tcPr>
                  <w:tcW w:w="840" w:type="dxa"/>
                  <w:shd w:val="clear" w:color="auto" w:fill="auto"/>
                  <w:vAlign w:val="center"/>
                </w:tcPr>
                <w:p w14:paraId="2468FE1A">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eastAsia"/>
                      <w:b w:val="0"/>
                      <w:bCs w:val="0"/>
                      <w:color w:val="000000" w:themeColor="text1"/>
                      <w:sz w:val="21"/>
                      <w:szCs w:val="21"/>
                      <w:highlight w:val="none"/>
                      <w:u w:val="none" w:color="auto"/>
                      <w:lang w:val="en-US" w:eastAsia="zh-CN"/>
                      <w14:textFill>
                        <w14:solidFill>
                          <w14:schemeClr w14:val="tx1"/>
                        </w14:solidFill>
                      </w14:textFill>
                    </w:rPr>
                    <w:t>0.028</w:t>
                  </w:r>
                </w:p>
              </w:tc>
              <w:tc>
                <w:tcPr>
                  <w:tcW w:w="832" w:type="dxa"/>
                  <w:vAlign w:val="center"/>
                </w:tcPr>
                <w:p w14:paraId="60A9D51F">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cs="Times New Roman"/>
                      <w:color w:val="000000" w:themeColor="text1"/>
                      <w:sz w:val="21"/>
                      <w:szCs w:val="21"/>
                      <w:highlight w:val="none"/>
                      <w:u w:val="none" w:color="auto"/>
                      <w:lang w:val="en-US" w:eastAsia="zh-CN"/>
                      <w14:textFill>
                        <w14:solidFill>
                          <w14:schemeClr w14:val="tx1"/>
                        </w14:solidFill>
                      </w14:textFill>
                    </w:rPr>
                  </w:pPr>
                  <w:r>
                    <w:rPr>
                      <w:rFonts w:hint="eastAsia"/>
                      <w:color w:val="000000" w:themeColor="text1"/>
                      <w:sz w:val="21"/>
                      <w:szCs w:val="21"/>
                      <w:highlight w:val="none"/>
                      <w:u w:val="none" w:color="auto"/>
                      <w:lang w:val="en-US" w:eastAsia="zh-CN"/>
                      <w14:textFill>
                        <w14:solidFill>
                          <w14:schemeClr w14:val="tx1"/>
                        </w14:solidFill>
                      </w14:textFill>
                    </w:rPr>
                    <w:t>/</w:t>
                  </w:r>
                </w:p>
              </w:tc>
            </w:tr>
          </w:tbl>
          <w:p w14:paraId="2925292F">
            <w:pPr>
              <w:pStyle w:val="58"/>
              <w:keepNext w:val="0"/>
              <w:keepLines w:val="0"/>
              <w:suppressLineNumbers w:val="0"/>
              <w:bidi w:val="0"/>
              <w:spacing w:before="0" w:beforeAutospacing="0" w:after="0" w:afterAutospacing="0"/>
              <w:ind w:left="0" w:right="0"/>
              <w:jc w:val="both"/>
              <w:rPr>
                <w:rFonts w:hint="eastAsia" w:ascii="Times New Roman" w:hAnsi="Times New Roman" w:eastAsia="宋体" w:cs="Times New Roman"/>
                <w:b w:val="0"/>
                <w:bCs/>
                <w:highlight w:val="none"/>
                <w:u w:val="none"/>
                <w:lang w:val="en-US" w:eastAsia="zh-CN"/>
              </w:rPr>
            </w:pPr>
            <w:r>
              <w:rPr>
                <w:rFonts w:hint="eastAsia" w:ascii="Times New Roman" w:hAnsi="Times New Roman" w:eastAsia="宋体" w:cs="Times New Roman"/>
                <w:b w:val="0"/>
                <w:bCs/>
                <w:highlight w:val="none"/>
                <w:u w:val="none"/>
                <w:lang w:val="en-US" w:eastAsia="zh-CN"/>
              </w:rPr>
              <w:t>综上，</w:t>
            </w:r>
            <w:r>
              <w:rPr>
                <w:rFonts w:hint="eastAsia" w:cs="Times New Roman"/>
                <w:b w:val="0"/>
                <w:bCs/>
                <w:highlight w:val="none"/>
                <w:u w:val="none"/>
                <w:lang w:val="en-US" w:eastAsia="zh-CN"/>
              </w:rPr>
              <w:t>机制炭生产线烘干和炭化等过程有组织排放粉尘</w:t>
            </w:r>
            <w:r>
              <w:rPr>
                <w:rFonts w:hint="eastAsia" w:ascii="Times New Roman" w:hAnsi="Times New Roman" w:eastAsia="宋体" w:cs="Times New Roman"/>
                <w:b w:val="0"/>
                <w:bCs/>
                <w:highlight w:val="none"/>
                <w:u w:val="none"/>
                <w:lang w:val="en-US" w:eastAsia="zh-CN"/>
              </w:rPr>
              <w:t>废气均可满足《大气污染物综合排放标准》(GB16297-1996)表2中二级标准（颗粒物</w:t>
            </w:r>
            <w:r>
              <w:rPr>
                <w:rFonts w:hint="eastAsia" w:cs="Times New Roman"/>
                <w:b w:val="0"/>
                <w:bCs/>
                <w:highlight w:val="none"/>
                <w:u w:val="none"/>
                <w:lang w:val="en-US" w:eastAsia="zh-CN"/>
              </w:rPr>
              <w:t>最高允许排放浓度</w:t>
            </w:r>
            <w:r>
              <w:rPr>
                <w:rFonts w:hint="eastAsia" w:ascii="Times New Roman" w:hAnsi="Times New Roman" w:eastAsia="宋体" w:cs="Times New Roman"/>
                <w:b w:val="0"/>
                <w:bCs/>
                <w:highlight w:val="none"/>
                <w:u w:val="none"/>
                <w:lang w:val="en-US" w:eastAsia="zh-CN"/>
              </w:rPr>
              <w:t>120mg/m</w:t>
            </w:r>
            <w:r>
              <w:rPr>
                <w:rFonts w:hint="eastAsia" w:ascii="Times New Roman" w:hAnsi="Times New Roman" w:eastAsia="宋体" w:cs="Times New Roman"/>
                <w:b w:val="0"/>
                <w:bCs/>
                <w:highlight w:val="none"/>
                <w:u w:val="none"/>
                <w:vertAlign w:val="superscript"/>
                <w:lang w:val="en-US" w:eastAsia="zh-CN"/>
              </w:rPr>
              <w:t>3</w:t>
            </w:r>
            <w:r>
              <w:rPr>
                <w:rFonts w:hint="eastAsia" w:ascii="Times New Roman" w:hAnsi="Times New Roman" w:eastAsia="宋体" w:cs="Times New Roman"/>
                <w:b w:val="0"/>
                <w:bCs/>
                <w:highlight w:val="none"/>
                <w:u w:val="none"/>
                <w:lang w:val="en-US" w:eastAsia="zh-CN"/>
              </w:rPr>
              <w:t>），</w:t>
            </w:r>
            <w:r>
              <w:rPr>
                <w:rFonts w:hint="eastAsia"/>
                <w:b w:val="0"/>
                <w:bCs/>
                <w:color w:val="000000" w:themeColor="text1"/>
                <w:sz w:val="24"/>
                <w:szCs w:val="24"/>
                <w:highlight w:val="none"/>
                <w:u w:val="none"/>
                <w:lang w:val="en-US" w:eastAsia="zh-CN"/>
                <w14:textFill>
                  <w14:solidFill>
                    <w14:schemeClr w14:val="tx1"/>
                  </w14:solidFill>
                </w14:textFill>
              </w:rPr>
              <w:t>《河南省重污染天气通用行业应急减排措施制定技术指南》（2024年修订版）</w:t>
            </w:r>
            <w:r>
              <w:rPr>
                <w:rFonts w:hint="eastAsia" w:ascii="Times New Roman" w:hAnsi="Times New Roman" w:eastAsia="宋体" w:cs="Times New Roman"/>
                <w:b w:val="0"/>
                <w:bCs/>
                <w:highlight w:val="none"/>
                <w:u w:val="none"/>
                <w:lang w:val="en-US" w:eastAsia="zh-CN"/>
              </w:rPr>
              <w:t>中涉PM企业基本要求（</w:t>
            </w:r>
            <w:r>
              <w:rPr>
                <w:rFonts w:hint="default" w:ascii="Times New Roman" w:hAnsi="Times New Roman" w:eastAsia="宋体" w:cs="Times New Roman"/>
                <w:b w:val="0"/>
                <w:bCs/>
                <w:highlight w:val="none"/>
                <w:u w:val="none"/>
                <w:lang w:val="en-US" w:eastAsia="zh-CN"/>
              </w:rPr>
              <w:t>PM</w:t>
            </w:r>
            <w:r>
              <w:rPr>
                <w:rFonts w:hint="eastAsia" w:ascii="Times New Roman" w:hAnsi="Times New Roman" w:eastAsia="宋体" w:cs="Times New Roman"/>
                <w:b w:val="0"/>
                <w:bCs/>
                <w:highlight w:val="none"/>
                <w:u w:val="none"/>
                <w:lang w:val="en-US" w:eastAsia="zh-CN"/>
              </w:rPr>
              <w:t>排放浓度不高于</w:t>
            </w:r>
            <w:r>
              <w:rPr>
                <w:rFonts w:hint="default" w:ascii="Times New Roman" w:hAnsi="Times New Roman" w:eastAsia="宋体" w:cs="Times New Roman"/>
                <w:b w:val="0"/>
                <w:bCs/>
                <w:highlight w:val="none"/>
                <w:u w:val="none"/>
                <w:lang w:val="en-US" w:eastAsia="zh-CN"/>
              </w:rPr>
              <w:t>10mg/m</w:t>
            </w:r>
            <w:r>
              <w:rPr>
                <w:rFonts w:hint="default" w:ascii="Times New Roman" w:hAnsi="Times New Roman" w:eastAsia="宋体" w:cs="Times New Roman"/>
                <w:b w:val="0"/>
                <w:bCs/>
                <w:highlight w:val="none"/>
                <w:u w:val="none"/>
                <w:vertAlign w:val="superscript"/>
                <w:lang w:val="en-US" w:eastAsia="zh-CN"/>
              </w:rPr>
              <w:t>3</w:t>
            </w:r>
            <w:r>
              <w:rPr>
                <w:rFonts w:hint="eastAsia" w:ascii="Times New Roman" w:hAnsi="Times New Roman" w:eastAsia="宋体" w:cs="Times New Roman"/>
                <w:b w:val="0"/>
                <w:bCs/>
                <w:highlight w:val="none"/>
                <w:u w:val="none"/>
                <w:lang w:val="en-US" w:eastAsia="zh-CN"/>
              </w:rPr>
              <w:t>），</w:t>
            </w:r>
            <w:r>
              <w:rPr>
                <w:rFonts w:hint="eastAsia" w:cs="Times New Roman"/>
                <w:b w:val="0"/>
                <w:bCs/>
                <w:highlight w:val="none"/>
                <w:u w:val="none"/>
                <w:lang w:val="en-US" w:eastAsia="zh-CN"/>
              </w:rPr>
              <w:t>以及《</w:t>
            </w:r>
            <w:r>
              <w:rPr>
                <w:rFonts w:hint="eastAsia"/>
                <w:b w:val="0"/>
                <w:bCs/>
                <w:color w:val="000000" w:themeColor="text1"/>
                <w:sz w:val="24"/>
                <w:szCs w:val="24"/>
                <w:highlight w:val="none"/>
                <w:u w:val="none"/>
                <w:lang w:val="en-US" w:eastAsia="zh-CN"/>
                <w14:textFill>
                  <w14:solidFill>
                    <w14:schemeClr w14:val="tx1"/>
                  </w14:solidFill>
                </w14:textFill>
              </w:rPr>
              <w:t>河南省工业炉窑大气污染物排放标准》(DB41/1066-2020)排放限值以及《河南省重污染天气通用行业应急减排措施制定技术指南》（2024年修订版）中涉锅炉/炉窑企业绩效分级指标中：干燥炉（燃气）PM排放浓度不超过10mg/m</w:t>
            </w:r>
            <w:r>
              <w:rPr>
                <w:rFonts w:hint="eastAsia"/>
                <w:b w:val="0"/>
                <w:bCs/>
                <w:color w:val="000000" w:themeColor="text1"/>
                <w:sz w:val="24"/>
                <w:szCs w:val="24"/>
                <w:highlight w:val="none"/>
                <w:u w:val="none"/>
                <w:vertAlign w:val="superscript"/>
                <w:lang w:val="en-US" w:eastAsia="zh-CN"/>
                <w14:textFill>
                  <w14:solidFill>
                    <w14:schemeClr w14:val="tx1"/>
                  </w14:solidFill>
                </w14:textFill>
              </w:rPr>
              <w:t>3</w:t>
            </w:r>
            <w:r>
              <w:rPr>
                <w:rFonts w:hint="eastAsia"/>
                <w:b w:val="0"/>
                <w:bCs/>
                <w:color w:val="000000" w:themeColor="text1"/>
                <w:sz w:val="24"/>
                <w:szCs w:val="24"/>
                <w:highlight w:val="none"/>
                <w:u w:val="none"/>
                <w:lang w:val="en-US" w:eastAsia="zh-CN"/>
                <w14:textFill>
                  <w14:solidFill>
                    <w14:schemeClr w14:val="tx1"/>
                  </w14:solidFill>
                </w14:textFill>
              </w:rPr>
              <w:t>要求</w:t>
            </w:r>
            <w:r>
              <w:rPr>
                <w:rFonts w:hint="eastAsia" w:ascii="Times New Roman" w:hAnsi="Times New Roman" w:eastAsia="宋体" w:cs="Times New Roman"/>
                <w:b w:val="0"/>
                <w:bCs/>
                <w:highlight w:val="none"/>
                <w:u w:val="none"/>
                <w:lang w:val="en-US" w:eastAsia="zh-CN"/>
              </w:rPr>
              <w:t>。</w:t>
            </w:r>
          </w:p>
          <w:p w14:paraId="3C8E9DEE">
            <w:pPr>
              <w:pStyle w:val="58"/>
              <w:keepNext w:val="0"/>
              <w:keepLines w:val="0"/>
              <w:suppressLineNumbers w:val="0"/>
              <w:bidi w:val="0"/>
              <w:spacing w:before="0" w:beforeAutospacing="0" w:after="0" w:afterAutospacing="0"/>
              <w:ind w:left="0" w:right="0"/>
              <w:jc w:val="both"/>
              <w:rPr>
                <w:rFonts w:hint="eastAsia"/>
                <w:b w:val="0"/>
                <w:bCs/>
                <w:color w:val="000000" w:themeColor="text1"/>
                <w:sz w:val="24"/>
                <w:szCs w:val="24"/>
                <w:highlight w:val="none"/>
                <w:u w:val="none"/>
                <w:lang w:val="en-US" w:eastAsia="zh-CN"/>
                <w14:textFill>
                  <w14:solidFill>
                    <w14:schemeClr w14:val="tx1"/>
                  </w14:solidFill>
                </w14:textFill>
              </w:rPr>
            </w:pPr>
            <w:r>
              <w:rPr>
                <w:rFonts w:hint="default" w:ascii="Times New Roman" w:hAnsi="Times New Roman" w:cs="Times New Roman"/>
                <w:color w:val="000000" w:themeColor="text1"/>
                <w:sz w:val="24"/>
                <w:szCs w:val="24"/>
                <w:u w:val="none"/>
                <w14:textFill>
                  <w14:solidFill>
                    <w14:schemeClr w14:val="tx1"/>
                  </w14:solidFill>
                </w14:textFill>
              </w:rPr>
              <w:t>SO</w:t>
            </w:r>
            <w:r>
              <w:rPr>
                <w:rFonts w:hint="default" w:ascii="Times New Roman" w:hAnsi="Times New Roman" w:cs="Times New Roman"/>
                <w:color w:val="000000" w:themeColor="text1"/>
                <w:sz w:val="24"/>
                <w:szCs w:val="24"/>
                <w:u w:val="none"/>
                <w:vertAlign w:val="subscript"/>
                <w14:textFill>
                  <w14:solidFill>
                    <w14:schemeClr w14:val="tx1"/>
                  </w14:solidFill>
                </w14:textFill>
              </w:rPr>
              <w:t>2</w:t>
            </w:r>
            <w:r>
              <w:rPr>
                <w:rFonts w:hint="eastAsia" w:cs="Times New Roman"/>
                <w:color w:val="000000" w:themeColor="text1"/>
                <w:kern w:val="0"/>
                <w:sz w:val="24"/>
                <w:szCs w:val="24"/>
                <w:u w:val="none"/>
                <w:lang w:val="en-US" w:eastAsia="zh-CN" w:bidi="ar"/>
                <w14:textFill>
                  <w14:solidFill>
                    <w14:schemeClr w14:val="tx1"/>
                  </w14:solidFill>
                </w14:textFill>
              </w:rPr>
              <w:t>、</w:t>
            </w:r>
            <w:r>
              <w:rPr>
                <w:rFonts w:hint="default" w:ascii="Times New Roman" w:hAnsi="Times New Roman" w:cs="Times New Roman"/>
                <w:color w:val="000000" w:themeColor="text1"/>
                <w:sz w:val="24"/>
                <w:szCs w:val="24"/>
                <w:u w:val="none"/>
                <w14:textFill>
                  <w14:solidFill>
                    <w14:schemeClr w14:val="tx1"/>
                  </w14:solidFill>
                </w14:textFill>
              </w:rPr>
              <w:t>NO</w:t>
            </w:r>
            <w:r>
              <w:rPr>
                <w:rFonts w:hint="default" w:ascii="Times New Roman" w:hAnsi="Times New Roman" w:cs="Times New Roman"/>
                <w:color w:val="000000" w:themeColor="text1"/>
                <w:sz w:val="24"/>
                <w:szCs w:val="24"/>
                <w:u w:val="none"/>
                <w:vertAlign w:val="subscript"/>
                <w14:textFill>
                  <w14:solidFill>
                    <w14:schemeClr w14:val="tx1"/>
                  </w14:solidFill>
                </w14:textFill>
              </w:rPr>
              <w:t>X</w:t>
            </w:r>
            <w:r>
              <w:rPr>
                <w:rFonts w:hint="eastAsia"/>
                <w:b w:val="0"/>
                <w:bCs/>
                <w:color w:val="000000" w:themeColor="text1"/>
                <w:sz w:val="24"/>
                <w:szCs w:val="24"/>
                <w:highlight w:val="none"/>
                <w:u w:val="none"/>
                <w:lang w:val="en-US" w:eastAsia="zh-CN"/>
                <w14:textFill>
                  <w14:solidFill>
                    <w14:schemeClr w14:val="tx1"/>
                  </w14:solidFill>
                </w14:textFill>
              </w:rPr>
              <w:t>的排放浓度均能够满足《河南省工业炉窑大气污染物排放标准》(DB41/1066-2020)排放限值以及《河南省重污染天气通用行业应急减排措施制定技术指南》（2024年修订版）中涉锅炉/炉窑企业绩效分级指标中：干燥炉（燃气）SO</w:t>
            </w:r>
            <w:r>
              <w:rPr>
                <w:rFonts w:hint="eastAsia"/>
                <w:b w:val="0"/>
                <w:bCs/>
                <w:color w:val="000000" w:themeColor="text1"/>
                <w:sz w:val="24"/>
                <w:szCs w:val="24"/>
                <w:highlight w:val="none"/>
                <w:u w:val="none"/>
                <w:vertAlign w:val="subscript"/>
                <w:lang w:val="en-US" w:eastAsia="zh-CN"/>
                <w14:textFill>
                  <w14:solidFill>
                    <w14:schemeClr w14:val="tx1"/>
                  </w14:solidFill>
                </w14:textFill>
              </w:rPr>
              <w:t>2</w:t>
            </w:r>
            <w:r>
              <w:rPr>
                <w:rFonts w:hint="eastAsia"/>
                <w:b w:val="0"/>
                <w:bCs/>
                <w:color w:val="000000" w:themeColor="text1"/>
                <w:sz w:val="24"/>
                <w:szCs w:val="24"/>
                <w:highlight w:val="none"/>
                <w:u w:val="none"/>
                <w:lang w:val="en-US" w:eastAsia="zh-CN"/>
                <w14:textFill>
                  <w14:solidFill>
                    <w14:schemeClr w14:val="tx1"/>
                  </w14:solidFill>
                </w14:textFill>
              </w:rPr>
              <w:t>、NOx排放浓度不超过35、50mg/m</w:t>
            </w:r>
            <w:r>
              <w:rPr>
                <w:rFonts w:hint="eastAsia"/>
                <w:b w:val="0"/>
                <w:bCs/>
                <w:color w:val="000000" w:themeColor="text1"/>
                <w:sz w:val="24"/>
                <w:szCs w:val="24"/>
                <w:highlight w:val="none"/>
                <w:u w:val="none"/>
                <w:vertAlign w:val="superscript"/>
                <w:lang w:val="en-US" w:eastAsia="zh-CN"/>
                <w14:textFill>
                  <w14:solidFill>
                    <w14:schemeClr w14:val="tx1"/>
                  </w14:solidFill>
                </w14:textFill>
              </w:rPr>
              <w:t>3</w:t>
            </w:r>
            <w:r>
              <w:rPr>
                <w:rFonts w:hint="eastAsia"/>
                <w:b w:val="0"/>
                <w:bCs/>
                <w:color w:val="000000" w:themeColor="text1"/>
                <w:sz w:val="24"/>
                <w:szCs w:val="24"/>
                <w:highlight w:val="none"/>
                <w:u w:val="none"/>
                <w:lang w:val="en-US" w:eastAsia="zh-CN"/>
                <w14:textFill>
                  <w14:solidFill>
                    <w14:schemeClr w14:val="tx1"/>
                  </w14:solidFill>
                </w14:textFill>
              </w:rPr>
              <w:t>要求。</w:t>
            </w:r>
          </w:p>
          <w:p w14:paraId="14D2657E">
            <w:pPr>
              <w:pStyle w:val="58"/>
              <w:keepNext w:val="0"/>
              <w:keepLines w:val="0"/>
              <w:suppressLineNumbers w:val="0"/>
              <w:bidi w:val="0"/>
              <w:spacing w:before="0" w:beforeAutospacing="0" w:after="0" w:afterAutospacing="0"/>
              <w:ind w:left="0" w:right="0"/>
              <w:jc w:val="both"/>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1.1.2生物质颗粒生产线</w:t>
            </w:r>
          </w:p>
          <w:p w14:paraId="0AEC55D1">
            <w:pPr>
              <w:pStyle w:val="58"/>
              <w:keepNext w:val="0"/>
              <w:keepLines w:val="0"/>
              <w:suppressLineNumbers w:val="0"/>
              <w:bidi w:val="0"/>
              <w:spacing w:before="0" w:beforeAutospacing="0" w:after="0" w:afterAutospacing="0"/>
              <w:ind w:left="0" w:right="0"/>
              <w:jc w:val="both"/>
              <w:rPr>
                <w:rFonts w:hint="eastAsia" w:ascii="宋体" w:hAnsi="宋体" w:eastAsia="宋体" w:cs="宋体"/>
                <w:color w:val="000000" w:themeColor="text1"/>
                <w:kern w:val="0"/>
                <w:sz w:val="24"/>
                <w:szCs w:val="24"/>
                <w:lang w:val="en-US" w:eastAsia="zh-CN" w:bidi="ar"/>
                <w14:textFill>
                  <w14:solidFill>
                    <w14:schemeClr w14:val="tx1"/>
                  </w14:solidFill>
                </w14:textFill>
              </w:rPr>
            </w:pPr>
            <w:r>
              <w:rPr>
                <w:rFonts w:hint="eastAsia" w:ascii="宋体" w:hAnsi="宋体" w:eastAsia="宋体" w:cs="宋体"/>
                <w:color w:val="000000" w:themeColor="text1"/>
                <w:kern w:val="0"/>
                <w:sz w:val="24"/>
                <w:szCs w:val="24"/>
                <w:lang w:val="en-US" w:eastAsia="zh-CN" w:bidi="ar"/>
                <w14:textFill>
                  <w14:solidFill>
                    <w14:schemeClr w14:val="tx1"/>
                  </w14:solidFill>
                </w14:textFill>
              </w:rPr>
              <w:t>（</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1</w:t>
            </w:r>
            <w:r>
              <w:rPr>
                <w:rFonts w:hint="eastAsia" w:ascii="宋体" w:hAnsi="宋体" w:eastAsia="宋体" w:cs="宋体"/>
                <w:color w:val="000000" w:themeColor="text1"/>
                <w:kern w:val="0"/>
                <w:sz w:val="24"/>
                <w:szCs w:val="24"/>
                <w:lang w:val="en-US" w:eastAsia="zh-CN" w:bidi="ar"/>
                <w14:textFill>
                  <w14:solidFill>
                    <w14:schemeClr w14:val="tx1"/>
                  </w14:solidFill>
                </w14:textFill>
              </w:rPr>
              <w:t>）原料装卸和堆存过程产生的粉尘</w:t>
            </w:r>
          </w:p>
          <w:p w14:paraId="0049F508">
            <w:pPr>
              <w:pStyle w:val="58"/>
              <w:keepNext w:val="0"/>
              <w:keepLines w:val="0"/>
              <w:suppressLineNumbers w:val="0"/>
              <w:bidi w:val="0"/>
              <w:spacing w:before="0" w:beforeAutospacing="0" w:after="0" w:afterAutospacing="0"/>
              <w:ind w:left="0" w:right="0"/>
              <w:jc w:val="both"/>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项目原料装卸、堆存过程粉尘的产生量与物料的粒径、湿度、物料转运的速度、落差及生产操作管理等有关。参照《散逸性工业粉尘控制技术》中</w:t>
            </w:r>
            <w:r>
              <w:rPr>
                <w:rFonts w:hint="eastAsia" w:cs="Times New Roman"/>
                <w:color w:val="000000" w:themeColor="text1"/>
                <w:kern w:val="0"/>
                <w:sz w:val="24"/>
                <w:szCs w:val="24"/>
                <w:lang w:val="en-US" w:eastAsia="zh-CN" w:bidi="ar"/>
                <w14:textFill>
                  <w14:solidFill>
                    <w14:schemeClr w14:val="tx1"/>
                  </w14:solidFill>
                </w14:textFill>
              </w:rPr>
              <w:t>“</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木材加工厂-锯末堆的进料、出料、装卸和储存过程</w:t>
            </w:r>
            <w:r>
              <w:rPr>
                <w:rFonts w:hint="eastAsia" w:cs="Times New Roman"/>
                <w:color w:val="000000" w:themeColor="text1"/>
                <w:kern w:val="0"/>
                <w:sz w:val="24"/>
                <w:szCs w:val="24"/>
                <w:lang w:val="en-US" w:eastAsia="zh-CN" w:bidi="ar"/>
                <w14:textFill>
                  <w14:solidFill>
                    <w14:schemeClr w14:val="tx1"/>
                  </w14:solidFill>
                </w14:textFill>
              </w:rPr>
              <w:t>”</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粉尘排放系数为0.5kg/t原料，本项目原料用量为</w:t>
            </w:r>
            <w:r>
              <w:rPr>
                <w:rFonts w:hint="eastAsia" w:cs="Times New Roman"/>
                <w:color w:val="000000" w:themeColor="text1"/>
                <w:kern w:val="0"/>
                <w:sz w:val="24"/>
                <w:szCs w:val="24"/>
                <w:lang w:val="en-US" w:eastAsia="zh-CN" w:bidi="ar"/>
                <w14:textFill>
                  <w14:solidFill>
                    <w14:schemeClr w14:val="tx1"/>
                  </w14:solidFill>
                </w14:textFill>
              </w:rPr>
              <w:t>500.635</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t/a，原料装卸、堆存过程年工作</w:t>
            </w:r>
            <w:r>
              <w:rPr>
                <w:rFonts w:hint="eastAsia" w:cs="Times New Roman"/>
                <w:color w:val="000000" w:themeColor="text1"/>
                <w:kern w:val="0"/>
                <w:sz w:val="24"/>
                <w:szCs w:val="24"/>
                <w:lang w:val="en-US" w:eastAsia="zh-CN" w:bidi="ar"/>
                <w14:textFill>
                  <w14:solidFill>
                    <w14:schemeClr w14:val="tx1"/>
                  </w14:solidFill>
                </w14:textFill>
              </w:rPr>
              <w:t>5</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00h，因此，原料装卸、堆存过程粉尘产生量为</w:t>
            </w:r>
            <w:r>
              <w:rPr>
                <w:rFonts w:hint="eastAsia" w:cs="Times New Roman"/>
                <w:color w:val="000000" w:themeColor="text1"/>
                <w:kern w:val="0"/>
                <w:sz w:val="24"/>
                <w:szCs w:val="24"/>
                <w:lang w:val="en-US" w:eastAsia="zh-CN" w:bidi="ar"/>
                <w14:textFill>
                  <w14:solidFill>
                    <w14:schemeClr w14:val="tx1"/>
                  </w14:solidFill>
                </w14:textFill>
              </w:rPr>
              <w:t>0.25</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t/a</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，产生速率为</w:t>
            </w:r>
            <w:r>
              <w:rPr>
                <w:rFonts w:hint="eastAsia"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0.5</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kg/h</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w:t>
            </w:r>
          </w:p>
          <w:p w14:paraId="1B55B5BA">
            <w:pPr>
              <w:pStyle w:val="58"/>
              <w:keepNext w:val="0"/>
              <w:keepLines w:val="0"/>
              <w:suppressLineNumbers w:val="0"/>
              <w:bidi w:val="0"/>
              <w:spacing w:before="0" w:beforeAutospacing="0" w:after="0" w:afterAutospacing="0"/>
              <w:ind w:left="0" w:right="0"/>
              <w:jc w:val="both"/>
              <w:rPr>
                <w:rFonts w:hint="default"/>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本项目使用的原料存放在封闭车间内，场内运输通过加强管理、控制车辆运输速度、降低卸料高度等措施，可以大大减少外排的粉尘量，粉尘控制效率保守取90%</w:t>
            </w:r>
            <w:r>
              <w:rPr>
                <w:rFonts w:hint="eastAsia" w:eastAsia="宋体" w:cs="Times New Roman"/>
                <w:color w:val="000000" w:themeColor="text1"/>
                <w:kern w:val="0"/>
                <w:sz w:val="24"/>
                <w:szCs w:val="24"/>
                <w:lang w:val="en-US" w:eastAsia="zh-CN" w:bidi="ar"/>
                <w14:textFill>
                  <w14:solidFill>
                    <w14:schemeClr w14:val="tx1"/>
                  </w14:solidFill>
                </w14:textFill>
              </w:rPr>
              <w:t>（</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参照工业源-附表2 工业源固体物料堆场颗粒物核算系数手册中的附录4、5控制效率</w:t>
            </w:r>
            <w:r>
              <w:rPr>
                <w:rFonts w:hint="eastAsia" w:eastAsia="宋体" w:cs="Times New Roman"/>
                <w:color w:val="000000" w:themeColor="text1"/>
                <w:kern w:val="0"/>
                <w:sz w:val="24"/>
                <w:szCs w:val="24"/>
                <w:lang w:val="en-US" w:eastAsia="zh-CN" w:bidi="ar"/>
                <w14:textFill>
                  <w14:solidFill>
                    <w14:schemeClr w14:val="tx1"/>
                  </w14:solidFill>
                </w14:textFill>
              </w:rPr>
              <w:t>）</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，则颗粒物最终排放量约为</w:t>
            </w:r>
            <w:r>
              <w:rPr>
                <w:rFonts w:hint="eastAsia" w:cs="Times New Roman"/>
                <w:color w:val="000000" w:themeColor="text1"/>
                <w:kern w:val="0"/>
                <w:sz w:val="24"/>
                <w:szCs w:val="24"/>
                <w:highlight w:val="none"/>
                <w:lang w:val="en-US" w:eastAsia="zh-CN" w:bidi="ar"/>
                <w14:textFill>
                  <w14:solidFill>
                    <w14:schemeClr w14:val="tx1"/>
                  </w14:solidFill>
                </w14:textFill>
              </w:rPr>
              <w:t>0.025t</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/a</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，排放速率为</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0.</w:t>
            </w:r>
            <w:r>
              <w:rPr>
                <w:rFonts w:hint="eastAsia" w:cs="Times New Roman"/>
                <w:color w:val="000000" w:themeColor="text1"/>
                <w:kern w:val="0"/>
                <w:sz w:val="24"/>
                <w:szCs w:val="24"/>
                <w:highlight w:val="none"/>
                <w:lang w:val="en-US" w:eastAsia="zh-CN" w:bidi="ar"/>
                <w14:textFill>
                  <w14:solidFill>
                    <w14:schemeClr w14:val="tx1"/>
                  </w14:solidFill>
                </w14:textFill>
              </w:rPr>
              <w:t>05</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kg/h</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，为无组织排放，经大气扩散后对周边环境影响较小。建设单位需及时清扫地面沉积粉尘防止扬尘污染，加强车间内通排风，安排职工佩戴口罩，减少粉尘的影响。</w:t>
            </w:r>
          </w:p>
          <w:p w14:paraId="1AB90845">
            <w:pPr>
              <w:pStyle w:val="6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rPr>
                <w:rFonts w:hint="eastAsia" w:eastAsia="宋体"/>
                <w:color w:val="000000" w:themeColor="text1"/>
                <w:szCs w:val="24"/>
                <w:lang w:eastAsia="zh-CN"/>
                <w14:textFill>
                  <w14:solidFill>
                    <w14:schemeClr w14:val="tx1"/>
                  </w14:solidFill>
                </w14:textFill>
              </w:rPr>
            </w:pPr>
            <w:r>
              <w:rPr>
                <w:rFonts w:hint="eastAsia"/>
                <w:color w:val="000000" w:themeColor="text1"/>
                <w:szCs w:val="24"/>
                <w:lang w:eastAsia="zh-CN"/>
                <w14:textFill>
                  <w14:solidFill>
                    <w14:schemeClr w14:val="tx1"/>
                  </w14:solidFill>
                </w14:textFill>
              </w:rPr>
              <w:t>（</w:t>
            </w:r>
            <w:r>
              <w:rPr>
                <w:rFonts w:hint="eastAsia"/>
                <w:color w:val="000000" w:themeColor="text1"/>
                <w:szCs w:val="24"/>
                <w:lang w:val="en-US" w:eastAsia="zh-CN"/>
                <w14:textFill>
                  <w14:solidFill>
                    <w14:schemeClr w14:val="tx1"/>
                  </w14:solidFill>
                </w14:textFill>
              </w:rPr>
              <w:t>2</w:t>
            </w:r>
            <w:r>
              <w:rPr>
                <w:rFonts w:hint="eastAsia"/>
                <w:color w:val="000000" w:themeColor="text1"/>
                <w:szCs w:val="24"/>
                <w:lang w:eastAsia="zh-CN"/>
                <w14:textFill>
                  <w14:solidFill>
                    <w14:schemeClr w14:val="tx1"/>
                  </w14:solidFill>
                </w14:textFill>
              </w:rPr>
              <w:t>）</w:t>
            </w:r>
            <w:r>
              <w:rPr>
                <w:rFonts w:hint="default" w:cs="Times New Roman"/>
                <w:color w:val="000000" w:themeColor="text1"/>
                <w:sz w:val="24"/>
                <w:szCs w:val="24"/>
                <w14:textFill>
                  <w14:solidFill>
                    <w14:schemeClr w14:val="tx1"/>
                  </w14:solidFill>
                </w14:textFill>
              </w:rPr>
              <w:t>破碎、</w:t>
            </w:r>
            <w:r>
              <w:rPr>
                <w:rFonts w:hint="eastAsia" w:cs="Times New Roman"/>
                <w:color w:val="000000" w:themeColor="text1"/>
                <w:sz w:val="24"/>
                <w:szCs w:val="24"/>
                <w:lang w:val="en-US" w:eastAsia="zh-CN"/>
                <w14:textFill>
                  <w14:solidFill>
                    <w14:schemeClr w14:val="tx1"/>
                  </w14:solidFill>
                </w14:textFill>
              </w:rPr>
              <w:t>筛分、</w:t>
            </w:r>
            <w:r>
              <w:rPr>
                <w:rFonts w:hint="default" w:cs="Times New Roman"/>
                <w:color w:val="000000" w:themeColor="text1"/>
                <w:sz w:val="24"/>
                <w:szCs w:val="24"/>
                <w14:textFill>
                  <w14:solidFill>
                    <w14:schemeClr w14:val="tx1"/>
                  </w14:solidFill>
                </w14:textFill>
              </w:rPr>
              <w:t>造粒</w:t>
            </w:r>
            <w:r>
              <w:rPr>
                <w:rFonts w:hint="eastAsia" w:cs="Times New Roman"/>
                <w:color w:val="000000" w:themeColor="text1"/>
                <w:sz w:val="24"/>
                <w:szCs w:val="24"/>
                <w:lang w:eastAsia="zh-CN"/>
                <w14:textFill>
                  <w14:solidFill>
                    <w14:schemeClr w14:val="tx1"/>
                  </w14:solidFill>
                </w14:textFill>
              </w:rPr>
              <w:t>、</w:t>
            </w:r>
            <w:r>
              <w:rPr>
                <w:rFonts w:hint="eastAsia" w:cs="Times New Roman"/>
                <w:color w:val="000000" w:themeColor="text1"/>
                <w:sz w:val="24"/>
                <w:szCs w:val="24"/>
                <w:lang w:val="en-US" w:eastAsia="zh-CN"/>
                <w14:textFill>
                  <w14:solidFill>
                    <w14:schemeClr w14:val="tx1"/>
                  </w14:solidFill>
                </w14:textFill>
              </w:rPr>
              <w:t>包装</w:t>
            </w:r>
          </w:p>
          <w:p w14:paraId="123EF976">
            <w:pPr>
              <w:pStyle w:val="6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rPr>
                <w:rFonts w:hint="default" w:ascii="Times New Roman" w:hAnsi="Times New Roman" w:cs="Times New Roman"/>
                <w:color w:val="000000" w:themeColor="text1"/>
                <w:szCs w:val="24"/>
                <w14:textFill>
                  <w14:solidFill>
                    <w14:schemeClr w14:val="tx1"/>
                  </w14:solidFill>
                </w14:textFill>
              </w:rPr>
            </w:pPr>
            <w:r>
              <w:rPr>
                <w:rFonts w:hint="default" w:ascii="Times New Roman" w:hAnsi="Times New Roman" w:cs="Times New Roman"/>
                <w:color w:val="000000" w:themeColor="text1"/>
                <w:szCs w:val="24"/>
                <w14:textFill>
                  <w14:solidFill>
                    <w14:schemeClr w14:val="tx1"/>
                  </w14:solidFill>
                </w14:textFill>
              </w:rPr>
              <w:t>本项目是以</w:t>
            </w:r>
            <w:r>
              <w:rPr>
                <w:rFonts w:hint="default" w:ascii="Times New Roman" w:hAnsi="Times New Roman" w:cs="Times New Roman"/>
                <w:color w:val="000000" w:themeColor="text1"/>
                <w:szCs w:val="24"/>
                <w:lang w:val="en-US" w:eastAsia="zh-CN"/>
                <w14:textFill>
                  <w14:solidFill>
                    <w14:schemeClr w14:val="tx1"/>
                  </w14:solidFill>
                </w14:textFill>
              </w:rPr>
              <w:t>秸秆、花生壳等</w:t>
            </w:r>
            <w:r>
              <w:rPr>
                <w:rFonts w:hint="default" w:ascii="Times New Roman" w:hAnsi="Times New Roman" w:cs="Times New Roman"/>
                <w:color w:val="000000" w:themeColor="text1"/>
                <w:szCs w:val="24"/>
                <w14:textFill>
                  <w14:solidFill>
                    <w14:schemeClr w14:val="tx1"/>
                  </w14:solidFill>
                </w14:textFill>
              </w:rPr>
              <w:t>为原料生产生物质致密成型燃料，生产工艺采用“破碎</w:t>
            </w:r>
            <w:r>
              <w:rPr>
                <w:rFonts w:hint="default" w:ascii="Times New Roman" w:hAnsi="Times New Roman" w:cs="Times New Roman"/>
                <w:color w:val="000000" w:themeColor="text1"/>
                <w:szCs w:val="24"/>
                <w:lang w:val="en-US" w:eastAsia="zh-CN"/>
                <w14:textFill>
                  <w14:solidFill>
                    <w14:schemeClr w14:val="tx1"/>
                  </w14:solidFill>
                </w14:textFill>
              </w:rPr>
              <w:t>筛分造粒包装</w:t>
            </w:r>
            <w:r>
              <w:rPr>
                <w:rFonts w:hint="default" w:ascii="Times New Roman" w:hAnsi="Times New Roman" w:cs="Times New Roman"/>
                <w:color w:val="000000" w:themeColor="text1"/>
                <w:szCs w:val="24"/>
                <w14:textFill>
                  <w14:solidFill>
                    <w14:schemeClr w14:val="tx1"/>
                  </w14:solidFill>
                </w14:textFill>
              </w:rPr>
              <w:t>”，年产量</w:t>
            </w:r>
            <w:r>
              <w:rPr>
                <w:rFonts w:hint="default" w:ascii="Times New Roman" w:hAnsi="Times New Roman" w:cs="Times New Roman"/>
                <w:color w:val="000000" w:themeColor="text1"/>
                <w:szCs w:val="24"/>
                <w:lang w:val="en-US" w:eastAsia="zh-CN"/>
                <w14:textFill>
                  <w14:solidFill>
                    <w14:schemeClr w14:val="tx1"/>
                  </w14:solidFill>
                </w14:textFill>
              </w:rPr>
              <w:t>5</w:t>
            </w:r>
            <w:r>
              <w:rPr>
                <w:rFonts w:hint="default" w:ascii="Times New Roman" w:hAnsi="Times New Roman" w:cs="Times New Roman"/>
                <w:color w:val="000000" w:themeColor="text1"/>
                <w:szCs w:val="24"/>
                <w14:textFill>
                  <w14:solidFill>
                    <w14:schemeClr w14:val="tx1"/>
                  </w14:solidFill>
                </w14:textFill>
              </w:rPr>
              <w:t>00t/a。由于不涉及烘干工艺，因此无烘干烟气产生，同时造粒过程是采用常温成型工艺，且不添加任何添加剂，虽然制粒后由于物理摩擦影响，出粒温度升高至</w:t>
            </w:r>
            <w:r>
              <w:rPr>
                <w:rFonts w:hint="default" w:ascii="Times New Roman" w:hAnsi="Times New Roman" w:cs="Times New Roman"/>
                <w:color w:val="000000" w:themeColor="text1"/>
                <w:szCs w:val="20"/>
                <w14:textFill>
                  <w14:solidFill>
                    <w14:schemeClr w14:val="tx1"/>
                  </w14:solidFill>
                </w14:textFill>
              </w:rPr>
              <w:t>80～90℃</w:t>
            </w:r>
            <w:r>
              <w:rPr>
                <w:rFonts w:hint="default" w:ascii="Times New Roman" w:hAnsi="Times New Roman" w:cs="Times New Roman"/>
                <w:color w:val="000000" w:themeColor="text1"/>
                <w:szCs w:val="24"/>
                <w14:textFill>
                  <w14:solidFill>
                    <w14:schemeClr w14:val="tx1"/>
                  </w14:solidFill>
                </w14:textFill>
              </w:rPr>
              <w:t>，但该温度远低于其300℃的燃点温度，不会发生燃烧或其他化学变化，因此无烟气及其他有毒有害气体产生，生产废气主要</w:t>
            </w:r>
            <w:r>
              <w:rPr>
                <w:rFonts w:hint="default" w:ascii="Times New Roman" w:hAnsi="Times New Roman" w:cs="Times New Roman"/>
                <w:color w:val="000000" w:themeColor="text1"/>
                <w:szCs w:val="24"/>
                <w:highlight w:val="none"/>
                <w14:textFill>
                  <w14:solidFill>
                    <w14:schemeClr w14:val="tx1"/>
                  </w14:solidFill>
                </w14:textFill>
              </w:rPr>
              <w:t>来自于破碎、</w:t>
            </w:r>
            <w:r>
              <w:rPr>
                <w:rFonts w:hint="default" w:ascii="Times New Roman" w:hAnsi="Times New Roman" w:cs="Times New Roman"/>
                <w:color w:val="000000" w:themeColor="text1"/>
                <w:szCs w:val="24"/>
                <w:highlight w:val="none"/>
                <w:lang w:val="en-US" w:eastAsia="zh-CN"/>
                <w14:textFill>
                  <w14:solidFill>
                    <w14:schemeClr w14:val="tx1"/>
                  </w14:solidFill>
                </w14:textFill>
              </w:rPr>
              <w:t>筛分、造粒和包装</w:t>
            </w:r>
            <w:r>
              <w:rPr>
                <w:rFonts w:hint="default" w:ascii="Times New Roman" w:hAnsi="Times New Roman" w:cs="Times New Roman"/>
                <w:color w:val="000000" w:themeColor="text1"/>
                <w:szCs w:val="24"/>
                <w14:textFill>
                  <w14:solidFill>
                    <w14:schemeClr w14:val="tx1"/>
                  </w14:solidFill>
                </w14:textFill>
              </w:rPr>
              <w:t>等过程产生的颗粒物。</w:t>
            </w:r>
          </w:p>
          <w:p w14:paraId="6A6481F0">
            <w:pPr>
              <w:pStyle w:val="6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rPr>
                <w:rFonts w:hint="default" w:ascii="Times New Roman" w:hAnsi="Times New Roman" w:eastAsia="宋体" w:cs="Times New Roman"/>
                <w:b w:val="0"/>
                <w:bCs w:val="0"/>
                <w:color w:val="000000" w:themeColor="text1"/>
                <w:sz w:val="24"/>
                <w:szCs w:val="20"/>
                <w:lang w:val="en-US" w:eastAsia="zh-CN"/>
                <w14:textFill>
                  <w14:solidFill>
                    <w14:schemeClr w14:val="tx1"/>
                  </w14:solidFill>
                </w14:textFill>
              </w:rPr>
            </w:pPr>
            <w:r>
              <w:rPr>
                <w:rFonts w:hint="default" w:ascii="Times New Roman" w:hAnsi="Times New Roman" w:cs="Times New Roman"/>
                <w:b w:val="0"/>
                <w:bCs w:val="0"/>
                <w:color w:val="000000" w:themeColor="text1"/>
                <w:szCs w:val="24"/>
                <w14:textFill>
                  <w14:solidFill>
                    <w14:schemeClr w14:val="tx1"/>
                  </w14:solidFill>
                </w14:textFill>
              </w:rPr>
              <w:t>根据查询《排放源统计调查产排污核算方法和系数手册 2542生物质致密成型燃料加工行业系数手册》系数表可知，采用该工艺的生物质致密成型燃料生产过程中</w:t>
            </w:r>
            <w:r>
              <w:rPr>
                <w:rFonts w:hint="default" w:ascii="Times New Roman" w:hAnsi="Times New Roman" w:cs="Times New Roman"/>
                <w:b w:val="0"/>
                <w:bCs w:val="0"/>
                <w:color w:val="000000" w:themeColor="text1"/>
                <w:szCs w:val="24"/>
                <w:lang w:val="en-US" w:eastAsia="zh-CN"/>
                <w14:textFill>
                  <w14:solidFill>
                    <w14:schemeClr w14:val="tx1"/>
                  </w14:solidFill>
                </w14:textFill>
              </w:rPr>
              <w:t>剪切、破碎、筛分、造粒等工序</w:t>
            </w:r>
            <w:r>
              <w:rPr>
                <w:rFonts w:hint="default" w:ascii="Times New Roman" w:hAnsi="Times New Roman" w:cs="Times New Roman"/>
                <w:b w:val="0"/>
                <w:bCs w:val="0"/>
                <w:color w:val="000000" w:themeColor="text1"/>
                <w:szCs w:val="24"/>
                <w14:textFill>
                  <w14:solidFill>
                    <w14:schemeClr w14:val="tx1"/>
                  </w14:solidFill>
                </w14:textFill>
              </w:rPr>
              <w:t>颗粒物的产污系数为6.69×10</w:t>
            </w:r>
            <w:r>
              <w:rPr>
                <w:rFonts w:hint="default" w:ascii="Times New Roman" w:hAnsi="Times New Roman" w:cs="Times New Roman"/>
                <w:b w:val="0"/>
                <w:bCs w:val="0"/>
                <w:color w:val="000000" w:themeColor="text1"/>
                <w:szCs w:val="24"/>
                <w:vertAlign w:val="superscript"/>
                <w14:textFill>
                  <w14:solidFill>
                    <w14:schemeClr w14:val="tx1"/>
                  </w14:solidFill>
                </w14:textFill>
              </w:rPr>
              <w:t>-4</w:t>
            </w:r>
            <w:r>
              <w:rPr>
                <w:rFonts w:hint="default" w:ascii="Times New Roman" w:hAnsi="Times New Roman" w:cs="Times New Roman"/>
                <w:b w:val="0"/>
                <w:bCs w:val="0"/>
                <w:color w:val="000000" w:themeColor="text1"/>
                <w:szCs w:val="24"/>
                <w14:textFill>
                  <w14:solidFill>
                    <w14:schemeClr w14:val="tx1"/>
                  </w14:solidFill>
                </w14:textFill>
              </w:rPr>
              <w:t>吨/吨</w:t>
            </w:r>
            <w:r>
              <w:rPr>
                <w:rFonts w:hint="default" w:ascii="Times New Roman" w:hAnsi="Times New Roman" w:cs="Times New Roman"/>
                <w:b w:val="0"/>
                <w:bCs w:val="0"/>
                <w:color w:val="000000" w:themeColor="text1"/>
                <w:szCs w:val="24"/>
                <w:lang w:val="en-US" w:eastAsia="zh-CN"/>
                <w14:textFill>
                  <w14:solidFill>
                    <w14:schemeClr w14:val="tx1"/>
                  </w14:solidFill>
                </w14:textFill>
              </w:rPr>
              <w:t>-</w:t>
            </w:r>
            <w:r>
              <w:rPr>
                <w:rFonts w:hint="default" w:ascii="Times New Roman" w:hAnsi="Times New Roman" w:cs="Times New Roman"/>
                <w:b w:val="0"/>
                <w:bCs w:val="0"/>
                <w:color w:val="000000" w:themeColor="text1"/>
                <w:szCs w:val="24"/>
                <w14:textFill>
                  <w14:solidFill>
                    <w14:schemeClr w14:val="tx1"/>
                  </w14:solidFill>
                </w14:textFill>
              </w:rPr>
              <w:t>产品</w:t>
            </w:r>
            <w:r>
              <w:rPr>
                <w:rFonts w:hint="default" w:ascii="Times New Roman" w:hAnsi="Times New Roman" w:cs="Times New Roman"/>
                <w:b w:val="0"/>
                <w:bCs w:val="0"/>
                <w:color w:val="000000" w:themeColor="text1"/>
                <w:szCs w:val="24"/>
                <w:lang w:eastAsia="zh-CN"/>
                <w14:textFill>
                  <w14:solidFill>
                    <w14:schemeClr w14:val="tx1"/>
                  </w14:solidFill>
                </w14:textFill>
              </w:rPr>
              <w:t>。</w:t>
            </w:r>
            <w:r>
              <w:rPr>
                <w:rFonts w:hint="default" w:ascii="Times New Roman" w:hAnsi="Times New Roman" w:cs="Times New Roman"/>
                <w:b w:val="0"/>
                <w:bCs w:val="0"/>
                <w:color w:val="000000" w:themeColor="text1"/>
                <w:szCs w:val="24"/>
                <w14:textFill>
                  <w14:solidFill>
                    <w14:schemeClr w14:val="tx1"/>
                  </w14:solidFill>
                </w14:textFill>
              </w:rPr>
              <w:t>本项目生产生物质颗粒</w:t>
            </w:r>
            <w:r>
              <w:rPr>
                <w:rFonts w:hint="eastAsia" w:ascii="Times New Roman" w:hAnsi="Times New Roman" w:cs="Times New Roman"/>
                <w:b w:val="0"/>
                <w:bCs w:val="0"/>
                <w:color w:val="000000" w:themeColor="text1"/>
                <w:szCs w:val="24"/>
                <w:lang w:val="en-US" w:eastAsia="zh-CN"/>
                <w14:textFill>
                  <w14:solidFill>
                    <w14:schemeClr w14:val="tx1"/>
                  </w14:solidFill>
                </w14:textFill>
              </w:rPr>
              <w:t>5</w:t>
            </w:r>
            <w:r>
              <w:rPr>
                <w:rFonts w:hint="default" w:ascii="Times New Roman" w:hAnsi="Times New Roman" w:cs="Times New Roman"/>
                <w:b w:val="0"/>
                <w:bCs w:val="0"/>
                <w:color w:val="000000" w:themeColor="text1"/>
                <w:szCs w:val="24"/>
                <w14:textFill>
                  <w14:solidFill>
                    <w14:schemeClr w14:val="tx1"/>
                  </w14:solidFill>
                </w14:textFill>
              </w:rPr>
              <w:t>00t/a，采用产排污系数法核算污染物颗粒物产生量为</w:t>
            </w:r>
            <w:r>
              <w:rPr>
                <w:rFonts w:hint="default" w:ascii="Times New Roman" w:hAnsi="Times New Roman" w:cs="Times New Roman"/>
                <w:b w:val="0"/>
                <w:bCs w:val="0"/>
                <w:color w:val="000000" w:themeColor="text1"/>
                <w:szCs w:val="24"/>
                <w:lang w:val="en-US" w:eastAsia="zh-CN"/>
                <w14:textFill>
                  <w14:solidFill>
                    <w14:schemeClr w14:val="tx1"/>
                  </w14:solidFill>
                </w14:textFill>
              </w:rPr>
              <w:t>0.</w:t>
            </w:r>
            <w:r>
              <w:rPr>
                <w:rFonts w:hint="eastAsia" w:ascii="Times New Roman" w:hAnsi="Times New Roman" w:cs="Times New Roman"/>
                <w:b w:val="0"/>
                <w:bCs w:val="0"/>
                <w:color w:val="000000" w:themeColor="text1"/>
                <w:szCs w:val="24"/>
                <w:lang w:val="en-US" w:eastAsia="zh-CN"/>
                <w14:textFill>
                  <w14:solidFill>
                    <w14:schemeClr w14:val="tx1"/>
                  </w14:solidFill>
                </w14:textFill>
              </w:rPr>
              <w:t>335</w:t>
            </w:r>
            <w:r>
              <w:rPr>
                <w:rFonts w:hint="default" w:ascii="Times New Roman" w:hAnsi="Times New Roman" w:cs="Times New Roman"/>
                <w:b w:val="0"/>
                <w:bCs w:val="0"/>
                <w:color w:val="000000" w:themeColor="text1"/>
                <w:szCs w:val="24"/>
                <w14:textFill>
                  <w14:solidFill>
                    <w14:schemeClr w14:val="tx1"/>
                  </w14:solidFill>
                </w14:textFill>
              </w:rPr>
              <w:t>t/a。其中80%粉尘产生于破碎工段，15%粉尘产生于物料</w:t>
            </w:r>
            <w:r>
              <w:rPr>
                <w:rFonts w:hint="default" w:ascii="Times New Roman" w:hAnsi="Times New Roman" w:cs="Times New Roman"/>
                <w:b w:val="0"/>
                <w:bCs w:val="0"/>
                <w:color w:val="000000" w:themeColor="text1"/>
                <w:szCs w:val="24"/>
                <w:lang w:val="en-US" w:eastAsia="zh-CN"/>
                <w14:textFill>
                  <w14:solidFill>
                    <w14:schemeClr w14:val="tx1"/>
                  </w14:solidFill>
                </w14:textFill>
              </w:rPr>
              <w:t>筛分</w:t>
            </w:r>
            <w:r>
              <w:rPr>
                <w:rFonts w:hint="default" w:ascii="Times New Roman" w:hAnsi="Times New Roman" w:cs="Times New Roman"/>
                <w:b w:val="0"/>
                <w:bCs w:val="0"/>
                <w:color w:val="000000" w:themeColor="text1"/>
                <w:szCs w:val="24"/>
                <w14:textFill>
                  <w14:solidFill>
                    <w14:schemeClr w14:val="tx1"/>
                  </w14:solidFill>
                </w14:textFill>
              </w:rPr>
              <w:t>工段，5%粉尘产生于</w:t>
            </w:r>
            <w:r>
              <w:rPr>
                <w:rFonts w:hint="default" w:ascii="Times New Roman" w:hAnsi="Times New Roman" w:cs="Times New Roman"/>
                <w:b w:val="0"/>
                <w:bCs w:val="0"/>
                <w:color w:val="000000" w:themeColor="text1"/>
                <w:szCs w:val="24"/>
                <w:lang w:val="en-US" w:eastAsia="zh-CN"/>
                <w14:textFill>
                  <w14:solidFill>
                    <w14:schemeClr w14:val="tx1"/>
                  </w14:solidFill>
                </w14:textFill>
              </w:rPr>
              <w:t>造粒</w:t>
            </w:r>
            <w:r>
              <w:rPr>
                <w:rFonts w:hint="default" w:ascii="Times New Roman" w:hAnsi="Times New Roman" w:cs="Times New Roman"/>
                <w:b w:val="0"/>
                <w:bCs w:val="0"/>
                <w:color w:val="000000" w:themeColor="text1"/>
                <w:szCs w:val="24"/>
                <w14:textFill>
                  <w14:solidFill>
                    <w14:schemeClr w14:val="tx1"/>
                  </w14:solidFill>
                </w14:textFill>
              </w:rPr>
              <w:t>工段。则破碎工段粉尘产生量为</w:t>
            </w:r>
            <w:r>
              <w:rPr>
                <w:rFonts w:hint="default" w:ascii="Times New Roman" w:hAnsi="Times New Roman" w:cs="Times New Roman"/>
                <w:b w:val="0"/>
                <w:bCs w:val="0"/>
                <w:color w:val="000000" w:themeColor="text1"/>
                <w:szCs w:val="24"/>
                <w:highlight w:val="none"/>
                <w:lang w:val="en-US" w:eastAsia="zh-CN"/>
                <w14:textFill>
                  <w14:solidFill>
                    <w14:schemeClr w14:val="tx1"/>
                  </w14:solidFill>
                </w14:textFill>
              </w:rPr>
              <w:t>0.</w:t>
            </w:r>
            <w:r>
              <w:rPr>
                <w:rFonts w:hint="eastAsia" w:ascii="Times New Roman" w:hAnsi="Times New Roman" w:cs="Times New Roman"/>
                <w:b w:val="0"/>
                <w:bCs w:val="0"/>
                <w:color w:val="000000" w:themeColor="text1"/>
                <w:szCs w:val="24"/>
                <w:highlight w:val="none"/>
                <w:lang w:val="en-US" w:eastAsia="zh-CN"/>
                <w14:textFill>
                  <w14:solidFill>
                    <w14:schemeClr w14:val="tx1"/>
                  </w14:solidFill>
                </w14:textFill>
              </w:rPr>
              <w:t>268</w:t>
            </w:r>
            <w:r>
              <w:rPr>
                <w:rFonts w:hint="default" w:ascii="Times New Roman" w:hAnsi="Times New Roman" w:cs="Times New Roman"/>
                <w:b w:val="0"/>
                <w:bCs w:val="0"/>
                <w:color w:val="000000" w:themeColor="text1"/>
                <w:szCs w:val="24"/>
                <w:highlight w:val="none"/>
                <w14:textFill>
                  <w14:solidFill>
                    <w14:schemeClr w14:val="tx1"/>
                  </w14:solidFill>
                </w14:textFill>
              </w:rPr>
              <w:t>t/a；</w:t>
            </w:r>
            <w:r>
              <w:rPr>
                <w:rFonts w:hint="default" w:ascii="Times New Roman" w:hAnsi="Times New Roman" w:cs="Times New Roman"/>
                <w:b w:val="0"/>
                <w:bCs w:val="0"/>
                <w:color w:val="000000" w:themeColor="text1"/>
                <w:szCs w:val="24"/>
                <w:highlight w:val="none"/>
                <w:lang w:val="en-US" w:eastAsia="zh-CN"/>
                <w14:textFill>
                  <w14:solidFill>
                    <w14:schemeClr w14:val="tx1"/>
                  </w14:solidFill>
                </w14:textFill>
              </w:rPr>
              <w:t>筛分</w:t>
            </w:r>
            <w:r>
              <w:rPr>
                <w:rFonts w:hint="default" w:ascii="Times New Roman" w:hAnsi="Times New Roman" w:cs="Times New Roman"/>
                <w:b w:val="0"/>
                <w:bCs w:val="0"/>
                <w:color w:val="000000" w:themeColor="text1"/>
                <w:szCs w:val="24"/>
                <w:highlight w:val="none"/>
                <w14:textFill>
                  <w14:solidFill>
                    <w14:schemeClr w14:val="tx1"/>
                  </w14:solidFill>
                </w14:textFill>
              </w:rPr>
              <w:t>工段产生的粉尘量为</w:t>
            </w:r>
            <w:r>
              <w:rPr>
                <w:rFonts w:hint="default" w:ascii="Times New Roman" w:hAnsi="Times New Roman" w:cs="Times New Roman"/>
                <w:b w:val="0"/>
                <w:bCs w:val="0"/>
                <w:color w:val="000000" w:themeColor="text1"/>
                <w:szCs w:val="24"/>
                <w:highlight w:val="none"/>
                <w:lang w:val="en-US" w:eastAsia="zh-CN"/>
                <w14:textFill>
                  <w14:solidFill>
                    <w14:schemeClr w14:val="tx1"/>
                  </w14:solidFill>
                </w14:textFill>
              </w:rPr>
              <w:t>0.0</w:t>
            </w:r>
            <w:r>
              <w:rPr>
                <w:rFonts w:hint="eastAsia" w:ascii="Times New Roman" w:hAnsi="Times New Roman" w:cs="Times New Roman"/>
                <w:b w:val="0"/>
                <w:bCs w:val="0"/>
                <w:color w:val="000000" w:themeColor="text1"/>
                <w:szCs w:val="24"/>
                <w:highlight w:val="none"/>
                <w:lang w:val="en-US" w:eastAsia="zh-CN"/>
                <w14:textFill>
                  <w14:solidFill>
                    <w14:schemeClr w14:val="tx1"/>
                  </w14:solidFill>
                </w14:textFill>
              </w:rPr>
              <w:t>50</w:t>
            </w:r>
            <w:r>
              <w:rPr>
                <w:rFonts w:hint="default" w:ascii="Times New Roman" w:hAnsi="Times New Roman" w:cs="Times New Roman"/>
                <w:b w:val="0"/>
                <w:bCs w:val="0"/>
                <w:color w:val="000000" w:themeColor="text1"/>
                <w:szCs w:val="24"/>
                <w:highlight w:val="none"/>
                <w14:textFill>
                  <w14:solidFill>
                    <w14:schemeClr w14:val="tx1"/>
                  </w14:solidFill>
                </w14:textFill>
              </w:rPr>
              <w:t>t/a；</w:t>
            </w:r>
            <w:r>
              <w:rPr>
                <w:rFonts w:hint="default" w:ascii="Times New Roman" w:hAnsi="Times New Roman" w:cs="Times New Roman"/>
                <w:b w:val="0"/>
                <w:bCs w:val="0"/>
                <w:color w:val="000000" w:themeColor="text1"/>
                <w:szCs w:val="24"/>
                <w:highlight w:val="none"/>
                <w:lang w:val="en-US" w:eastAsia="zh-CN"/>
                <w14:textFill>
                  <w14:solidFill>
                    <w14:schemeClr w14:val="tx1"/>
                  </w14:solidFill>
                </w14:textFill>
              </w:rPr>
              <w:t>造粒</w:t>
            </w:r>
            <w:r>
              <w:rPr>
                <w:rFonts w:hint="default" w:ascii="Times New Roman" w:hAnsi="Times New Roman" w:cs="Times New Roman"/>
                <w:b w:val="0"/>
                <w:bCs w:val="0"/>
                <w:color w:val="000000" w:themeColor="text1"/>
                <w:szCs w:val="24"/>
                <w:highlight w:val="none"/>
                <w14:textFill>
                  <w14:solidFill>
                    <w14:schemeClr w14:val="tx1"/>
                  </w14:solidFill>
                </w14:textFill>
              </w:rPr>
              <w:t>工段产生的粉尘量为</w:t>
            </w:r>
            <w:r>
              <w:rPr>
                <w:rFonts w:hint="default" w:ascii="Times New Roman" w:hAnsi="Times New Roman" w:cs="Times New Roman"/>
                <w:b w:val="0"/>
                <w:bCs w:val="0"/>
                <w:color w:val="000000" w:themeColor="text1"/>
                <w:szCs w:val="24"/>
                <w:highlight w:val="none"/>
                <w:lang w:val="en-US" w:eastAsia="zh-CN"/>
                <w14:textFill>
                  <w14:solidFill>
                    <w14:schemeClr w14:val="tx1"/>
                  </w14:solidFill>
                </w14:textFill>
              </w:rPr>
              <w:t>0.0</w:t>
            </w:r>
            <w:r>
              <w:rPr>
                <w:rFonts w:hint="eastAsia" w:ascii="Times New Roman" w:hAnsi="Times New Roman" w:cs="Times New Roman"/>
                <w:b w:val="0"/>
                <w:bCs w:val="0"/>
                <w:color w:val="000000" w:themeColor="text1"/>
                <w:szCs w:val="24"/>
                <w:highlight w:val="none"/>
                <w:lang w:val="en-US" w:eastAsia="zh-CN"/>
                <w14:textFill>
                  <w14:solidFill>
                    <w14:schemeClr w14:val="tx1"/>
                  </w14:solidFill>
                </w14:textFill>
              </w:rPr>
              <w:t>1</w:t>
            </w:r>
            <w:r>
              <w:rPr>
                <w:rFonts w:hint="default" w:ascii="Times New Roman" w:hAnsi="Times New Roman" w:cs="Times New Roman"/>
                <w:b w:val="0"/>
                <w:bCs w:val="0"/>
                <w:color w:val="000000" w:themeColor="text1"/>
                <w:szCs w:val="24"/>
                <w:highlight w:val="none"/>
                <w:lang w:val="en-US" w:eastAsia="zh-CN"/>
                <w14:textFill>
                  <w14:solidFill>
                    <w14:schemeClr w14:val="tx1"/>
                  </w14:solidFill>
                </w14:textFill>
              </w:rPr>
              <w:t>7</w:t>
            </w:r>
            <w:r>
              <w:rPr>
                <w:rFonts w:hint="default" w:ascii="Times New Roman" w:hAnsi="Times New Roman" w:cs="Times New Roman"/>
                <w:b w:val="0"/>
                <w:bCs w:val="0"/>
                <w:color w:val="000000" w:themeColor="text1"/>
                <w:szCs w:val="24"/>
                <w:highlight w:val="none"/>
                <w14:textFill>
                  <w14:solidFill>
                    <w14:schemeClr w14:val="tx1"/>
                  </w14:solidFill>
                </w14:textFill>
              </w:rPr>
              <w:t>t/a。</w:t>
            </w:r>
          </w:p>
          <w:p w14:paraId="2AE5A763">
            <w:pPr>
              <w:pStyle w:val="6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rPr>
                <w:rFonts w:hint="default" w:ascii="Times New Roman" w:hAnsi="Times New Roman" w:cs="Times New Roman"/>
                <w:b w:val="0"/>
                <w:bCs w:val="0"/>
                <w:color w:val="000000" w:themeColor="text1"/>
                <w:sz w:val="24"/>
                <w:szCs w:val="20"/>
                <w:lang w:val="en-US" w:eastAsia="zh-CN"/>
                <w14:textFill>
                  <w14:solidFill>
                    <w14:schemeClr w14:val="tx1"/>
                  </w14:solidFill>
                </w14:textFill>
              </w:rPr>
            </w:pPr>
            <w:r>
              <w:rPr>
                <w:rFonts w:hint="default" w:ascii="Times New Roman" w:hAnsi="Times New Roman" w:cs="Times New Roman"/>
                <w:b w:val="0"/>
                <w:bCs w:val="0"/>
                <w:color w:val="000000" w:themeColor="text1"/>
                <w:sz w:val="24"/>
                <w:szCs w:val="20"/>
                <w:lang w:val="en-US" w:eastAsia="zh-CN"/>
                <w14:textFill>
                  <w14:solidFill>
                    <w14:schemeClr w14:val="tx1"/>
                  </w14:solidFill>
                </w14:textFill>
              </w:rPr>
              <w:t>破碎机设备</w:t>
            </w:r>
            <w:r>
              <w:rPr>
                <w:rFonts w:hint="default" w:ascii="Times New Roman" w:hAnsi="Times New Roman" w:eastAsia="宋体" w:cs="Times New Roman"/>
                <w:b w:val="0"/>
                <w:bCs w:val="0"/>
                <w:color w:val="000000" w:themeColor="text1"/>
                <w:sz w:val="24"/>
                <w:szCs w:val="24"/>
                <w:highlight w:val="none"/>
                <w:u w:val="none" w:color="auto"/>
                <w:lang w:val="en-US" w:eastAsia="zh-CN"/>
                <w14:textFill>
                  <w14:solidFill>
                    <w14:schemeClr w14:val="tx1"/>
                  </w14:solidFill>
                </w14:textFill>
              </w:rPr>
              <w:t>出料口与输送带连接处密闭</w:t>
            </w:r>
            <w:r>
              <w:rPr>
                <w:rFonts w:hint="default" w:ascii="Times New Roman" w:hAnsi="Times New Roman" w:cs="Times New Roman"/>
                <w:b w:val="0"/>
                <w:bCs w:val="0"/>
                <w:color w:val="000000" w:themeColor="text1"/>
                <w:sz w:val="24"/>
                <w:szCs w:val="24"/>
                <w:highlight w:val="none"/>
                <w:u w:val="none" w:color="auto"/>
                <w:lang w:val="en-US" w:eastAsia="zh-CN"/>
                <w14:textFill>
                  <w14:solidFill>
                    <w14:schemeClr w14:val="tx1"/>
                  </w14:solidFill>
                </w14:textFill>
              </w:rPr>
              <w:t>，</w:t>
            </w:r>
            <w:r>
              <w:rPr>
                <w:rFonts w:hint="default" w:ascii="Times New Roman" w:hAnsi="Times New Roman" w:cs="Times New Roman"/>
                <w:b w:val="0"/>
                <w:bCs w:val="0"/>
                <w:color w:val="000000" w:themeColor="text1"/>
                <w:sz w:val="24"/>
                <w:szCs w:val="24"/>
                <w:lang w:val="en-US" w:eastAsia="zh-CN"/>
                <w14:textFill>
                  <w14:solidFill>
                    <w14:schemeClr w14:val="tx1"/>
                  </w14:solidFill>
                </w14:textFill>
              </w:rPr>
              <w:t>进出口设置集气罩，</w:t>
            </w:r>
            <w:r>
              <w:rPr>
                <w:rFonts w:hint="default" w:ascii="Times New Roman" w:hAnsi="Times New Roman" w:cs="Times New Roman"/>
                <w:b w:val="0"/>
                <w:bCs w:val="0"/>
                <w:color w:val="000000" w:themeColor="text1"/>
                <w:sz w:val="24"/>
                <w:szCs w:val="24"/>
                <w14:textFill>
                  <w14:solidFill>
                    <w14:schemeClr w14:val="tx1"/>
                  </w14:solidFill>
                </w14:textFill>
              </w:rPr>
              <w:t>破碎过程产生的粉尘</w:t>
            </w:r>
            <w:r>
              <w:rPr>
                <w:rFonts w:hint="default" w:ascii="Times New Roman" w:hAnsi="Times New Roman" w:cs="Times New Roman"/>
                <w:b w:val="0"/>
                <w:bCs w:val="0"/>
                <w:color w:val="000000" w:themeColor="text1"/>
                <w:sz w:val="24"/>
                <w:szCs w:val="24"/>
                <w:lang w:val="en-US" w:eastAsia="zh-CN"/>
                <w14:textFill>
                  <w14:solidFill>
                    <w14:schemeClr w14:val="tx1"/>
                  </w14:solidFill>
                </w14:textFill>
              </w:rPr>
              <w:t>经集气罩收集后</w:t>
            </w:r>
            <w:r>
              <w:rPr>
                <w:rFonts w:hint="default" w:ascii="Times New Roman" w:hAnsi="Times New Roman" w:cs="Times New Roman"/>
                <w:b w:val="0"/>
                <w:bCs w:val="0"/>
                <w:color w:val="000000" w:themeColor="text1"/>
                <w:sz w:val="24"/>
                <w:szCs w:val="24"/>
                <w14:textFill>
                  <w14:solidFill>
                    <w14:schemeClr w14:val="tx1"/>
                  </w14:solidFill>
                </w14:textFill>
              </w:rPr>
              <w:t>随管道引出，进入</w:t>
            </w:r>
            <w:r>
              <w:rPr>
                <w:rFonts w:hint="default" w:ascii="Times New Roman" w:hAnsi="Times New Roman" w:cs="Times New Roman"/>
                <w:b w:val="0"/>
                <w:bCs w:val="0"/>
                <w:color w:val="000000" w:themeColor="text1"/>
                <w:sz w:val="24"/>
                <w:szCs w:val="24"/>
                <w:lang w:val="en-US" w:eastAsia="zh-CN"/>
                <w14:textFill>
                  <w14:solidFill>
                    <w14:schemeClr w14:val="tx1"/>
                  </w14:solidFill>
                </w14:textFill>
              </w:rPr>
              <w:t>袋式</w:t>
            </w:r>
            <w:r>
              <w:rPr>
                <w:rFonts w:hint="default" w:ascii="Times New Roman" w:hAnsi="Times New Roman" w:cs="Times New Roman"/>
                <w:b w:val="0"/>
                <w:bCs w:val="0"/>
                <w:color w:val="000000" w:themeColor="text1"/>
                <w:sz w:val="24"/>
                <w:szCs w:val="24"/>
                <w14:textFill>
                  <w14:solidFill>
                    <w14:schemeClr w14:val="tx1"/>
                  </w14:solidFill>
                </w14:textFill>
              </w:rPr>
              <w:t>除尘器处理，粉尘收集效率约为9</w:t>
            </w:r>
            <w:r>
              <w:rPr>
                <w:rFonts w:hint="default" w:ascii="Times New Roman" w:hAnsi="Times New Roman" w:cs="Times New Roman"/>
                <w:b w:val="0"/>
                <w:bCs w:val="0"/>
                <w:color w:val="000000" w:themeColor="text1"/>
                <w:sz w:val="24"/>
                <w:szCs w:val="24"/>
                <w:lang w:val="en-US" w:eastAsia="zh-CN"/>
                <w14:textFill>
                  <w14:solidFill>
                    <w14:schemeClr w14:val="tx1"/>
                  </w14:solidFill>
                </w14:textFill>
              </w:rPr>
              <w:t>0</w:t>
            </w:r>
            <w:r>
              <w:rPr>
                <w:rFonts w:hint="default" w:ascii="Times New Roman" w:hAnsi="Times New Roman" w:cs="Times New Roman"/>
                <w:b w:val="0"/>
                <w:bCs w:val="0"/>
                <w:color w:val="000000" w:themeColor="text1"/>
                <w:sz w:val="24"/>
                <w:szCs w:val="24"/>
                <w14:textFill>
                  <w14:solidFill>
                    <w14:schemeClr w14:val="tx1"/>
                  </w14:solidFill>
                </w14:textFill>
              </w:rPr>
              <w:t>%</w:t>
            </w:r>
            <w:r>
              <w:rPr>
                <w:rFonts w:hint="default" w:ascii="Times New Roman" w:hAnsi="Times New Roman" w:cs="Times New Roman"/>
                <w:b w:val="0"/>
                <w:bCs w:val="0"/>
                <w:color w:val="000000" w:themeColor="text1"/>
                <w:sz w:val="24"/>
                <w:szCs w:val="24"/>
                <w:lang w:eastAsia="zh-CN"/>
                <w14:textFill>
                  <w14:solidFill>
                    <w14:schemeClr w14:val="tx1"/>
                  </w14:solidFill>
                </w14:textFill>
              </w:rPr>
              <w:t>；</w:t>
            </w:r>
            <w:r>
              <w:rPr>
                <w:rFonts w:hint="default" w:ascii="Times New Roman" w:hAnsi="Times New Roman" w:cs="Times New Roman"/>
                <w:b w:val="0"/>
                <w:bCs w:val="0"/>
                <w:color w:val="000000" w:themeColor="text1"/>
                <w:sz w:val="24"/>
                <w:szCs w:val="24"/>
                <w:lang w:val="en-US" w:eastAsia="zh-CN"/>
                <w14:textFill>
                  <w14:solidFill>
                    <w14:schemeClr w14:val="tx1"/>
                  </w14:solidFill>
                </w14:textFill>
              </w:rPr>
              <w:t>筛分和造粒工序进出口均设置管道连接</w:t>
            </w:r>
            <w:r>
              <w:rPr>
                <w:rFonts w:hint="default" w:ascii="Times New Roman" w:hAnsi="Times New Roman" w:cs="Times New Roman"/>
                <w:b w:val="0"/>
                <w:bCs w:val="0"/>
                <w:color w:val="000000" w:themeColor="text1"/>
                <w:sz w:val="24"/>
                <w:szCs w:val="20"/>
                <w:lang w:val="en-US" w:eastAsia="zh-CN"/>
                <w14:textFill>
                  <w14:solidFill>
                    <w14:schemeClr w14:val="tx1"/>
                  </w14:solidFill>
                </w14:textFill>
              </w:rPr>
              <w:t>，粉尘收集效率为100%。</w:t>
            </w:r>
          </w:p>
          <w:p w14:paraId="4099CD89">
            <w:pPr>
              <w:pStyle w:val="50"/>
              <w:keepNext w:val="0"/>
              <w:keepLines w:val="0"/>
              <w:suppressLineNumbers w:val="0"/>
              <w:spacing w:before="0" w:beforeAutospacing="0" w:after="0" w:afterAutospacing="0"/>
              <w:ind w:left="0" w:right="0" w:firstLine="480"/>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cs="Times New Roman"/>
                <w:color w:val="000000" w:themeColor="text1"/>
                <w:sz w:val="24"/>
                <w:szCs w:val="24"/>
                <w:lang w:val="en-US" w:eastAsia="zh-CN"/>
                <w14:textFill>
                  <w14:solidFill>
                    <w14:schemeClr w14:val="tx1"/>
                  </w14:solidFill>
                </w14:textFill>
              </w:rPr>
              <w:t>包装工序粉尘废气：包装过程会产生部分粉尘废气，经类比同类项目，粉尘产生量为0.1kg/t产品，则本项目包装工序粉尘量为0.0</w:t>
            </w:r>
            <w:r>
              <w:rPr>
                <w:rFonts w:hint="eastAsia" w:ascii="Times New Roman" w:hAnsi="Times New Roman" w:cs="Times New Roman"/>
                <w:color w:val="000000" w:themeColor="text1"/>
                <w:sz w:val="24"/>
                <w:szCs w:val="24"/>
                <w:lang w:val="en-US" w:eastAsia="zh-CN"/>
                <w14:textFill>
                  <w14:solidFill>
                    <w14:schemeClr w14:val="tx1"/>
                  </w14:solidFill>
                </w14:textFill>
              </w:rPr>
              <w:t>5</w:t>
            </w:r>
            <w:r>
              <w:rPr>
                <w:rFonts w:hint="default" w:ascii="Times New Roman" w:hAnsi="Times New Roman" w:cs="Times New Roman"/>
                <w:color w:val="000000" w:themeColor="text1"/>
                <w:sz w:val="24"/>
                <w:szCs w:val="24"/>
                <w:lang w:val="en-US" w:eastAsia="zh-CN"/>
                <w14:textFill>
                  <w14:solidFill>
                    <w14:schemeClr w14:val="tx1"/>
                  </w14:solidFill>
                </w14:textFill>
              </w:rPr>
              <w:t>t/a。包装工序上方设置集气罩，包装工序废气经集气罩收集后通过管道接入袋式除尘器处理。</w:t>
            </w:r>
            <w:r>
              <w:rPr>
                <w:rFonts w:hint="default" w:ascii="Times New Roman" w:hAnsi="Times New Roman" w:cs="Times New Roman"/>
                <w:color w:val="000000" w:themeColor="text1"/>
                <w:sz w:val="24"/>
                <w:szCs w:val="20"/>
                <w14:textFill>
                  <w14:solidFill>
                    <w14:schemeClr w14:val="tx1"/>
                  </w14:solidFill>
                </w14:textFill>
              </w:rPr>
              <w:t>粉尘收集效率约为9</w:t>
            </w:r>
            <w:r>
              <w:rPr>
                <w:rFonts w:hint="default" w:ascii="Times New Roman" w:hAnsi="Times New Roman" w:cs="Times New Roman"/>
                <w:color w:val="000000" w:themeColor="text1"/>
                <w:sz w:val="24"/>
                <w:szCs w:val="20"/>
                <w:lang w:val="en-US" w:eastAsia="zh-CN"/>
                <w14:textFill>
                  <w14:solidFill>
                    <w14:schemeClr w14:val="tx1"/>
                  </w14:solidFill>
                </w14:textFill>
              </w:rPr>
              <w:t>0</w:t>
            </w:r>
            <w:r>
              <w:rPr>
                <w:rFonts w:hint="default" w:ascii="Times New Roman" w:hAnsi="Times New Roman" w:cs="Times New Roman"/>
                <w:color w:val="000000" w:themeColor="text1"/>
                <w:sz w:val="24"/>
                <w:szCs w:val="20"/>
                <w14:textFill>
                  <w14:solidFill>
                    <w14:schemeClr w14:val="tx1"/>
                  </w14:solidFill>
                </w14:textFill>
              </w:rPr>
              <w:t>%</w:t>
            </w:r>
            <w:r>
              <w:rPr>
                <w:rFonts w:hint="default" w:ascii="Times New Roman" w:hAnsi="Times New Roman" w:cs="Times New Roman"/>
                <w:color w:val="000000" w:themeColor="text1"/>
                <w:sz w:val="24"/>
                <w:szCs w:val="20"/>
                <w:lang w:eastAsia="zh-CN"/>
                <w14:textFill>
                  <w14:solidFill>
                    <w14:schemeClr w14:val="tx1"/>
                  </w14:solidFill>
                </w14:textFill>
              </w:rPr>
              <w:t>。</w:t>
            </w:r>
          </w:p>
          <w:p w14:paraId="25236E6E">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bCs/>
                <w:color w:val="000000" w:themeColor="text1"/>
                <w:sz w:val="24"/>
                <w:lang w:bidi="en-US"/>
                <w14:textFill>
                  <w14:solidFill>
                    <w14:schemeClr w14:val="tx1"/>
                  </w14:solidFill>
                </w14:textFill>
              </w:rPr>
            </w:pPr>
            <w:r>
              <w:rPr>
                <w:rFonts w:hint="default" w:ascii="Times New Roman" w:hAnsi="Times New Roman" w:eastAsia="瀹嬩綋" w:cs="Times New Roman"/>
                <w:color w:val="000000" w:themeColor="text1"/>
                <w:kern w:val="0"/>
                <w:sz w:val="24"/>
                <w:szCs w:val="24"/>
                <w:lang w:val="en-US" w:eastAsia="zh-CN" w:bidi="ar"/>
                <w14:textFill>
                  <w14:solidFill>
                    <w14:schemeClr w14:val="tx1"/>
                  </w14:solidFill>
                </w14:textFill>
              </w:rPr>
              <w:t>本项目生物质颗粒生产线</w:t>
            </w:r>
            <w:r>
              <w:rPr>
                <w:rFonts w:hint="default" w:ascii="Times New Roman" w:hAnsi="Times New Roman" w:cs="Times New Roman"/>
                <w:color w:val="000000" w:themeColor="text1"/>
                <w:sz w:val="24"/>
                <w14:textFill>
                  <w14:solidFill>
                    <w14:schemeClr w14:val="tx1"/>
                  </w14:solidFill>
                </w14:textFill>
              </w:rPr>
              <w:t>破碎、</w:t>
            </w:r>
            <w:r>
              <w:rPr>
                <w:rFonts w:hint="default" w:ascii="Times New Roman" w:hAnsi="Times New Roman" w:cs="Times New Roman"/>
                <w:color w:val="000000" w:themeColor="text1"/>
                <w:sz w:val="24"/>
                <w:lang w:val="en-US" w:eastAsia="zh-CN"/>
                <w14:textFill>
                  <w14:solidFill>
                    <w14:schemeClr w14:val="tx1"/>
                  </w14:solidFill>
                </w14:textFill>
              </w:rPr>
              <w:t>筛分</w:t>
            </w:r>
            <w:r>
              <w:rPr>
                <w:rFonts w:hint="default" w:ascii="Times New Roman" w:hAnsi="Times New Roman" w:cs="Times New Roman"/>
                <w:color w:val="000000" w:themeColor="text1"/>
                <w:sz w:val="24"/>
                <w14:textFill>
                  <w14:solidFill>
                    <w14:schemeClr w14:val="tx1"/>
                  </w14:solidFill>
                </w14:textFill>
              </w:rPr>
              <w:t>、</w:t>
            </w:r>
            <w:r>
              <w:rPr>
                <w:rFonts w:hint="default" w:ascii="Times New Roman" w:hAnsi="Times New Roman" w:cs="Times New Roman"/>
                <w:color w:val="000000" w:themeColor="text1"/>
                <w:sz w:val="24"/>
                <w:lang w:val="en-US" w:eastAsia="zh-CN"/>
                <w14:textFill>
                  <w14:solidFill>
                    <w14:schemeClr w14:val="tx1"/>
                  </w14:solidFill>
                </w14:textFill>
              </w:rPr>
              <w:t>造粒和包装等</w:t>
            </w:r>
            <w:r>
              <w:rPr>
                <w:rFonts w:hint="default" w:ascii="Times New Roman" w:hAnsi="Times New Roman" w:cs="Times New Roman"/>
                <w:color w:val="000000" w:themeColor="text1"/>
                <w:sz w:val="24"/>
                <w14:textFill>
                  <w14:solidFill>
                    <w14:schemeClr w14:val="tx1"/>
                  </w14:solidFill>
                </w14:textFill>
              </w:rPr>
              <w:t>过程中产生的</w:t>
            </w:r>
            <w:r>
              <w:rPr>
                <w:rFonts w:hint="default" w:ascii="Times New Roman" w:hAnsi="Times New Roman" w:eastAsia="瀹嬩綋" w:cs="Times New Roman"/>
                <w:color w:val="000000" w:themeColor="text1"/>
                <w:kern w:val="0"/>
                <w:sz w:val="24"/>
                <w:szCs w:val="24"/>
                <w:lang w:val="en-US" w:eastAsia="zh-CN" w:bidi="ar"/>
                <w14:textFill>
                  <w14:solidFill>
                    <w14:schemeClr w14:val="tx1"/>
                  </w14:solidFill>
                </w14:textFill>
              </w:rPr>
              <w:t>有组织粉尘废气采用各集气罩收集后引至袋式除尘器</w:t>
            </w:r>
            <w:r>
              <w:rPr>
                <w:rFonts w:hint="default" w:ascii="Times New Roman" w:hAnsi="Times New Roman" w:eastAsia="宋体" w:cs="Times New Roman"/>
                <w:color w:val="000000" w:themeColor="text1"/>
                <w:sz w:val="24"/>
                <w:szCs w:val="24"/>
                <w:highlight w:val="none"/>
                <w:u w:val="none" w:color="auto"/>
                <w:lang w:val="en-US" w:eastAsia="zh-CN"/>
                <w14:textFill>
                  <w14:solidFill>
                    <w14:schemeClr w14:val="tx1"/>
                  </w14:solidFill>
                </w14:textFill>
              </w:rPr>
              <w:t>（TA00</w:t>
            </w:r>
            <w:r>
              <w:rPr>
                <w:rFonts w:hint="eastAsia" w:ascii="Times New Roman" w:hAnsi="Times New Roman" w:cs="Times New Roman"/>
                <w:color w:val="000000" w:themeColor="text1"/>
                <w:sz w:val="24"/>
                <w:szCs w:val="24"/>
                <w:highlight w:val="none"/>
                <w:u w:val="none" w:color="auto"/>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24"/>
                <w:highlight w:val="none"/>
                <w:u w:val="none" w:color="auto"/>
                <w:lang w:val="en-US" w:eastAsia="zh-CN"/>
                <w14:textFill>
                  <w14:solidFill>
                    <w14:schemeClr w14:val="tx1"/>
                  </w14:solidFill>
                </w14:textFill>
              </w:rPr>
              <w:t>）处理达标后经1根15m高排气筒（DA00</w:t>
            </w:r>
            <w:r>
              <w:rPr>
                <w:rFonts w:hint="eastAsia" w:ascii="Times New Roman" w:hAnsi="Times New Roman" w:cs="Times New Roman"/>
                <w:color w:val="000000" w:themeColor="text1"/>
                <w:sz w:val="24"/>
                <w:szCs w:val="24"/>
                <w:highlight w:val="none"/>
                <w:u w:val="none" w:color="auto"/>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24"/>
                <w:highlight w:val="none"/>
                <w:u w:val="none" w:color="auto"/>
                <w:lang w:val="en-US" w:eastAsia="zh-CN"/>
                <w14:textFill>
                  <w14:solidFill>
                    <w14:schemeClr w14:val="tx1"/>
                  </w14:solidFill>
                </w14:textFill>
              </w:rPr>
              <w:t>）引至高空排放</w:t>
            </w:r>
            <w:r>
              <w:rPr>
                <w:rFonts w:hint="default" w:ascii="Times New Roman" w:hAnsi="Times New Roman" w:eastAsia="宋体" w:cs="Times New Roman"/>
                <w:bCs/>
                <w:color w:val="000000" w:themeColor="text1"/>
                <w:kern w:val="0"/>
                <w:sz w:val="24"/>
                <w:szCs w:val="24"/>
                <w:highlight w:val="none"/>
                <w:u w:val="none" w:color="auto"/>
                <w:lang w:val="en-US" w:eastAsia="zh-CN"/>
                <w14:textFill>
                  <w14:solidFill>
                    <w14:schemeClr w14:val="tx1"/>
                  </w14:solidFill>
                </w14:textFill>
              </w:rPr>
              <w:t>，</w:t>
            </w:r>
            <w:r>
              <w:rPr>
                <w:rFonts w:hint="default" w:ascii="Times New Roman" w:hAnsi="Times New Roman" w:cs="Times New Roman"/>
                <w:color w:val="000000" w:themeColor="text1"/>
                <w:sz w:val="24"/>
                <w14:textFill>
                  <w14:solidFill>
                    <w14:schemeClr w14:val="tx1"/>
                  </w14:solidFill>
                </w14:textFill>
              </w:rPr>
              <w:t>项目</w:t>
            </w:r>
            <w:r>
              <w:rPr>
                <w:rFonts w:hint="default" w:ascii="Times New Roman" w:hAnsi="Times New Roman" w:cs="Times New Roman"/>
                <w:color w:val="000000" w:themeColor="text1"/>
                <w:sz w:val="24"/>
                <w:lang w:val="en-US" w:eastAsia="zh-CN"/>
                <w14:textFill>
                  <w14:solidFill>
                    <w14:schemeClr w14:val="tx1"/>
                  </w14:solidFill>
                </w14:textFill>
              </w:rPr>
              <w:t>生物质颗粒生产线</w:t>
            </w:r>
            <w:r>
              <w:rPr>
                <w:rFonts w:hint="default" w:ascii="Times New Roman" w:hAnsi="Times New Roman" w:cs="Times New Roman"/>
                <w:color w:val="000000" w:themeColor="text1"/>
                <w:sz w:val="24"/>
                <w14:textFill>
                  <w14:solidFill>
                    <w14:schemeClr w14:val="tx1"/>
                  </w14:solidFill>
                </w14:textFill>
              </w:rPr>
              <w:t>设置1台</w:t>
            </w:r>
            <w:r>
              <w:rPr>
                <w:rFonts w:hint="default" w:ascii="Times New Roman" w:hAnsi="Times New Roman" w:cs="Times New Roman"/>
                <w:color w:val="000000" w:themeColor="text1"/>
                <w:sz w:val="24"/>
                <w:lang w:val="en-US" w:eastAsia="zh-CN"/>
                <w14:textFill>
                  <w14:solidFill>
                    <w14:schemeClr w14:val="tx1"/>
                  </w14:solidFill>
                </w14:textFill>
              </w:rPr>
              <w:t>袋式</w:t>
            </w:r>
            <w:r>
              <w:rPr>
                <w:rFonts w:hint="default" w:ascii="Times New Roman" w:hAnsi="Times New Roman" w:cs="Times New Roman"/>
                <w:color w:val="000000" w:themeColor="text1"/>
                <w:sz w:val="24"/>
                <w14:textFill>
                  <w14:solidFill>
                    <w14:schemeClr w14:val="tx1"/>
                  </w14:solidFill>
                </w14:textFill>
              </w:rPr>
              <w:t>除尘器收集处理破碎、</w:t>
            </w:r>
            <w:r>
              <w:rPr>
                <w:rFonts w:hint="default" w:ascii="Times New Roman" w:hAnsi="Times New Roman" w:cs="Times New Roman"/>
                <w:color w:val="000000" w:themeColor="text1"/>
                <w:sz w:val="24"/>
                <w:lang w:val="en-US" w:eastAsia="zh-CN"/>
                <w14:textFill>
                  <w14:solidFill>
                    <w14:schemeClr w14:val="tx1"/>
                  </w14:solidFill>
                </w14:textFill>
              </w:rPr>
              <w:t>筛分</w:t>
            </w:r>
            <w:r>
              <w:rPr>
                <w:rFonts w:hint="default" w:ascii="Times New Roman" w:hAnsi="Times New Roman" w:cs="Times New Roman"/>
                <w:color w:val="000000" w:themeColor="text1"/>
                <w:sz w:val="24"/>
                <w14:textFill>
                  <w14:solidFill>
                    <w14:schemeClr w14:val="tx1"/>
                  </w14:solidFill>
                </w14:textFill>
              </w:rPr>
              <w:t>、</w:t>
            </w:r>
            <w:r>
              <w:rPr>
                <w:rFonts w:hint="default" w:ascii="Times New Roman" w:hAnsi="Times New Roman" w:cs="Times New Roman"/>
                <w:color w:val="000000" w:themeColor="text1"/>
                <w:sz w:val="24"/>
                <w:lang w:val="en-US" w:eastAsia="zh-CN"/>
                <w14:textFill>
                  <w14:solidFill>
                    <w14:schemeClr w14:val="tx1"/>
                  </w14:solidFill>
                </w14:textFill>
              </w:rPr>
              <w:t>造粒和包装等</w:t>
            </w:r>
            <w:r>
              <w:rPr>
                <w:rFonts w:hint="default" w:ascii="Times New Roman" w:hAnsi="Times New Roman" w:cs="Times New Roman"/>
                <w:color w:val="000000" w:themeColor="text1"/>
                <w:sz w:val="24"/>
                <w14:textFill>
                  <w14:solidFill>
                    <w14:schemeClr w14:val="tx1"/>
                  </w14:solidFill>
                </w14:textFill>
              </w:rPr>
              <w:t>过程中产生的粉尘，粉尘收集需要的风量为</w:t>
            </w:r>
            <w:r>
              <w:rPr>
                <w:rFonts w:hint="eastAsia" w:ascii="Times New Roman" w:hAnsi="Times New Roman" w:cs="Times New Roman"/>
                <w:color w:val="000000" w:themeColor="text1"/>
                <w:sz w:val="24"/>
                <w:lang w:val="en-US" w:eastAsia="zh-CN"/>
                <w14:textFill>
                  <w14:solidFill>
                    <w14:schemeClr w14:val="tx1"/>
                  </w14:solidFill>
                </w14:textFill>
              </w:rPr>
              <w:t>1</w:t>
            </w:r>
            <w:r>
              <w:rPr>
                <w:rFonts w:hint="default" w:ascii="Times New Roman" w:hAnsi="Times New Roman" w:cs="Times New Roman"/>
                <w:color w:val="000000" w:themeColor="text1"/>
                <w:sz w:val="24"/>
                <w14:textFill>
                  <w14:solidFill>
                    <w14:schemeClr w14:val="tx1"/>
                  </w14:solidFill>
                </w14:textFill>
              </w:rPr>
              <w:t>000m</w:t>
            </w:r>
            <w:r>
              <w:rPr>
                <w:rFonts w:hint="default" w:ascii="Times New Roman" w:hAnsi="Times New Roman" w:cs="Times New Roman"/>
                <w:color w:val="000000" w:themeColor="text1"/>
                <w:sz w:val="24"/>
                <w:vertAlign w:val="superscript"/>
                <w14:textFill>
                  <w14:solidFill>
                    <w14:schemeClr w14:val="tx1"/>
                  </w14:solidFill>
                </w14:textFill>
              </w:rPr>
              <w:t>3</w:t>
            </w:r>
            <w:r>
              <w:rPr>
                <w:rFonts w:hint="default" w:ascii="Times New Roman" w:hAnsi="Times New Roman" w:cs="Times New Roman"/>
                <w:color w:val="000000" w:themeColor="text1"/>
                <w:sz w:val="24"/>
                <w14:textFill>
                  <w14:solidFill>
                    <w14:schemeClr w14:val="tx1"/>
                  </w14:solidFill>
                </w14:textFill>
              </w:rPr>
              <w:t>/h，根据分析</w:t>
            </w:r>
            <w:r>
              <w:rPr>
                <w:rFonts w:hint="default" w:ascii="Times New Roman" w:hAnsi="Times New Roman" w:cs="Times New Roman"/>
                <w:color w:val="000000" w:themeColor="text1"/>
                <w:sz w:val="24"/>
                <w:lang w:val="en-US" w:eastAsia="zh-CN"/>
                <w14:textFill>
                  <w14:solidFill>
                    <w14:schemeClr w14:val="tx1"/>
                  </w14:solidFill>
                </w14:textFill>
              </w:rPr>
              <w:t>可知</w:t>
            </w:r>
            <w:r>
              <w:rPr>
                <w:rFonts w:hint="default" w:ascii="Times New Roman" w:hAnsi="Times New Roman" w:cs="Times New Roman"/>
                <w:color w:val="000000" w:themeColor="text1"/>
                <w:sz w:val="24"/>
                <w14:textFill>
                  <w14:solidFill>
                    <w14:schemeClr w14:val="tx1"/>
                  </w14:solidFill>
                </w14:textFill>
              </w:rPr>
              <w:t>，进入</w:t>
            </w:r>
            <w:r>
              <w:rPr>
                <w:rFonts w:hint="default" w:ascii="Times New Roman" w:hAnsi="Times New Roman" w:cs="Times New Roman"/>
                <w:color w:val="000000" w:themeColor="text1"/>
                <w:sz w:val="24"/>
                <w:lang w:val="en-US" w:eastAsia="zh-CN"/>
                <w14:textFill>
                  <w14:solidFill>
                    <w14:schemeClr w14:val="tx1"/>
                  </w14:solidFill>
                </w14:textFill>
              </w:rPr>
              <w:t>袋式</w:t>
            </w:r>
            <w:r>
              <w:rPr>
                <w:rFonts w:hint="default" w:ascii="Times New Roman" w:hAnsi="Times New Roman" w:cs="Times New Roman"/>
                <w:color w:val="000000" w:themeColor="text1"/>
                <w:sz w:val="24"/>
                <w14:textFill>
                  <w14:solidFill>
                    <w14:schemeClr w14:val="tx1"/>
                  </w14:solidFill>
                </w14:textFill>
              </w:rPr>
              <w:t>除尘器粉尘</w:t>
            </w:r>
            <w:r>
              <w:rPr>
                <w:rFonts w:hint="default" w:ascii="Times New Roman" w:hAnsi="Times New Roman" w:cs="Times New Roman"/>
                <w:color w:val="000000" w:themeColor="text1"/>
                <w:sz w:val="24"/>
                <w:szCs w:val="24"/>
                <w14:textFill>
                  <w14:solidFill>
                    <w14:schemeClr w14:val="tx1"/>
                  </w14:solidFill>
                </w14:textFill>
              </w:rPr>
              <w:t>量为</w:t>
            </w:r>
            <w:r>
              <w:rPr>
                <w:rFonts w:hint="default" w:ascii="Times New Roman" w:hAnsi="Times New Roman" w:cs="Times New Roman"/>
                <w:color w:val="000000" w:themeColor="text1"/>
                <w:sz w:val="24"/>
                <w:szCs w:val="24"/>
                <w:highlight w:val="none"/>
                <w:vertAlign w:val="baseline"/>
                <w:lang w:val="en-US" w:eastAsia="zh-CN"/>
                <w14:textFill>
                  <w14:solidFill>
                    <w14:schemeClr w14:val="tx1"/>
                  </w14:solidFill>
                </w14:textFill>
              </w:rPr>
              <w:t>0.</w:t>
            </w:r>
            <w:r>
              <w:rPr>
                <w:rFonts w:hint="eastAsia" w:ascii="Times New Roman" w:hAnsi="Times New Roman" w:cs="Times New Roman"/>
                <w:color w:val="000000" w:themeColor="text1"/>
                <w:sz w:val="24"/>
                <w:szCs w:val="24"/>
                <w:highlight w:val="none"/>
                <w:vertAlign w:val="baseline"/>
                <w:lang w:val="en-US" w:eastAsia="zh-CN"/>
                <w14:textFill>
                  <w14:solidFill>
                    <w14:schemeClr w14:val="tx1"/>
                  </w14:solidFill>
                </w14:textFill>
              </w:rPr>
              <w:t>414</w:t>
            </w:r>
            <w:r>
              <w:rPr>
                <w:rFonts w:hint="default" w:ascii="Times New Roman" w:hAnsi="Times New Roman" w:cs="Times New Roman"/>
                <w:color w:val="000000" w:themeColor="text1"/>
                <w:sz w:val="24"/>
                <w:szCs w:val="24"/>
                <w14:textFill>
                  <w14:solidFill>
                    <w14:schemeClr w14:val="tx1"/>
                  </w14:solidFill>
                </w14:textFill>
              </w:rPr>
              <w:t>t/a，</w:t>
            </w:r>
            <w:r>
              <w:rPr>
                <w:rFonts w:hint="default" w:ascii="Times New Roman" w:hAnsi="Times New Roman" w:cs="Times New Roman"/>
                <w:color w:val="000000" w:themeColor="text1"/>
                <w:sz w:val="24"/>
                <w:szCs w:val="24"/>
                <w:lang w:val="en-US" w:eastAsia="zh-CN"/>
                <w14:textFill>
                  <w14:solidFill>
                    <w14:schemeClr w14:val="tx1"/>
                  </w14:solidFill>
                </w14:textFill>
              </w:rPr>
              <w:t>0.1</w:t>
            </w:r>
            <w:r>
              <w:rPr>
                <w:rFonts w:hint="eastAsia" w:ascii="Times New Roman" w:hAnsi="Times New Roman" w:cs="Times New Roman"/>
                <w:color w:val="000000" w:themeColor="text1"/>
                <w:sz w:val="24"/>
                <w:szCs w:val="24"/>
                <w:lang w:val="en-US" w:eastAsia="zh-CN"/>
                <w14:textFill>
                  <w14:solidFill>
                    <w14:schemeClr w14:val="tx1"/>
                  </w14:solidFill>
                </w14:textFill>
              </w:rPr>
              <w:t>15</w:t>
            </w:r>
            <w:r>
              <w:rPr>
                <w:rFonts w:hint="default" w:ascii="Times New Roman" w:hAnsi="Times New Roman" w:cs="Times New Roman"/>
                <w:color w:val="000000" w:themeColor="text1"/>
                <w:sz w:val="24"/>
                <w:szCs w:val="24"/>
                <w14:textFill>
                  <w14:solidFill>
                    <w14:schemeClr w14:val="tx1"/>
                  </w14:solidFill>
                </w14:textFill>
              </w:rPr>
              <w:t>kg/h，</w:t>
            </w:r>
            <w:r>
              <w:rPr>
                <w:rFonts w:hint="default" w:ascii="Times New Roman" w:hAnsi="Times New Roman" w:cs="Times New Roman"/>
                <w:color w:val="000000" w:themeColor="text1"/>
                <w:sz w:val="24"/>
                <w:szCs w:val="24"/>
                <w:lang w:val="en-US" w:eastAsia="zh-CN"/>
                <w14:textFill>
                  <w14:solidFill>
                    <w14:schemeClr w14:val="tx1"/>
                  </w14:solidFill>
                </w14:textFill>
              </w:rPr>
              <w:t>产生</w:t>
            </w:r>
            <w:r>
              <w:rPr>
                <w:rFonts w:hint="default" w:ascii="Times New Roman" w:hAnsi="Times New Roman" w:cs="Times New Roman"/>
                <w:bCs/>
                <w:color w:val="000000" w:themeColor="text1"/>
                <w:sz w:val="24"/>
                <w:szCs w:val="24"/>
                <w:lang w:bidi="en-US"/>
                <w14:textFill>
                  <w14:solidFill>
                    <w14:schemeClr w14:val="tx1"/>
                  </w14:solidFill>
                </w14:textFill>
              </w:rPr>
              <w:t>浓度为</w:t>
            </w:r>
            <w:r>
              <w:rPr>
                <w:rFonts w:hint="default" w:ascii="Times New Roman" w:hAnsi="Times New Roman" w:cs="Times New Roman"/>
                <w:bCs/>
                <w:color w:val="000000" w:themeColor="text1"/>
                <w:sz w:val="24"/>
                <w:szCs w:val="24"/>
                <w:lang w:val="en-US" w:eastAsia="zh-CN" w:bidi="en-US"/>
                <w14:textFill>
                  <w14:solidFill>
                    <w14:schemeClr w14:val="tx1"/>
                  </w14:solidFill>
                </w14:textFill>
              </w:rPr>
              <w:t>114.861</w:t>
            </w:r>
            <w:r>
              <w:rPr>
                <w:rFonts w:hint="default" w:ascii="Times New Roman" w:hAnsi="Times New Roman" w:cs="Times New Roman"/>
                <w:bCs/>
                <w:color w:val="000000" w:themeColor="text1"/>
                <w:sz w:val="24"/>
                <w:szCs w:val="24"/>
                <w:lang w:bidi="en-US"/>
                <w14:textFill>
                  <w14:solidFill>
                    <w14:schemeClr w14:val="tx1"/>
                  </w14:solidFill>
                </w14:textFill>
              </w:rPr>
              <w:t>mg/m</w:t>
            </w:r>
            <w:r>
              <w:rPr>
                <w:rFonts w:hint="default" w:ascii="Times New Roman" w:hAnsi="Times New Roman" w:cs="Times New Roman"/>
                <w:bCs/>
                <w:color w:val="000000" w:themeColor="text1"/>
                <w:sz w:val="24"/>
                <w:szCs w:val="24"/>
                <w:vertAlign w:val="superscript"/>
                <w:lang w:bidi="en-US"/>
                <w14:textFill>
                  <w14:solidFill>
                    <w14:schemeClr w14:val="tx1"/>
                  </w14:solidFill>
                </w14:textFill>
              </w:rPr>
              <w:t>3</w:t>
            </w:r>
            <w:r>
              <w:rPr>
                <w:rFonts w:hint="default" w:ascii="Times New Roman" w:hAnsi="Times New Roman" w:cs="Times New Roman"/>
                <w:bCs/>
                <w:color w:val="000000" w:themeColor="text1"/>
                <w:sz w:val="24"/>
                <w:szCs w:val="24"/>
                <w:lang w:eastAsia="zh-CN" w:bidi="en-US"/>
                <w14:textFill>
                  <w14:solidFill>
                    <w14:schemeClr w14:val="tx1"/>
                  </w14:solidFill>
                </w14:textFill>
              </w:rPr>
              <w:t>。</w:t>
            </w:r>
            <w:r>
              <w:rPr>
                <w:rFonts w:hint="default" w:ascii="Times New Roman" w:hAnsi="Times New Roman" w:cs="Times New Roman"/>
                <w:bCs/>
                <w:color w:val="000000" w:themeColor="text1"/>
                <w:sz w:val="24"/>
                <w:szCs w:val="24"/>
                <w:lang w:val="en-US" w:eastAsia="zh-CN" w:bidi="en-US"/>
                <w14:textFill>
                  <w14:solidFill>
                    <w14:schemeClr w14:val="tx1"/>
                  </w14:solidFill>
                </w14:textFill>
              </w:rPr>
              <w:t>袋式</w:t>
            </w:r>
            <w:r>
              <w:rPr>
                <w:rFonts w:hint="default" w:ascii="Times New Roman" w:hAnsi="Times New Roman" w:cs="Times New Roman"/>
                <w:bCs/>
                <w:color w:val="000000" w:themeColor="text1"/>
                <w:sz w:val="24"/>
                <w:szCs w:val="24"/>
                <w:lang w:bidi="en-US"/>
                <w14:textFill>
                  <w14:solidFill>
                    <w14:schemeClr w14:val="tx1"/>
                  </w14:solidFill>
                </w14:textFill>
              </w:rPr>
              <w:t>除尘器对粉尘处理效率约为99%，经过</w:t>
            </w:r>
            <w:r>
              <w:rPr>
                <w:rFonts w:hint="default" w:ascii="Times New Roman" w:hAnsi="Times New Roman" w:cs="Times New Roman"/>
                <w:color w:val="000000" w:themeColor="text1"/>
                <w:sz w:val="24"/>
                <w:lang w:val="en-US" w:eastAsia="zh-CN"/>
                <w14:textFill>
                  <w14:solidFill>
                    <w14:schemeClr w14:val="tx1"/>
                  </w14:solidFill>
                </w14:textFill>
              </w:rPr>
              <w:t>袋式</w:t>
            </w:r>
            <w:r>
              <w:rPr>
                <w:rFonts w:hint="default" w:ascii="Times New Roman" w:hAnsi="Times New Roman" w:cs="Times New Roman"/>
                <w:bCs/>
                <w:color w:val="000000" w:themeColor="text1"/>
                <w:sz w:val="24"/>
                <w:szCs w:val="24"/>
                <w:lang w:bidi="en-US"/>
                <w14:textFill>
                  <w14:solidFill>
                    <w14:schemeClr w14:val="tx1"/>
                  </w14:solidFill>
                </w14:textFill>
              </w:rPr>
              <w:t>除尘处理后排放量为0.</w:t>
            </w:r>
            <w:r>
              <w:rPr>
                <w:rFonts w:hint="default" w:ascii="Times New Roman" w:hAnsi="Times New Roman" w:cs="Times New Roman"/>
                <w:bCs/>
                <w:color w:val="000000" w:themeColor="text1"/>
                <w:sz w:val="24"/>
                <w:szCs w:val="24"/>
                <w:lang w:val="en-US" w:eastAsia="zh-CN" w:bidi="en-US"/>
                <w14:textFill>
                  <w14:solidFill>
                    <w14:schemeClr w14:val="tx1"/>
                  </w14:solidFill>
                </w14:textFill>
              </w:rPr>
              <w:t>00</w:t>
            </w:r>
            <w:r>
              <w:rPr>
                <w:rFonts w:hint="eastAsia" w:ascii="Times New Roman" w:hAnsi="Times New Roman" w:cs="Times New Roman"/>
                <w:bCs/>
                <w:color w:val="000000" w:themeColor="text1"/>
                <w:sz w:val="24"/>
                <w:szCs w:val="24"/>
                <w:lang w:val="en-US" w:eastAsia="zh-CN" w:bidi="en-US"/>
                <w14:textFill>
                  <w14:solidFill>
                    <w14:schemeClr w14:val="tx1"/>
                  </w14:solidFill>
                </w14:textFill>
              </w:rPr>
              <w:t>4</w:t>
            </w:r>
            <w:r>
              <w:rPr>
                <w:rFonts w:hint="default" w:ascii="Times New Roman" w:hAnsi="Times New Roman" w:cs="Times New Roman"/>
                <w:bCs/>
                <w:color w:val="000000" w:themeColor="text1"/>
                <w:sz w:val="24"/>
                <w:szCs w:val="24"/>
                <w:lang w:bidi="en-US"/>
                <w14:textFill>
                  <w14:solidFill>
                    <w14:schemeClr w14:val="tx1"/>
                  </w14:solidFill>
                </w14:textFill>
              </w:rPr>
              <w:t>t/a，0.</w:t>
            </w:r>
            <w:r>
              <w:rPr>
                <w:rFonts w:hint="default" w:ascii="Times New Roman" w:hAnsi="Times New Roman" w:cs="Times New Roman"/>
                <w:bCs/>
                <w:color w:val="000000" w:themeColor="text1"/>
                <w:sz w:val="24"/>
                <w:szCs w:val="24"/>
                <w:lang w:val="en-US" w:eastAsia="zh-CN" w:bidi="en-US"/>
                <w14:textFill>
                  <w14:solidFill>
                    <w14:schemeClr w14:val="tx1"/>
                  </w14:solidFill>
                </w14:textFill>
              </w:rPr>
              <w:t>001</w:t>
            </w:r>
            <w:r>
              <w:rPr>
                <w:rFonts w:hint="default" w:ascii="Times New Roman" w:hAnsi="Times New Roman" w:cs="Times New Roman"/>
                <w:bCs/>
                <w:color w:val="000000" w:themeColor="text1"/>
                <w:sz w:val="24"/>
                <w:szCs w:val="24"/>
                <w:lang w:bidi="en-US"/>
                <w14:textFill>
                  <w14:solidFill>
                    <w14:schemeClr w14:val="tx1"/>
                  </w14:solidFill>
                </w14:textFill>
              </w:rPr>
              <w:t>kg/h，排放浓度为</w:t>
            </w:r>
            <w:r>
              <w:rPr>
                <w:rFonts w:hint="default" w:ascii="Times New Roman" w:hAnsi="Times New Roman" w:cs="Times New Roman"/>
                <w:bCs/>
                <w:color w:val="000000" w:themeColor="text1"/>
                <w:sz w:val="24"/>
                <w:szCs w:val="24"/>
                <w:lang w:val="en-US" w:eastAsia="zh-CN" w:bidi="en-US"/>
                <w14:textFill>
                  <w14:solidFill>
                    <w14:schemeClr w14:val="tx1"/>
                  </w14:solidFill>
                </w14:textFill>
              </w:rPr>
              <w:t>1.149</w:t>
            </w:r>
            <w:r>
              <w:rPr>
                <w:rFonts w:hint="default" w:ascii="Times New Roman" w:hAnsi="Times New Roman" w:cs="Times New Roman"/>
                <w:bCs/>
                <w:color w:val="000000" w:themeColor="text1"/>
                <w:sz w:val="24"/>
                <w:szCs w:val="24"/>
                <w:lang w:bidi="en-US"/>
                <w14:textFill>
                  <w14:solidFill>
                    <w14:schemeClr w14:val="tx1"/>
                  </w14:solidFill>
                </w14:textFill>
              </w:rPr>
              <w:t>mg/m</w:t>
            </w:r>
            <w:r>
              <w:rPr>
                <w:rFonts w:hint="default" w:ascii="Times New Roman" w:hAnsi="Times New Roman" w:cs="Times New Roman"/>
                <w:bCs/>
                <w:color w:val="000000" w:themeColor="text1"/>
                <w:sz w:val="24"/>
                <w:szCs w:val="24"/>
                <w:vertAlign w:val="superscript"/>
                <w:lang w:bidi="en-US"/>
                <w14:textFill>
                  <w14:solidFill>
                    <w14:schemeClr w14:val="tx1"/>
                  </w14:solidFill>
                </w14:textFill>
              </w:rPr>
              <w:t>3</w:t>
            </w:r>
            <w:r>
              <w:rPr>
                <w:rFonts w:hint="default" w:ascii="Times New Roman" w:hAnsi="Times New Roman" w:cs="Times New Roman"/>
                <w:bCs/>
                <w:color w:val="000000" w:themeColor="text1"/>
                <w:sz w:val="24"/>
                <w:szCs w:val="24"/>
                <w:lang w:eastAsia="zh-CN" w:bidi="en-US"/>
                <w14:textFill>
                  <w14:solidFill>
                    <w14:schemeClr w14:val="tx1"/>
                  </w14:solidFill>
                </w14:textFill>
              </w:rPr>
              <w:t>。</w:t>
            </w:r>
            <w:r>
              <w:rPr>
                <w:rFonts w:hint="default" w:ascii="Times New Roman" w:hAnsi="Times New Roman" w:cs="Times New Roman"/>
                <w:bCs/>
                <w:color w:val="000000" w:themeColor="text1"/>
                <w:sz w:val="24"/>
                <w:szCs w:val="24"/>
                <w:lang w:bidi="en-US"/>
                <w14:textFill>
                  <w14:solidFill>
                    <w14:schemeClr w14:val="tx1"/>
                  </w14:solidFill>
                </w14:textFill>
              </w:rPr>
              <w:t>废气</w:t>
            </w:r>
            <w:r>
              <w:rPr>
                <w:rFonts w:hint="default" w:ascii="Times New Roman" w:hAnsi="Times New Roman" w:cs="Times New Roman"/>
                <w:bCs/>
                <w:color w:val="000000" w:themeColor="text1"/>
                <w:sz w:val="24"/>
                <w:szCs w:val="24"/>
                <w:lang w:val="en-US" w:eastAsia="zh-CN" w:bidi="en-US"/>
                <w14:textFill>
                  <w14:solidFill>
                    <w14:schemeClr w14:val="tx1"/>
                  </w14:solidFill>
                </w14:textFill>
              </w:rPr>
              <w:t>中颗粒物有组织</w:t>
            </w:r>
            <w:r>
              <w:rPr>
                <w:rFonts w:hint="default" w:ascii="Times New Roman" w:hAnsi="Times New Roman" w:cs="Times New Roman"/>
                <w:bCs/>
                <w:color w:val="000000" w:themeColor="text1"/>
                <w:sz w:val="24"/>
                <w:szCs w:val="24"/>
                <w:lang w:bidi="en-US"/>
                <w14:textFill>
                  <w14:solidFill>
                    <w14:schemeClr w14:val="tx1"/>
                  </w14:solidFill>
                </w14:textFill>
              </w:rPr>
              <w:t>排放满足</w:t>
            </w:r>
            <w:r>
              <w:rPr>
                <w:rFonts w:hint="default" w:ascii="Times New Roman" w:hAnsi="Times New Roman" w:cs="Times New Roman"/>
                <w:color w:val="000000" w:themeColor="text1"/>
                <w:sz w:val="24"/>
                <w:szCs w:val="24"/>
                <w14:textFill>
                  <w14:solidFill>
                    <w14:schemeClr w14:val="tx1"/>
                  </w14:solidFill>
                </w14:textFill>
              </w:rPr>
              <w:t>《大气污染物综合排放标准》（GB16297-1996）中</w:t>
            </w:r>
            <w:r>
              <w:rPr>
                <w:rFonts w:hint="default" w:ascii="Times New Roman" w:hAnsi="Times New Roman" w:cs="Times New Roman"/>
                <w:color w:val="000000" w:themeColor="text1"/>
                <w:sz w:val="24"/>
                <w:szCs w:val="24"/>
                <w:lang w:val="en-US" w:eastAsia="zh-CN"/>
                <w14:textFill>
                  <w14:solidFill>
                    <w14:schemeClr w14:val="tx1"/>
                  </w14:solidFill>
                </w14:textFill>
              </w:rPr>
              <w:t>表2</w:t>
            </w:r>
            <w:r>
              <w:rPr>
                <w:rFonts w:hint="default" w:ascii="Times New Roman" w:hAnsi="Times New Roman" w:cs="Times New Roman"/>
                <w:color w:val="000000" w:themeColor="text1"/>
                <w:sz w:val="24"/>
                <w:szCs w:val="24"/>
                <w14:textFill>
                  <w14:solidFill>
                    <w14:schemeClr w14:val="tx1"/>
                  </w14:solidFill>
                </w14:textFill>
              </w:rPr>
              <w:t>二级标准</w:t>
            </w:r>
            <w:r>
              <w:rPr>
                <w:rFonts w:hint="default" w:ascii="Times New Roman" w:hAnsi="Times New Roman" w:cs="Times New Roman"/>
                <w:color w:val="000000" w:themeColor="text1"/>
                <w:sz w:val="24"/>
                <w:szCs w:val="24"/>
                <w:lang w:eastAsia="zh-CN"/>
                <w14:textFill>
                  <w14:solidFill>
                    <w14:schemeClr w14:val="tx1"/>
                  </w14:solidFill>
                </w14:textFill>
              </w:rPr>
              <w:t>（</w:t>
            </w:r>
            <w:r>
              <w:rPr>
                <w:rFonts w:hint="default" w:ascii="Times New Roman" w:hAnsi="Times New Roman" w:cs="Times New Roman"/>
                <w:color w:val="000000" w:themeColor="text1"/>
                <w:sz w:val="24"/>
                <w:szCs w:val="24"/>
                <w:lang w:val="en-US" w:eastAsia="zh-CN"/>
                <w14:textFill>
                  <w14:solidFill>
                    <w14:schemeClr w14:val="tx1"/>
                  </w14:solidFill>
                </w14:textFill>
              </w:rPr>
              <w:t>颗粒物最大允许排放浓度120</w:t>
            </w:r>
            <w:r>
              <w:rPr>
                <w:rFonts w:hint="default" w:ascii="Times New Roman" w:hAnsi="Times New Roman" w:cs="Times New Roman"/>
                <w:bCs/>
                <w:color w:val="000000" w:themeColor="text1"/>
                <w:sz w:val="24"/>
                <w:szCs w:val="24"/>
                <w:lang w:bidi="en-US"/>
                <w14:textFill>
                  <w14:solidFill>
                    <w14:schemeClr w14:val="tx1"/>
                  </w14:solidFill>
                </w14:textFill>
              </w:rPr>
              <w:t>mg/m</w:t>
            </w:r>
            <w:r>
              <w:rPr>
                <w:rFonts w:hint="default" w:ascii="Times New Roman" w:hAnsi="Times New Roman" w:cs="Times New Roman"/>
                <w:bCs/>
                <w:color w:val="000000" w:themeColor="text1"/>
                <w:sz w:val="24"/>
                <w:szCs w:val="24"/>
                <w:vertAlign w:val="superscript"/>
                <w:lang w:bidi="en-US"/>
                <w14:textFill>
                  <w14:solidFill>
                    <w14:schemeClr w14:val="tx1"/>
                  </w14:solidFill>
                </w14:textFill>
              </w:rPr>
              <w:t>3</w:t>
            </w:r>
            <w:r>
              <w:rPr>
                <w:rFonts w:hint="default" w:ascii="Times New Roman" w:hAnsi="Times New Roman" w:cs="Times New Roman"/>
                <w:bCs/>
                <w:color w:val="000000" w:themeColor="text1"/>
                <w:sz w:val="24"/>
                <w:szCs w:val="24"/>
                <w:lang w:eastAsia="zh-CN" w:bidi="en-US"/>
                <w14:textFill>
                  <w14:solidFill>
                    <w14:schemeClr w14:val="tx1"/>
                  </w14:solidFill>
                </w14:textFill>
              </w:rPr>
              <w:t>，</w:t>
            </w:r>
            <w:r>
              <w:rPr>
                <w:rFonts w:hint="default" w:ascii="Times New Roman" w:hAnsi="Times New Roman" w:cs="Times New Roman"/>
                <w:bCs/>
                <w:color w:val="000000" w:themeColor="text1"/>
                <w:sz w:val="24"/>
                <w:szCs w:val="24"/>
                <w:lang w:val="en-US" w:eastAsia="zh-CN" w:bidi="en-US"/>
                <w14:textFill>
                  <w14:solidFill>
                    <w14:schemeClr w14:val="tx1"/>
                  </w14:solidFill>
                </w14:textFill>
              </w:rPr>
              <w:t>最大允许排放速率3.5kg/h</w:t>
            </w:r>
            <w:r>
              <w:rPr>
                <w:rFonts w:hint="default" w:ascii="Times New Roman" w:hAnsi="Times New Roman" w:cs="Times New Roman"/>
                <w:color w:val="000000" w:themeColor="text1"/>
                <w:sz w:val="24"/>
                <w:szCs w:val="24"/>
                <w:lang w:eastAsia="zh-CN"/>
                <w14:textFill>
                  <w14:solidFill>
                    <w14:schemeClr w14:val="tx1"/>
                  </w14:solidFill>
                </w14:textFill>
              </w:rPr>
              <w:t>）</w:t>
            </w:r>
            <w:r>
              <w:rPr>
                <w:rFonts w:hint="default" w:ascii="Times New Roman" w:hAnsi="Times New Roman" w:cs="Times New Roman"/>
                <w:color w:val="000000" w:themeColor="text1"/>
                <w:sz w:val="24"/>
                <w:szCs w:val="24"/>
                <w:lang w:val="en-US" w:eastAsia="zh-CN"/>
                <w14:textFill>
                  <w14:solidFill>
                    <w14:schemeClr w14:val="tx1"/>
                  </w14:solidFill>
                </w14:textFill>
              </w:rPr>
              <w:t>以及</w:t>
            </w:r>
            <w:r>
              <w:rPr>
                <w:rFonts w:hint="default" w:ascii="Times New Roman" w:hAnsi="Times New Roman" w:cs="Times New Roman"/>
                <w:b w:val="0"/>
                <w:bCs w:val="0"/>
                <w:color w:val="000000" w:themeColor="text1"/>
                <w:sz w:val="24"/>
                <w:szCs w:val="24"/>
                <w:u w:val="none" w:color="auto"/>
                <w14:textFill>
                  <w14:solidFill>
                    <w14:schemeClr w14:val="tx1"/>
                  </w14:solidFill>
                </w14:textFill>
              </w:rPr>
              <w:t>《河南省重污染天气通用行业应急减排措施制定技术指南（202</w:t>
            </w:r>
            <w:r>
              <w:rPr>
                <w:rFonts w:hint="default" w:ascii="Times New Roman" w:hAnsi="Times New Roman" w:cs="Times New Roman"/>
                <w:b w:val="0"/>
                <w:bCs w:val="0"/>
                <w:color w:val="000000" w:themeColor="text1"/>
                <w:sz w:val="24"/>
                <w:szCs w:val="24"/>
                <w:u w:val="none" w:color="auto"/>
                <w:lang w:val="en-US" w:eastAsia="zh-CN"/>
                <w14:textFill>
                  <w14:solidFill>
                    <w14:schemeClr w14:val="tx1"/>
                  </w14:solidFill>
                </w14:textFill>
              </w:rPr>
              <w:t>4</w:t>
            </w:r>
            <w:r>
              <w:rPr>
                <w:rFonts w:hint="default" w:ascii="Times New Roman" w:hAnsi="Times New Roman" w:cs="Times New Roman"/>
                <w:b w:val="0"/>
                <w:bCs w:val="0"/>
                <w:color w:val="000000" w:themeColor="text1"/>
                <w:sz w:val="24"/>
                <w:szCs w:val="24"/>
                <w:u w:val="none" w:color="auto"/>
                <w14:textFill>
                  <w14:solidFill>
                    <w14:schemeClr w14:val="tx1"/>
                  </w14:solidFill>
                </w14:textFill>
              </w:rPr>
              <w:t>年修订版)》</w:t>
            </w:r>
            <w:r>
              <w:rPr>
                <w:rFonts w:hint="default" w:ascii="Times New Roman" w:hAnsi="Times New Roman" w:cs="Times New Roman"/>
                <w:b w:val="0"/>
                <w:bCs w:val="0"/>
                <w:color w:val="000000" w:themeColor="text1"/>
                <w:sz w:val="24"/>
                <w:szCs w:val="24"/>
                <w:u w:val="none" w:color="auto"/>
                <w:lang w:val="en-US" w:eastAsia="zh-CN"/>
                <w14:textFill>
                  <w14:solidFill>
                    <w14:schemeClr w14:val="tx1"/>
                  </w14:solidFill>
                </w14:textFill>
              </w:rPr>
              <w:t>中</w:t>
            </w:r>
            <w:r>
              <w:rPr>
                <w:rFonts w:hint="default" w:ascii="Times New Roman" w:hAnsi="Times New Roman" w:cs="Times New Roman"/>
                <w:b w:val="0"/>
                <w:bCs w:val="0"/>
                <w:color w:val="000000" w:themeColor="text1"/>
                <w:sz w:val="24"/>
                <w:szCs w:val="24"/>
                <w:u w:val="none"/>
                <w:lang w:val="en-US" w:eastAsia="zh-CN"/>
                <w14:textFill>
                  <w14:solidFill>
                    <w14:schemeClr w14:val="tx1"/>
                  </w14:solidFill>
                </w14:textFill>
              </w:rPr>
              <w:t>通用</w:t>
            </w:r>
            <w:r>
              <w:rPr>
                <w:rFonts w:hint="default" w:ascii="Times New Roman" w:hAnsi="Times New Roman" w:cs="Times New Roman"/>
                <w:b w:val="0"/>
                <w:bCs w:val="0"/>
                <w:color w:val="000000" w:themeColor="text1"/>
                <w:sz w:val="24"/>
                <w:szCs w:val="24"/>
                <w:u w:val="none"/>
                <w14:textFill>
                  <w14:solidFill>
                    <w14:schemeClr w14:val="tx1"/>
                  </w14:solidFill>
                </w14:textFill>
              </w:rPr>
              <w:t>涉</w:t>
            </w:r>
            <w:r>
              <w:rPr>
                <w:rFonts w:hint="default" w:ascii="Times New Roman" w:hAnsi="Times New Roman" w:cs="Times New Roman"/>
                <w:b w:val="0"/>
                <w:bCs w:val="0"/>
                <w:color w:val="000000" w:themeColor="text1"/>
                <w:sz w:val="24"/>
                <w:szCs w:val="24"/>
                <w:u w:val="none"/>
                <w:lang w:val="en-US" w:eastAsia="zh-CN"/>
                <w14:textFill>
                  <w14:solidFill>
                    <w14:schemeClr w14:val="tx1"/>
                  </w14:solidFill>
                </w14:textFill>
              </w:rPr>
              <w:t>PM</w:t>
            </w:r>
            <w:r>
              <w:rPr>
                <w:rFonts w:hint="default" w:ascii="Times New Roman" w:hAnsi="Times New Roman" w:cs="Times New Roman"/>
                <w:b w:val="0"/>
                <w:bCs w:val="0"/>
                <w:color w:val="000000" w:themeColor="text1"/>
                <w:sz w:val="24"/>
                <w:szCs w:val="24"/>
                <w:u w:val="none"/>
                <w14:textFill>
                  <w14:solidFill>
                    <w14:schemeClr w14:val="tx1"/>
                  </w14:solidFill>
                </w14:textFill>
              </w:rPr>
              <w:t>企业</w:t>
            </w:r>
            <w:r>
              <w:rPr>
                <w:rFonts w:hint="default" w:ascii="Times New Roman" w:hAnsi="Times New Roman" w:cs="Times New Roman"/>
                <w:b w:val="0"/>
                <w:bCs w:val="0"/>
                <w:color w:val="000000" w:themeColor="text1"/>
                <w:sz w:val="24"/>
                <w:szCs w:val="24"/>
                <w:u w:val="none" w:color="auto"/>
                <w:lang w:val="en-US" w:eastAsia="zh-CN"/>
                <w14:textFill>
                  <w14:solidFill>
                    <w14:schemeClr w14:val="tx1"/>
                  </w14:solidFill>
                </w14:textFill>
              </w:rPr>
              <w:t>“</w:t>
            </w:r>
            <w:r>
              <w:rPr>
                <w:rFonts w:hint="default" w:ascii="Times New Roman" w:hAnsi="Times New Roman" w:cs="Times New Roman"/>
                <w:b w:val="0"/>
                <w:bCs w:val="0"/>
                <w:color w:val="000000" w:themeColor="text1"/>
                <w:sz w:val="24"/>
                <w:szCs w:val="24"/>
                <w:u w:val="none"/>
                <w:lang w:val="en-US" w:eastAsia="zh-CN"/>
                <w14:textFill>
                  <w14:solidFill>
                    <w14:schemeClr w14:val="tx1"/>
                  </w14:solidFill>
                </w14:textFill>
              </w:rPr>
              <w:t>PM排放限值不高于10mg/m</w:t>
            </w:r>
            <w:r>
              <w:rPr>
                <w:rFonts w:hint="default" w:ascii="Times New Roman" w:hAnsi="Times New Roman" w:cs="Times New Roman"/>
                <w:b w:val="0"/>
                <w:bCs w:val="0"/>
                <w:color w:val="000000" w:themeColor="text1"/>
                <w:sz w:val="24"/>
                <w:szCs w:val="24"/>
                <w:u w:val="none"/>
                <w:vertAlign w:val="superscript"/>
                <w:lang w:val="en-US" w:eastAsia="zh-CN"/>
                <w14:textFill>
                  <w14:solidFill>
                    <w14:schemeClr w14:val="tx1"/>
                  </w14:solidFill>
                </w14:textFill>
              </w:rPr>
              <w:t>3</w:t>
            </w:r>
            <w:r>
              <w:rPr>
                <w:rFonts w:hint="default" w:ascii="Times New Roman" w:hAnsi="Times New Roman" w:cs="Times New Roman"/>
                <w:b w:val="0"/>
                <w:bCs w:val="0"/>
                <w:color w:val="000000" w:themeColor="text1"/>
                <w:sz w:val="24"/>
                <w:szCs w:val="24"/>
                <w:u w:val="none" w:color="auto"/>
                <w:lang w:val="en-US" w:eastAsia="zh-CN"/>
                <w14:textFill>
                  <w14:solidFill>
                    <w14:schemeClr w14:val="tx1"/>
                  </w14:solidFill>
                </w14:textFill>
              </w:rPr>
              <w:t>”</w:t>
            </w:r>
            <w:r>
              <w:rPr>
                <w:rFonts w:hint="default" w:ascii="Times New Roman" w:hAnsi="Times New Roman" w:cs="Times New Roman"/>
                <w:b w:val="0"/>
                <w:bCs w:val="0"/>
                <w:color w:val="000000" w:themeColor="text1"/>
                <w:sz w:val="24"/>
                <w:szCs w:val="24"/>
                <w:lang w:bidi="en-US"/>
                <w14:textFill>
                  <w14:solidFill>
                    <w14:schemeClr w14:val="tx1"/>
                  </w14:solidFill>
                </w14:textFill>
              </w:rPr>
              <w:t>。</w:t>
            </w:r>
            <w:r>
              <w:rPr>
                <w:rFonts w:hint="default" w:ascii="Times New Roman" w:hAnsi="Times New Roman" w:cs="Times New Roman"/>
                <w:bCs/>
                <w:color w:val="000000" w:themeColor="text1"/>
                <w:sz w:val="24"/>
                <w:szCs w:val="24"/>
                <w:lang w:bidi="en-US"/>
                <w14:textFill>
                  <w14:solidFill>
                    <w14:schemeClr w14:val="tx1"/>
                  </w14:solidFill>
                </w14:textFill>
              </w:rPr>
              <w:t>未被收集到的粉</w:t>
            </w:r>
            <w:r>
              <w:rPr>
                <w:rFonts w:hint="default" w:ascii="Times New Roman" w:hAnsi="Times New Roman" w:cs="Times New Roman"/>
                <w:bCs/>
                <w:color w:val="000000" w:themeColor="text1"/>
                <w:sz w:val="24"/>
                <w:lang w:bidi="en-US"/>
                <w14:textFill>
                  <w14:solidFill>
                    <w14:schemeClr w14:val="tx1"/>
                  </w14:solidFill>
                </w14:textFill>
              </w:rPr>
              <w:t>尘以无组织形式排放，项目无组织形式粉尘量为</w:t>
            </w:r>
            <w:r>
              <w:rPr>
                <w:rFonts w:hint="default" w:ascii="Times New Roman" w:hAnsi="Times New Roman" w:cs="Times New Roman"/>
                <w:bCs/>
                <w:color w:val="000000" w:themeColor="text1"/>
                <w:sz w:val="24"/>
                <w:lang w:val="en-US" w:eastAsia="zh-CN" w:bidi="en-US"/>
                <w14:textFill>
                  <w14:solidFill>
                    <w14:schemeClr w14:val="tx1"/>
                  </w14:solidFill>
                </w14:textFill>
              </w:rPr>
              <w:t>0.0</w:t>
            </w:r>
            <w:r>
              <w:rPr>
                <w:rFonts w:hint="eastAsia" w:ascii="Times New Roman" w:hAnsi="Times New Roman" w:cs="Times New Roman"/>
                <w:bCs/>
                <w:color w:val="000000" w:themeColor="text1"/>
                <w:sz w:val="24"/>
                <w:lang w:val="en-US" w:eastAsia="zh-CN" w:bidi="en-US"/>
                <w14:textFill>
                  <w14:solidFill>
                    <w14:schemeClr w14:val="tx1"/>
                  </w14:solidFill>
                </w14:textFill>
              </w:rPr>
              <w:t>63</w:t>
            </w:r>
            <w:r>
              <w:rPr>
                <w:rFonts w:hint="default" w:ascii="Times New Roman" w:hAnsi="Times New Roman" w:cs="Times New Roman"/>
                <w:bCs/>
                <w:color w:val="000000" w:themeColor="text1"/>
                <w:sz w:val="24"/>
                <w:lang w:bidi="en-US"/>
                <w14:textFill>
                  <w14:solidFill>
                    <w14:schemeClr w14:val="tx1"/>
                  </w14:solidFill>
                </w14:textFill>
              </w:rPr>
              <w:t>t/a，</w:t>
            </w:r>
            <w:r>
              <w:rPr>
                <w:rFonts w:hint="default" w:ascii="Times New Roman" w:hAnsi="Times New Roman" w:cs="Times New Roman"/>
                <w:bCs/>
                <w:color w:val="000000" w:themeColor="text1"/>
                <w:sz w:val="24"/>
                <w:highlight w:val="none"/>
                <w:lang w:val="en-US" w:eastAsia="zh-CN" w:bidi="en-US"/>
                <w14:textFill>
                  <w14:solidFill>
                    <w14:schemeClr w14:val="tx1"/>
                  </w14:solidFill>
                </w14:textFill>
              </w:rPr>
              <w:t>0.</w:t>
            </w:r>
            <w:r>
              <w:rPr>
                <w:rFonts w:hint="eastAsia" w:ascii="Times New Roman" w:hAnsi="Times New Roman" w:cs="Times New Roman"/>
                <w:bCs/>
                <w:color w:val="000000" w:themeColor="text1"/>
                <w:sz w:val="24"/>
                <w:highlight w:val="none"/>
                <w:lang w:val="en-US" w:eastAsia="zh-CN" w:bidi="en-US"/>
                <w14:textFill>
                  <w14:solidFill>
                    <w14:schemeClr w14:val="tx1"/>
                  </w14:solidFill>
                </w14:textFill>
              </w:rPr>
              <w:t>441</w:t>
            </w:r>
            <w:r>
              <w:rPr>
                <w:rFonts w:hint="default" w:ascii="Times New Roman" w:hAnsi="Times New Roman" w:cs="Times New Roman"/>
                <w:bCs/>
                <w:color w:val="000000" w:themeColor="text1"/>
                <w:sz w:val="24"/>
                <w:highlight w:val="none"/>
                <w:lang w:bidi="en-US"/>
                <w14:textFill>
                  <w14:solidFill>
                    <w14:schemeClr w14:val="tx1"/>
                  </w14:solidFill>
                </w14:textFill>
              </w:rPr>
              <w:t>kg/h。</w:t>
            </w:r>
          </w:p>
          <w:p w14:paraId="079F9FAF">
            <w:pPr>
              <w:pStyle w:val="50"/>
              <w:keepNext w:val="0"/>
              <w:keepLines w:val="0"/>
              <w:suppressLineNumbers w:val="0"/>
              <w:spacing w:before="0" w:beforeAutospacing="0" w:after="0" w:afterAutospacing="0"/>
              <w:ind w:left="0" w:right="0" w:firstLine="48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综上，该生产线粉尘产排情况如下：</w:t>
            </w:r>
          </w:p>
          <w:p w14:paraId="6E333B66">
            <w:pPr>
              <w:pStyle w:val="50"/>
              <w:keepNext w:val="0"/>
              <w:keepLines w:val="0"/>
              <w:suppressLineNumbers w:val="0"/>
              <w:spacing w:before="0" w:beforeAutospacing="0" w:after="0" w:afterAutospacing="0"/>
              <w:ind w:left="0" w:right="0" w:firstLine="480"/>
              <w:jc w:val="center"/>
              <w:rPr>
                <w:rFonts w:hint="eastAsia"/>
                <w:b/>
                <w:bCs/>
                <w:color w:val="000000" w:themeColor="text1"/>
                <w:highlight w:val="none"/>
                <w:lang w:val="en-US" w:eastAsia="zh-CN"/>
                <w14:textFill>
                  <w14:solidFill>
                    <w14:schemeClr w14:val="tx1"/>
                  </w14:solidFill>
                </w14:textFill>
              </w:rPr>
            </w:pPr>
            <w:r>
              <w:rPr>
                <w:rFonts w:hint="eastAsia"/>
                <w:b/>
                <w:bCs/>
                <w:color w:val="000000" w:themeColor="text1"/>
                <w:highlight w:val="none"/>
                <w:lang w:val="en-US" w:eastAsia="zh-CN"/>
                <w14:textFill>
                  <w14:solidFill>
                    <w14:schemeClr w14:val="tx1"/>
                  </w14:solidFill>
                </w14:textFill>
              </w:rPr>
              <w:t>表4-7  生物质颗粒生产线粉尘产生及排放情况一览表</w:t>
            </w:r>
          </w:p>
          <w:tbl>
            <w:tblPr>
              <w:tblStyle w:val="62"/>
              <w:tblW w:w="4996"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560"/>
              <w:gridCol w:w="1219"/>
              <w:gridCol w:w="893"/>
              <w:gridCol w:w="893"/>
              <w:gridCol w:w="1079"/>
              <w:gridCol w:w="1079"/>
              <w:gridCol w:w="894"/>
              <w:gridCol w:w="894"/>
              <w:gridCol w:w="894"/>
              <w:gridCol w:w="894"/>
            </w:tblGrid>
            <w:tr w14:paraId="76598FF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956" w:type="pct"/>
                  <w:gridSpan w:val="2"/>
                  <w:tcBorders>
                    <w:top w:val="single" w:color="auto" w:sz="4" w:space="0"/>
                    <w:left w:val="single" w:color="auto" w:sz="0" w:space="0"/>
                    <w:bottom w:val="single" w:color="auto" w:sz="4" w:space="0"/>
                    <w:right w:val="single" w:color="auto" w:sz="4" w:space="0"/>
                  </w:tcBorders>
                  <w:vAlign w:val="center"/>
                </w:tcPr>
                <w:p w14:paraId="3D191E65">
                  <w:pPr>
                    <w:pStyle w:val="61"/>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default" w:ascii="Times New Roman" w:hAnsi="Times New Roman" w:cs="Times New Roman"/>
                      <w:color w:val="000000" w:themeColor="text1"/>
                      <w:sz w:val="21"/>
                      <w:szCs w:val="21"/>
                      <w:u w:val="none"/>
                      <w:lang w:val="en-US" w:eastAsia="zh-CN"/>
                      <w14:textFill>
                        <w14:solidFill>
                          <w14:schemeClr w14:val="tx1"/>
                        </w14:solidFill>
                      </w14:textFill>
                    </w:rPr>
                    <w:t>工序</w:t>
                  </w:r>
                </w:p>
              </w:tc>
              <w:tc>
                <w:tcPr>
                  <w:tcW w:w="480" w:type="pct"/>
                  <w:tcBorders>
                    <w:top w:val="single" w:color="auto" w:sz="4" w:space="0"/>
                    <w:left w:val="single" w:color="auto" w:sz="0" w:space="0"/>
                    <w:bottom w:val="single" w:color="auto" w:sz="4" w:space="0"/>
                    <w:right w:val="single" w:color="auto" w:sz="4" w:space="0"/>
                  </w:tcBorders>
                  <w:vAlign w:val="center"/>
                </w:tcPr>
                <w:p w14:paraId="39A08D02">
                  <w:pPr>
                    <w:pStyle w:val="61"/>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default" w:ascii="Times New Roman" w:hAnsi="Times New Roman" w:cs="Times New Roman"/>
                      <w:color w:val="000000" w:themeColor="text1"/>
                      <w:sz w:val="21"/>
                      <w:szCs w:val="21"/>
                      <w:u w:val="none"/>
                      <w:lang w:val="en-US" w:eastAsia="zh-CN"/>
                      <w14:textFill>
                        <w14:solidFill>
                          <w14:schemeClr w14:val="tx1"/>
                        </w14:solidFill>
                      </w14:textFill>
                    </w:rPr>
                    <w:t>类型</w:t>
                  </w:r>
                </w:p>
              </w:tc>
              <w:tc>
                <w:tcPr>
                  <w:tcW w:w="480" w:type="pct"/>
                  <w:tcBorders>
                    <w:top w:val="single" w:color="auto" w:sz="4" w:space="0"/>
                    <w:left w:val="single" w:color="auto" w:sz="4" w:space="0"/>
                    <w:bottom w:val="single" w:color="auto" w:sz="4" w:space="0"/>
                    <w:right w:val="single" w:color="auto" w:sz="4" w:space="0"/>
                  </w:tcBorders>
                  <w:vAlign w:val="center"/>
                </w:tcPr>
                <w:p w14:paraId="69767096">
                  <w:pPr>
                    <w:pStyle w:val="61"/>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sz w:val="21"/>
                      <w:szCs w:val="21"/>
                      <w:u w:val="none"/>
                      <w14:textFill>
                        <w14:solidFill>
                          <w14:schemeClr w14:val="tx1"/>
                        </w14:solidFill>
                      </w14:textFill>
                    </w:rPr>
                  </w:pPr>
                  <w:r>
                    <w:rPr>
                      <w:rFonts w:hint="default" w:ascii="Times New Roman" w:hAnsi="Times New Roman" w:cs="Times New Roman"/>
                      <w:color w:val="000000" w:themeColor="text1"/>
                      <w:sz w:val="21"/>
                      <w:szCs w:val="21"/>
                      <w:u w:val="none"/>
                      <w14:textFill>
                        <w14:solidFill>
                          <w14:schemeClr w14:val="tx1"/>
                        </w14:solidFill>
                      </w14:textFill>
                    </w:rPr>
                    <w:t>产生量</w:t>
                  </w:r>
                </w:p>
                <w:p w14:paraId="39FBA2FE">
                  <w:pPr>
                    <w:pStyle w:val="61"/>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sz w:val="21"/>
                      <w:szCs w:val="21"/>
                      <w:u w:val="none"/>
                      <w14:textFill>
                        <w14:solidFill>
                          <w14:schemeClr w14:val="tx1"/>
                        </w14:solidFill>
                      </w14:textFill>
                    </w:rPr>
                  </w:pPr>
                  <w:r>
                    <w:rPr>
                      <w:rFonts w:hint="default" w:ascii="Times New Roman" w:hAnsi="Times New Roman" w:cs="Times New Roman"/>
                      <w:color w:val="000000" w:themeColor="text1"/>
                      <w:sz w:val="21"/>
                      <w:szCs w:val="21"/>
                      <w:u w:val="none"/>
                      <w:lang w:val="en-US" w:eastAsia="zh-CN"/>
                      <w14:textFill>
                        <w14:solidFill>
                          <w14:schemeClr w14:val="tx1"/>
                        </w14:solidFill>
                      </w14:textFill>
                    </w:rPr>
                    <w:t>t/a</w:t>
                  </w:r>
                </w:p>
              </w:tc>
              <w:tc>
                <w:tcPr>
                  <w:tcW w:w="580" w:type="pct"/>
                  <w:tcBorders>
                    <w:top w:val="single" w:color="auto" w:sz="4" w:space="0"/>
                    <w:left w:val="single" w:color="auto" w:sz="4" w:space="0"/>
                    <w:bottom w:val="single" w:color="auto" w:sz="4" w:space="0"/>
                    <w:right w:val="single" w:color="auto" w:sz="4" w:space="0"/>
                  </w:tcBorders>
                  <w:vAlign w:val="center"/>
                </w:tcPr>
                <w:p w14:paraId="1A72B538">
                  <w:pPr>
                    <w:pStyle w:val="61"/>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sz w:val="21"/>
                      <w:szCs w:val="21"/>
                      <w:u w:val="none"/>
                      <w:lang w:val="en-US" w:eastAsia="zh-CN"/>
                      <w14:textFill>
                        <w14:solidFill>
                          <w14:schemeClr w14:val="tx1"/>
                        </w14:solidFill>
                      </w14:textFill>
                    </w:rPr>
                  </w:pPr>
                  <w:r>
                    <w:rPr>
                      <w:rFonts w:hint="default" w:ascii="Times New Roman" w:hAnsi="Times New Roman" w:cs="Times New Roman"/>
                      <w:color w:val="000000" w:themeColor="text1"/>
                      <w:sz w:val="21"/>
                      <w:szCs w:val="21"/>
                      <w:u w:val="none"/>
                      <w:lang w:val="en-US" w:eastAsia="zh-CN"/>
                      <w14:textFill>
                        <w14:solidFill>
                          <w14:schemeClr w14:val="tx1"/>
                        </w14:solidFill>
                      </w14:textFill>
                    </w:rPr>
                    <w:t>产生速率kg/h</w:t>
                  </w:r>
                </w:p>
              </w:tc>
              <w:tc>
                <w:tcPr>
                  <w:tcW w:w="580" w:type="pct"/>
                  <w:tcBorders>
                    <w:top w:val="single" w:color="auto" w:sz="4" w:space="0"/>
                    <w:left w:val="single" w:color="auto" w:sz="4" w:space="0"/>
                    <w:bottom w:val="single" w:color="auto" w:sz="4" w:space="0"/>
                    <w:right w:val="single" w:color="auto" w:sz="4" w:space="0"/>
                  </w:tcBorders>
                  <w:vAlign w:val="center"/>
                </w:tcPr>
                <w:p w14:paraId="623C9885">
                  <w:pPr>
                    <w:pStyle w:val="61"/>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sz w:val="21"/>
                      <w:szCs w:val="21"/>
                      <w:u w:val="none"/>
                      <w14:textFill>
                        <w14:solidFill>
                          <w14:schemeClr w14:val="tx1"/>
                        </w14:solidFill>
                      </w14:textFill>
                    </w:rPr>
                  </w:pPr>
                  <w:r>
                    <w:rPr>
                      <w:rFonts w:hint="default" w:ascii="Times New Roman" w:hAnsi="Times New Roman" w:cs="Times New Roman"/>
                      <w:color w:val="000000" w:themeColor="text1"/>
                      <w:sz w:val="21"/>
                      <w:szCs w:val="21"/>
                      <w:u w:val="none"/>
                      <w14:textFill>
                        <w14:solidFill>
                          <w14:schemeClr w14:val="tx1"/>
                        </w14:solidFill>
                      </w14:textFill>
                    </w:rPr>
                    <w:t>产生浓度</w:t>
                  </w:r>
                  <w:r>
                    <w:rPr>
                      <w:rFonts w:hint="default" w:ascii="Times New Roman" w:hAnsi="Times New Roman" w:eastAsia="等线" w:cs="Times New Roman"/>
                      <w:color w:val="000000" w:themeColor="text1"/>
                      <w:sz w:val="21"/>
                      <w:szCs w:val="21"/>
                      <w:u w:val="none"/>
                      <w14:textFill>
                        <w14:solidFill>
                          <w14:schemeClr w14:val="tx1"/>
                        </w14:solidFill>
                      </w14:textFill>
                    </w:rPr>
                    <w:t>mg/m</w:t>
                  </w:r>
                  <w:r>
                    <w:rPr>
                      <w:rFonts w:hint="default" w:ascii="Times New Roman" w:hAnsi="Times New Roman" w:eastAsia="等线" w:cs="Times New Roman"/>
                      <w:color w:val="000000" w:themeColor="text1"/>
                      <w:sz w:val="21"/>
                      <w:szCs w:val="21"/>
                      <w:u w:val="none"/>
                      <w:vertAlign w:val="superscript"/>
                      <w14:textFill>
                        <w14:solidFill>
                          <w14:schemeClr w14:val="tx1"/>
                        </w14:solidFill>
                      </w14:textFill>
                    </w:rPr>
                    <w:t>3</w:t>
                  </w:r>
                </w:p>
              </w:tc>
              <w:tc>
                <w:tcPr>
                  <w:tcW w:w="480" w:type="pct"/>
                  <w:tcBorders>
                    <w:top w:val="single" w:color="auto" w:sz="4" w:space="0"/>
                    <w:left w:val="single" w:color="auto" w:sz="4" w:space="0"/>
                    <w:bottom w:val="single" w:color="auto" w:sz="4" w:space="0"/>
                    <w:right w:val="single" w:color="auto" w:sz="4" w:space="0"/>
                  </w:tcBorders>
                  <w:vAlign w:val="center"/>
                </w:tcPr>
                <w:p w14:paraId="5FF127D8">
                  <w:pPr>
                    <w:pStyle w:val="61"/>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default" w:ascii="Times New Roman" w:hAnsi="Times New Roman" w:cs="Times New Roman"/>
                      <w:color w:val="000000" w:themeColor="text1"/>
                      <w:sz w:val="21"/>
                      <w:szCs w:val="21"/>
                      <w:u w:val="none"/>
                      <w:lang w:val="en-US" w:eastAsia="zh-CN"/>
                      <w14:textFill>
                        <w14:solidFill>
                          <w14:schemeClr w14:val="tx1"/>
                        </w14:solidFill>
                      </w14:textFill>
                    </w:rPr>
                    <w:t>处理措施</w:t>
                  </w:r>
                </w:p>
              </w:tc>
              <w:tc>
                <w:tcPr>
                  <w:tcW w:w="480" w:type="pct"/>
                  <w:tcBorders>
                    <w:top w:val="single" w:color="auto" w:sz="4" w:space="0"/>
                    <w:left w:val="single" w:color="auto" w:sz="4" w:space="0"/>
                    <w:bottom w:val="single" w:color="auto" w:sz="4" w:space="0"/>
                    <w:right w:val="single" w:color="auto" w:sz="4" w:space="0"/>
                  </w:tcBorders>
                  <w:vAlign w:val="center"/>
                </w:tcPr>
                <w:p w14:paraId="1742ECA4">
                  <w:pPr>
                    <w:pStyle w:val="61"/>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sz w:val="21"/>
                      <w:szCs w:val="21"/>
                      <w:u w:val="none"/>
                      <w14:textFill>
                        <w14:solidFill>
                          <w14:schemeClr w14:val="tx1"/>
                        </w14:solidFill>
                      </w14:textFill>
                    </w:rPr>
                  </w:pPr>
                  <w:r>
                    <w:rPr>
                      <w:rFonts w:hint="default" w:ascii="Times New Roman" w:hAnsi="Times New Roman" w:cs="Times New Roman"/>
                      <w:color w:val="000000" w:themeColor="text1"/>
                      <w:sz w:val="21"/>
                      <w:szCs w:val="21"/>
                      <w:u w:val="none"/>
                      <w14:textFill>
                        <w14:solidFill>
                          <w14:schemeClr w14:val="tx1"/>
                        </w14:solidFill>
                      </w14:textFill>
                    </w:rPr>
                    <w:t>排放量</w:t>
                  </w:r>
                  <w:r>
                    <w:rPr>
                      <w:rFonts w:hint="default" w:ascii="Times New Roman" w:hAnsi="Times New Roman" w:cs="Times New Roman"/>
                      <w:color w:val="000000" w:themeColor="text1"/>
                      <w:sz w:val="21"/>
                      <w:szCs w:val="21"/>
                      <w:u w:val="none"/>
                      <w:lang w:val="en-US" w:eastAsia="zh-CN"/>
                      <w14:textFill>
                        <w14:solidFill>
                          <w14:schemeClr w14:val="tx1"/>
                        </w14:solidFill>
                      </w14:textFill>
                    </w:rPr>
                    <w:t>t/a</w:t>
                  </w:r>
                </w:p>
              </w:tc>
              <w:tc>
                <w:tcPr>
                  <w:tcW w:w="480" w:type="pct"/>
                  <w:tcBorders>
                    <w:top w:val="single" w:color="auto" w:sz="4" w:space="0"/>
                    <w:left w:val="single" w:color="auto" w:sz="4" w:space="0"/>
                    <w:bottom w:val="single" w:color="auto" w:sz="4" w:space="0"/>
                    <w:right w:val="single" w:color="auto" w:sz="4" w:space="0"/>
                  </w:tcBorders>
                  <w:vAlign w:val="center"/>
                </w:tcPr>
                <w:p w14:paraId="502BD3E0">
                  <w:pPr>
                    <w:pStyle w:val="61"/>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sz w:val="21"/>
                      <w:szCs w:val="21"/>
                      <w:u w:val="none"/>
                      <w14:textFill>
                        <w14:solidFill>
                          <w14:schemeClr w14:val="tx1"/>
                        </w14:solidFill>
                      </w14:textFill>
                    </w:rPr>
                  </w:pPr>
                  <w:r>
                    <w:rPr>
                      <w:rFonts w:hint="default" w:ascii="Times New Roman" w:hAnsi="Times New Roman" w:cs="Times New Roman"/>
                      <w:color w:val="000000" w:themeColor="text1"/>
                      <w:sz w:val="21"/>
                      <w:szCs w:val="21"/>
                      <w:u w:val="none"/>
                      <w:lang w:val="en-US" w:eastAsia="zh-CN"/>
                      <w14:textFill>
                        <w14:solidFill>
                          <w14:schemeClr w14:val="tx1"/>
                        </w14:solidFill>
                      </w14:textFill>
                    </w:rPr>
                    <w:t>排放速率kg/h</w:t>
                  </w:r>
                </w:p>
              </w:tc>
              <w:tc>
                <w:tcPr>
                  <w:tcW w:w="480" w:type="pct"/>
                  <w:tcBorders>
                    <w:top w:val="single" w:color="auto" w:sz="4" w:space="0"/>
                    <w:left w:val="single" w:color="auto" w:sz="4" w:space="0"/>
                    <w:bottom w:val="single" w:color="auto" w:sz="4" w:space="0"/>
                    <w:right w:val="single" w:color="auto" w:sz="4" w:space="0"/>
                  </w:tcBorders>
                  <w:vAlign w:val="center"/>
                </w:tcPr>
                <w:p w14:paraId="48E2B322">
                  <w:pPr>
                    <w:pStyle w:val="61"/>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sz w:val="21"/>
                      <w:szCs w:val="21"/>
                      <w:u w:val="none"/>
                      <w14:textFill>
                        <w14:solidFill>
                          <w14:schemeClr w14:val="tx1"/>
                        </w14:solidFill>
                      </w14:textFill>
                    </w:rPr>
                  </w:pPr>
                  <w:r>
                    <w:rPr>
                      <w:rFonts w:hint="default" w:ascii="Times New Roman" w:hAnsi="Times New Roman" w:cs="Times New Roman"/>
                      <w:color w:val="000000" w:themeColor="text1"/>
                      <w:sz w:val="21"/>
                      <w:szCs w:val="21"/>
                      <w:u w:val="none"/>
                      <w14:textFill>
                        <w14:solidFill>
                          <w14:schemeClr w14:val="tx1"/>
                        </w14:solidFill>
                      </w14:textFill>
                    </w:rPr>
                    <w:t>排放浓度</w:t>
                  </w:r>
                  <w:r>
                    <w:rPr>
                      <w:rFonts w:hint="default" w:ascii="Times New Roman" w:hAnsi="Times New Roman" w:eastAsia="等线" w:cs="Times New Roman"/>
                      <w:color w:val="000000" w:themeColor="text1"/>
                      <w:sz w:val="21"/>
                      <w:szCs w:val="21"/>
                      <w:u w:val="none"/>
                      <w14:textFill>
                        <w14:solidFill>
                          <w14:schemeClr w14:val="tx1"/>
                        </w14:solidFill>
                      </w14:textFill>
                    </w:rPr>
                    <w:t>mg/m</w:t>
                  </w:r>
                  <w:r>
                    <w:rPr>
                      <w:rFonts w:hint="default" w:ascii="Times New Roman" w:hAnsi="Times New Roman" w:eastAsia="等线" w:cs="Times New Roman"/>
                      <w:color w:val="000000" w:themeColor="text1"/>
                      <w:sz w:val="21"/>
                      <w:szCs w:val="21"/>
                      <w:u w:val="none"/>
                      <w:vertAlign w:val="superscript"/>
                      <w14:textFill>
                        <w14:solidFill>
                          <w14:schemeClr w14:val="tx1"/>
                        </w14:solidFill>
                      </w14:textFill>
                    </w:rPr>
                    <w:t>3</w:t>
                  </w:r>
                </w:p>
              </w:tc>
            </w:tr>
            <w:tr w14:paraId="5DDC53E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301" w:type="pct"/>
                  <w:vMerge w:val="restart"/>
                  <w:tcBorders>
                    <w:top w:val="single" w:color="auto" w:sz="4" w:space="0"/>
                    <w:left w:val="single" w:color="auto" w:sz="0" w:space="0"/>
                    <w:right w:val="single" w:color="auto" w:sz="4" w:space="0"/>
                  </w:tcBorders>
                  <w:shd w:val="clear" w:color="auto" w:fill="auto"/>
                  <w:vAlign w:val="center"/>
                </w:tcPr>
                <w:p w14:paraId="1B708CDD">
                  <w:pPr>
                    <w:pStyle w:val="61"/>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cs="Times New Roman"/>
                      <w:color w:val="000000" w:themeColor="text1"/>
                      <w:sz w:val="21"/>
                      <w:szCs w:val="21"/>
                      <w:u w:val="none"/>
                      <w:lang w:val="en-US" w:eastAsia="zh-CN"/>
                      <w14:textFill>
                        <w14:solidFill>
                          <w14:schemeClr w14:val="tx1"/>
                        </w14:solidFill>
                      </w14:textFill>
                    </w:rPr>
                  </w:pPr>
                  <w:r>
                    <w:rPr>
                      <w:rFonts w:hint="default" w:ascii="Times New Roman" w:hAnsi="Times New Roman" w:cs="Times New Roman"/>
                      <w:color w:val="000000" w:themeColor="text1"/>
                      <w:sz w:val="21"/>
                      <w:szCs w:val="21"/>
                      <w:u w:val="none"/>
                      <w:lang w:val="en-US" w:eastAsia="zh-CN"/>
                      <w14:textFill>
                        <w14:solidFill>
                          <w14:schemeClr w14:val="tx1"/>
                        </w14:solidFill>
                      </w14:textFill>
                    </w:rPr>
                    <w:t>有组织</w:t>
                  </w:r>
                </w:p>
              </w:tc>
              <w:tc>
                <w:tcPr>
                  <w:tcW w:w="654" w:type="pct"/>
                  <w:tcBorders>
                    <w:top w:val="single" w:color="auto" w:sz="4" w:space="0"/>
                    <w:left w:val="single" w:color="auto" w:sz="0" w:space="0"/>
                    <w:bottom w:val="single" w:color="auto" w:sz="4" w:space="0"/>
                    <w:right w:val="single" w:color="auto" w:sz="4" w:space="0"/>
                  </w:tcBorders>
                  <w:shd w:val="clear" w:color="auto" w:fill="auto"/>
                  <w:vAlign w:val="center"/>
                </w:tcPr>
                <w:p w14:paraId="202DE2D6">
                  <w:pPr>
                    <w:pStyle w:val="5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0"/>
                      <w:sz w:val="21"/>
                      <w:szCs w:val="21"/>
                      <w:u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破碎</w:t>
                  </w:r>
                  <w:r>
                    <w:rPr>
                      <w:rFonts w:hint="default" w:ascii="Times New Roman" w:hAnsi="Times New Roman" w:cs="Times New Roman"/>
                      <w:color w:val="000000" w:themeColor="text1"/>
                      <w:sz w:val="21"/>
                      <w:szCs w:val="21"/>
                      <w:u w:val="none"/>
                      <w:lang w:val="en-US" w:eastAsia="zh-CN"/>
                      <w14:textFill>
                        <w14:solidFill>
                          <w14:schemeClr w14:val="tx1"/>
                        </w14:solidFill>
                      </w14:textFill>
                    </w:rPr>
                    <w:t>工序</w:t>
                  </w:r>
                </w:p>
              </w:tc>
              <w:tc>
                <w:tcPr>
                  <w:tcW w:w="480" w:type="pct"/>
                  <w:tcBorders>
                    <w:top w:val="single" w:color="auto" w:sz="4" w:space="0"/>
                    <w:left w:val="single" w:color="auto" w:sz="0" w:space="0"/>
                    <w:bottom w:val="single" w:color="auto" w:sz="4" w:space="0"/>
                    <w:right w:val="single" w:color="auto" w:sz="4" w:space="0"/>
                  </w:tcBorders>
                  <w:shd w:val="clear" w:color="auto" w:fill="auto"/>
                  <w:vAlign w:val="center"/>
                </w:tcPr>
                <w:p w14:paraId="1985C41E">
                  <w:pPr>
                    <w:pStyle w:val="61"/>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color w:val="000000" w:themeColor="text1"/>
                      <w:kern w:val="0"/>
                      <w:sz w:val="21"/>
                      <w:szCs w:val="21"/>
                      <w:u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bidi="ar-SA"/>
                      <w14:textFill>
                        <w14:solidFill>
                          <w14:schemeClr w14:val="tx1"/>
                        </w14:solidFill>
                      </w14:textFill>
                    </w:rPr>
                    <w:t>颗粒物</w:t>
                  </w:r>
                </w:p>
              </w:tc>
              <w:tc>
                <w:tcPr>
                  <w:tcW w:w="480" w:type="pct"/>
                  <w:tcBorders>
                    <w:top w:val="single" w:color="auto" w:sz="4" w:space="0"/>
                    <w:left w:val="single" w:color="auto" w:sz="4" w:space="0"/>
                    <w:bottom w:val="single" w:color="auto" w:sz="4" w:space="0"/>
                    <w:right w:val="single" w:color="auto" w:sz="4" w:space="0"/>
                  </w:tcBorders>
                  <w:shd w:val="clear" w:color="auto" w:fill="auto"/>
                  <w:vAlign w:val="center"/>
                </w:tcPr>
                <w:p w14:paraId="59226E8B">
                  <w:pPr>
                    <w:keepNext w:val="0"/>
                    <w:keepLines w:val="0"/>
                    <w:widowControl/>
                    <w:suppressLineNumbers w:val="0"/>
                    <w:jc w:val="center"/>
                    <w:textAlignment w:val="center"/>
                    <w:rPr>
                      <w:rFonts w:hint="default" w:ascii="Times New Roman" w:hAnsi="Times New Roman" w:eastAsia="等线" w:cs="Times New Roman"/>
                      <w:color w:val="000000" w:themeColor="text1"/>
                      <w:kern w:val="0"/>
                      <w:sz w:val="21"/>
                      <w:szCs w:val="21"/>
                      <w:u w:val="none"/>
                      <w:lang w:val="en-US" w:eastAsia="zh-CN" w:bidi="ar-SA"/>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0.302</w:t>
                  </w:r>
                </w:p>
              </w:tc>
              <w:tc>
                <w:tcPr>
                  <w:tcW w:w="580" w:type="pct"/>
                  <w:tcBorders>
                    <w:top w:val="single" w:color="auto" w:sz="4" w:space="0"/>
                    <w:left w:val="single" w:color="auto" w:sz="4" w:space="0"/>
                    <w:bottom w:val="single" w:color="auto" w:sz="4" w:space="0"/>
                    <w:right w:val="single" w:color="auto" w:sz="4" w:space="0"/>
                  </w:tcBorders>
                  <w:shd w:val="clear" w:color="auto" w:fill="auto"/>
                  <w:vAlign w:val="center"/>
                </w:tcPr>
                <w:p w14:paraId="594AD154">
                  <w:pPr>
                    <w:keepNext w:val="0"/>
                    <w:keepLines w:val="0"/>
                    <w:widowControl/>
                    <w:suppressLineNumbers w:val="0"/>
                    <w:jc w:val="center"/>
                    <w:textAlignment w:val="center"/>
                    <w:rPr>
                      <w:rFonts w:hint="default" w:ascii="Times New Roman" w:hAnsi="Times New Roman" w:eastAsia="等线" w:cs="Times New Roman"/>
                      <w:color w:val="000000" w:themeColor="text1"/>
                      <w:kern w:val="0"/>
                      <w:sz w:val="21"/>
                      <w:szCs w:val="21"/>
                      <w:u w:val="none"/>
                      <w:lang w:val="en-US" w:eastAsia="zh-CN" w:bidi="ar-SA"/>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0.084</w:t>
                  </w:r>
                </w:p>
              </w:tc>
              <w:tc>
                <w:tcPr>
                  <w:tcW w:w="580" w:type="pct"/>
                  <w:tcBorders>
                    <w:top w:val="single" w:color="auto" w:sz="4" w:space="0"/>
                    <w:left w:val="single" w:color="auto" w:sz="4" w:space="0"/>
                    <w:bottom w:val="single" w:color="auto" w:sz="4" w:space="0"/>
                    <w:right w:val="single" w:color="auto" w:sz="4" w:space="0"/>
                  </w:tcBorders>
                  <w:shd w:val="clear" w:color="auto" w:fill="auto"/>
                  <w:vAlign w:val="center"/>
                </w:tcPr>
                <w:p w14:paraId="1491A378">
                  <w:pPr>
                    <w:keepNext w:val="0"/>
                    <w:keepLines w:val="0"/>
                    <w:widowControl/>
                    <w:suppressLineNumbers w:val="0"/>
                    <w:jc w:val="center"/>
                    <w:textAlignment w:val="center"/>
                    <w:rPr>
                      <w:rFonts w:hint="default" w:ascii="Times New Roman" w:hAnsi="Times New Roman" w:eastAsia="等线" w:cs="Times New Roman"/>
                      <w:color w:val="000000" w:themeColor="text1"/>
                      <w:kern w:val="0"/>
                      <w:sz w:val="21"/>
                      <w:szCs w:val="21"/>
                      <w:u w:val="none"/>
                      <w:lang w:val="en-US" w:eastAsia="zh-CN" w:bidi="ar-SA"/>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83.750</w:t>
                  </w:r>
                </w:p>
              </w:tc>
              <w:tc>
                <w:tcPr>
                  <w:tcW w:w="480" w:type="pct"/>
                  <w:vMerge w:val="restart"/>
                  <w:tcBorders>
                    <w:top w:val="single" w:color="auto" w:sz="4" w:space="0"/>
                    <w:left w:val="single" w:color="auto" w:sz="4" w:space="0"/>
                    <w:right w:val="single" w:color="auto" w:sz="4" w:space="0"/>
                  </w:tcBorders>
                  <w:shd w:val="clear" w:color="auto" w:fill="auto"/>
                  <w:vAlign w:val="center"/>
                </w:tcPr>
                <w:p w14:paraId="4C0A1969">
                  <w:pPr>
                    <w:pStyle w:val="61"/>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sz w:val="21"/>
                      <w:szCs w:val="21"/>
                      <w:u w:val="none"/>
                      <w:lang w:val="en-US" w:eastAsia="zh-CN"/>
                      <w14:textFill>
                        <w14:solidFill>
                          <w14:schemeClr w14:val="tx1"/>
                        </w14:solidFill>
                      </w14:textFill>
                    </w:rPr>
                  </w:pPr>
                  <w:r>
                    <w:rPr>
                      <w:rFonts w:hint="default" w:ascii="Times New Roman" w:hAnsi="Times New Roman" w:cs="Times New Roman"/>
                      <w:color w:val="000000" w:themeColor="text1"/>
                      <w:sz w:val="21"/>
                      <w:szCs w:val="21"/>
                      <w:u w:val="none"/>
                      <w:lang w:val="en-US" w:eastAsia="zh-CN"/>
                      <w14:textFill>
                        <w14:solidFill>
                          <w14:schemeClr w14:val="tx1"/>
                        </w14:solidFill>
                      </w14:textFill>
                    </w:rPr>
                    <w:t>袋式除尘器</w:t>
                  </w:r>
                </w:p>
              </w:tc>
              <w:tc>
                <w:tcPr>
                  <w:tcW w:w="480" w:type="pct"/>
                  <w:vMerge w:val="restart"/>
                  <w:tcBorders>
                    <w:top w:val="single" w:color="auto" w:sz="4" w:space="0"/>
                    <w:left w:val="single" w:color="auto" w:sz="4" w:space="0"/>
                    <w:right w:val="single" w:color="auto" w:sz="4" w:space="0"/>
                  </w:tcBorders>
                  <w:shd w:val="clear" w:color="auto" w:fill="auto"/>
                  <w:vAlign w:val="center"/>
                </w:tcPr>
                <w:p w14:paraId="5AB4589A">
                  <w:pPr>
                    <w:keepNext w:val="0"/>
                    <w:keepLines w:val="0"/>
                    <w:widowControl/>
                    <w:suppressLineNumbers w:val="0"/>
                    <w:jc w:val="center"/>
                    <w:textAlignment w:val="center"/>
                    <w:rPr>
                      <w:rFonts w:hint="default" w:ascii="Times New Roman" w:hAnsi="Times New Roman" w:eastAsia="等线" w:cs="Times New Roman"/>
                      <w:color w:val="000000" w:themeColor="text1"/>
                      <w:kern w:val="0"/>
                      <w:sz w:val="21"/>
                      <w:szCs w:val="21"/>
                      <w:u w:val="none"/>
                      <w:lang w:val="en-US" w:eastAsia="zh-CN" w:bidi="ar-SA"/>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0.004</w:t>
                  </w:r>
                </w:p>
              </w:tc>
              <w:tc>
                <w:tcPr>
                  <w:tcW w:w="480" w:type="pct"/>
                  <w:vMerge w:val="restart"/>
                  <w:tcBorders>
                    <w:top w:val="single" w:color="auto" w:sz="4" w:space="0"/>
                    <w:left w:val="single" w:color="auto" w:sz="4" w:space="0"/>
                    <w:right w:val="single" w:color="auto" w:sz="4" w:space="0"/>
                  </w:tcBorders>
                  <w:shd w:val="clear" w:color="auto" w:fill="auto"/>
                  <w:vAlign w:val="center"/>
                </w:tcPr>
                <w:p w14:paraId="706C2981">
                  <w:pPr>
                    <w:keepNext w:val="0"/>
                    <w:keepLines w:val="0"/>
                    <w:widowControl/>
                    <w:suppressLineNumbers w:val="0"/>
                    <w:jc w:val="center"/>
                    <w:textAlignment w:val="center"/>
                    <w:rPr>
                      <w:rFonts w:hint="default" w:ascii="Times New Roman" w:hAnsi="Times New Roman" w:eastAsia="等线" w:cs="Times New Roman"/>
                      <w:color w:val="000000" w:themeColor="text1"/>
                      <w:kern w:val="0"/>
                      <w:sz w:val="21"/>
                      <w:szCs w:val="21"/>
                      <w:u w:val="none"/>
                      <w:lang w:val="en-US" w:eastAsia="zh-CN" w:bidi="ar-SA"/>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0.001</w:t>
                  </w:r>
                </w:p>
              </w:tc>
              <w:tc>
                <w:tcPr>
                  <w:tcW w:w="480" w:type="pct"/>
                  <w:vMerge w:val="restart"/>
                  <w:tcBorders>
                    <w:top w:val="single" w:color="auto" w:sz="4" w:space="0"/>
                    <w:left w:val="single" w:color="auto" w:sz="4" w:space="0"/>
                    <w:right w:val="single" w:color="auto" w:sz="4" w:space="0"/>
                  </w:tcBorders>
                  <w:shd w:val="clear" w:color="auto" w:fill="auto"/>
                  <w:vAlign w:val="center"/>
                </w:tcPr>
                <w:p w14:paraId="75C29958">
                  <w:pPr>
                    <w:keepNext w:val="0"/>
                    <w:keepLines w:val="0"/>
                    <w:widowControl/>
                    <w:suppressLineNumbers w:val="0"/>
                    <w:jc w:val="center"/>
                    <w:textAlignment w:val="center"/>
                    <w:rPr>
                      <w:rFonts w:hint="default" w:ascii="Times New Roman" w:hAnsi="Times New Roman" w:eastAsia="等线" w:cs="Times New Roman"/>
                      <w:color w:val="000000" w:themeColor="text1"/>
                      <w:kern w:val="0"/>
                      <w:sz w:val="21"/>
                      <w:szCs w:val="21"/>
                      <w:u w:val="none"/>
                      <w:lang w:val="en-US" w:eastAsia="zh-CN" w:bidi="ar-SA"/>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1.149</w:t>
                  </w:r>
                </w:p>
              </w:tc>
            </w:tr>
            <w:tr w14:paraId="233E79B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301" w:type="pct"/>
                  <w:vMerge w:val="continue"/>
                  <w:tcBorders>
                    <w:left w:val="single" w:color="auto" w:sz="0" w:space="0"/>
                    <w:right w:val="single" w:color="auto" w:sz="4" w:space="0"/>
                  </w:tcBorders>
                  <w:shd w:val="clear" w:color="auto" w:fill="auto"/>
                  <w:vAlign w:val="center"/>
                </w:tcPr>
                <w:p w14:paraId="74F335E7">
                  <w:pPr>
                    <w:pStyle w:val="61"/>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cs="Times New Roman"/>
                      <w:color w:val="000000" w:themeColor="text1"/>
                      <w:sz w:val="21"/>
                      <w:szCs w:val="21"/>
                      <w:u w:val="none"/>
                      <w:lang w:val="en-US" w:eastAsia="zh-CN"/>
                      <w14:textFill>
                        <w14:solidFill>
                          <w14:schemeClr w14:val="tx1"/>
                        </w14:solidFill>
                      </w14:textFill>
                    </w:rPr>
                  </w:pPr>
                </w:p>
              </w:tc>
              <w:tc>
                <w:tcPr>
                  <w:tcW w:w="654" w:type="pct"/>
                  <w:tcBorders>
                    <w:top w:val="single" w:color="auto" w:sz="4" w:space="0"/>
                    <w:left w:val="single" w:color="auto" w:sz="0" w:space="0"/>
                    <w:bottom w:val="single" w:color="auto" w:sz="4" w:space="0"/>
                    <w:right w:val="single" w:color="auto" w:sz="4" w:space="0"/>
                  </w:tcBorders>
                  <w:shd w:val="clear" w:color="auto" w:fill="auto"/>
                  <w:vAlign w:val="center"/>
                </w:tcPr>
                <w:p w14:paraId="58E56350">
                  <w:pPr>
                    <w:pStyle w:val="5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0"/>
                      <w:sz w:val="21"/>
                      <w:szCs w:val="21"/>
                      <w:u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筛分</w:t>
                  </w:r>
                  <w:r>
                    <w:rPr>
                      <w:rFonts w:hint="default" w:ascii="Times New Roman" w:hAnsi="Times New Roman" w:cs="Times New Roman"/>
                      <w:color w:val="000000" w:themeColor="text1"/>
                      <w:sz w:val="21"/>
                      <w:szCs w:val="21"/>
                      <w:u w:val="none"/>
                      <w:lang w:val="en-US" w:eastAsia="zh-CN"/>
                      <w14:textFill>
                        <w14:solidFill>
                          <w14:schemeClr w14:val="tx1"/>
                        </w14:solidFill>
                      </w14:textFill>
                    </w:rPr>
                    <w:t>工序</w:t>
                  </w:r>
                </w:p>
              </w:tc>
              <w:tc>
                <w:tcPr>
                  <w:tcW w:w="480" w:type="pct"/>
                  <w:tcBorders>
                    <w:top w:val="single" w:color="auto" w:sz="4" w:space="0"/>
                    <w:left w:val="single" w:color="auto" w:sz="0" w:space="0"/>
                    <w:bottom w:val="single" w:color="auto" w:sz="4" w:space="0"/>
                    <w:right w:val="single" w:color="auto" w:sz="4" w:space="0"/>
                  </w:tcBorders>
                  <w:shd w:val="clear" w:color="auto" w:fill="auto"/>
                  <w:vAlign w:val="center"/>
                </w:tcPr>
                <w:p w14:paraId="1526C04D">
                  <w:pPr>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color w:val="000000" w:themeColor="text1"/>
                      <w:kern w:val="0"/>
                      <w:sz w:val="21"/>
                      <w:szCs w:val="21"/>
                      <w:u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bidi="ar-SA"/>
                      <w14:textFill>
                        <w14:solidFill>
                          <w14:schemeClr w14:val="tx1"/>
                        </w14:solidFill>
                      </w14:textFill>
                    </w:rPr>
                    <w:t>颗粒物</w:t>
                  </w:r>
                </w:p>
              </w:tc>
              <w:tc>
                <w:tcPr>
                  <w:tcW w:w="480" w:type="pct"/>
                  <w:tcBorders>
                    <w:top w:val="single" w:color="auto" w:sz="4" w:space="0"/>
                    <w:left w:val="single" w:color="auto" w:sz="4" w:space="0"/>
                    <w:bottom w:val="single" w:color="auto" w:sz="4" w:space="0"/>
                    <w:right w:val="single" w:color="auto" w:sz="4" w:space="0"/>
                  </w:tcBorders>
                  <w:shd w:val="clear" w:color="auto" w:fill="auto"/>
                  <w:vAlign w:val="center"/>
                </w:tcPr>
                <w:p w14:paraId="774141A5">
                  <w:pPr>
                    <w:keepNext w:val="0"/>
                    <w:keepLines w:val="0"/>
                    <w:widowControl/>
                    <w:suppressLineNumbers w:val="0"/>
                    <w:jc w:val="center"/>
                    <w:textAlignment w:val="center"/>
                    <w:rPr>
                      <w:rFonts w:hint="default" w:ascii="Times New Roman" w:hAnsi="Times New Roman" w:eastAsia="等线" w:cs="Times New Roman"/>
                      <w:color w:val="000000" w:themeColor="text1"/>
                      <w:kern w:val="0"/>
                      <w:sz w:val="21"/>
                      <w:szCs w:val="21"/>
                      <w:u w:val="none"/>
                      <w:lang w:val="en-US" w:eastAsia="zh-CN" w:bidi="ar-SA"/>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0.050</w:t>
                  </w:r>
                </w:p>
              </w:tc>
              <w:tc>
                <w:tcPr>
                  <w:tcW w:w="580" w:type="pct"/>
                  <w:tcBorders>
                    <w:top w:val="single" w:color="auto" w:sz="4" w:space="0"/>
                    <w:left w:val="single" w:color="auto" w:sz="4" w:space="0"/>
                    <w:bottom w:val="single" w:color="auto" w:sz="4" w:space="0"/>
                    <w:right w:val="single" w:color="auto" w:sz="4" w:space="0"/>
                  </w:tcBorders>
                  <w:shd w:val="clear" w:color="auto" w:fill="auto"/>
                  <w:vAlign w:val="center"/>
                </w:tcPr>
                <w:p w14:paraId="77F32307">
                  <w:pPr>
                    <w:keepNext w:val="0"/>
                    <w:keepLines w:val="0"/>
                    <w:widowControl/>
                    <w:suppressLineNumbers w:val="0"/>
                    <w:jc w:val="center"/>
                    <w:textAlignment w:val="center"/>
                    <w:rPr>
                      <w:rFonts w:hint="default" w:ascii="Times New Roman" w:hAnsi="Times New Roman" w:eastAsia="等线" w:cs="Times New Roman"/>
                      <w:color w:val="000000" w:themeColor="text1"/>
                      <w:kern w:val="0"/>
                      <w:sz w:val="21"/>
                      <w:szCs w:val="21"/>
                      <w:u w:val="none"/>
                      <w:lang w:val="en-US" w:eastAsia="zh-CN" w:bidi="ar-SA"/>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0.014</w:t>
                  </w:r>
                </w:p>
              </w:tc>
              <w:tc>
                <w:tcPr>
                  <w:tcW w:w="580" w:type="pct"/>
                  <w:tcBorders>
                    <w:top w:val="single" w:color="auto" w:sz="4" w:space="0"/>
                    <w:left w:val="single" w:color="auto" w:sz="4" w:space="0"/>
                    <w:bottom w:val="single" w:color="auto" w:sz="4" w:space="0"/>
                    <w:right w:val="single" w:color="auto" w:sz="4" w:space="0"/>
                  </w:tcBorders>
                  <w:shd w:val="clear" w:color="auto" w:fill="auto"/>
                  <w:vAlign w:val="center"/>
                </w:tcPr>
                <w:p w14:paraId="01AC829D">
                  <w:pPr>
                    <w:keepNext w:val="0"/>
                    <w:keepLines w:val="0"/>
                    <w:widowControl/>
                    <w:suppressLineNumbers w:val="0"/>
                    <w:jc w:val="center"/>
                    <w:textAlignment w:val="center"/>
                    <w:rPr>
                      <w:rFonts w:hint="default" w:ascii="Times New Roman" w:hAnsi="Times New Roman" w:eastAsia="等线" w:cs="Times New Roman"/>
                      <w:color w:val="000000" w:themeColor="text1"/>
                      <w:kern w:val="0"/>
                      <w:sz w:val="21"/>
                      <w:szCs w:val="21"/>
                      <w:u w:val="none"/>
                      <w:lang w:val="en-US" w:eastAsia="zh-CN" w:bidi="ar-SA"/>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13.889</w:t>
                  </w:r>
                </w:p>
              </w:tc>
              <w:tc>
                <w:tcPr>
                  <w:tcW w:w="480" w:type="pct"/>
                  <w:vMerge w:val="continue"/>
                  <w:tcBorders>
                    <w:left w:val="single" w:color="auto" w:sz="4" w:space="0"/>
                    <w:right w:val="single" w:color="auto" w:sz="4" w:space="0"/>
                  </w:tcBorders>
                  <w:shd w:val="clear" w:color="auto" w:fill="auto"/>
                  <w:vAlign w:val="center"/>
                </w:tcPr>
                <w:p w14:paraId="338D32B1">
                  <w:pPr>
                    <w:pStyle w:val="61"/>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sz w:val="21"/>
                      <w:szCs w:val="21"/>
                      <w:u w:val="none"/>
                      <w:lang w:val="en-US" w:eastAsia="zh-CN"/>
                      <w14:textFill>
                        <w14:solidFill>
                          <w14:schemeClr w14:val="tx1"/>
                        </w14:solidFill>
                      </w14:textFill>
                    </w:rPr>
                  </w:pPr>
                </w:p>
              </w:tc>
              <w:tc>
                <w:tcPr>
                  <w:tcW w:w="480" w:type="pct"/>
                  <w:vMerge w:val="continue"/>
                  <w:tcBorders>
                    <w:left w:val="single" w:color="auto" w:sz="4" w:space="0"/>
                    <w:right w:val="single" w:color="auto" w:sz="4" w:space="0"/>
                  </w:tcBorders>
                  <w:shd w:val="clear" w:color="auto" w:fill="auto"/>
                  <w:vAlign w:val="center"/>
                </w:tcPr>
                <w:p w14:paraId="45ED2699">
                  <w:pPr>
                    <w:pStyle w:val="61"/>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eastAsia="等线" w:cs="Times New Roman"/>
                      <w:color w:val="000000" w:themeColor="text1"/>
                      <w:kern w:val="0"/>
                      <w:sz w:val="21"/>
                      <w:szCs w:val="21"/>
                      <w:u w:val="none"/>
                      <w:lang w:val="en-US" w:eastAsia="zh-CN" w:bidi="ar-SA"/>
                      <w14:textFill>
                        <w14:solidFill>
                          <w14:schemeClr w14:val="tx1"/>
                        </w14:solidFill>
                      </w14:textFill>
                    </w:rPr>
                  </w:pPr>
                </w:p>
              </w:tc>
              <w:tc>
                <w:tcPr>
                  <w:tcW w:w="480" w:type="pct"/>
                  <w:vMerge w:val="continue"/>
                  <w:tcBorders>
                    <w:left w:val="single" w:color="auto" w:sz="4" w:space="0"/>
                    <w:right w:val="single" w:color="auto" w:sz="4" w:space="0"/>
                  </w:tcBorders>
                  <w:shd w:val="clear" w:color="auto" w:fill="auto"/>
                  <w:vAlign w:val="center"/>
                </w:tcPr>
                <w:p w14:paraId="4EBD0411">
                  <w:pPr>
                    <w:pStyle w:val="61"/>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eastAsia="等线" w:cs="Times New Roman"/>
                      <w:color w:val="000000" w:themeColor="text1"/>
                      <w:kern w:val="0"/>
                      <w:sz w:val="21"/>
                      <w:szCs w:val="21"/>
                      <w:u w:val="none"/>
                      <w:lang w:val="en-US" w:eastAsia="zh-CN" w:bidi="ar-SA"/>
                      <w14:textFill>
                        <w14:solidFill>
                          <w14:schemeClr w14:val="tx1"/>
                        </w14:solidFill>
                      </w14:textFill>
                    </w:rPr>
                  </w:pPr>
                </w:p>
              </w:tc>
              <w:tc>
                <w:tcPr>
                  <w:tcW w:w="480" w:type="pct"/>
                  <w:vMerge w:val="continue"/>
                  <w:tcBorders>
                    <w:left w:val="single" w:color="auto" w:sz="4" w:space="0"/>
                    <w:right w:val="single" w:color="auto" w:sz="4" w:space="0"/>
                  </w:tcBorders>
                  <w:shd w:val="clear" w:color="auto" w:fill="auto"/>
                  <w:vAlign w:val="center"/>
                </w:tcPr>
                <w:p w14:paraId="27235208">
                  <w:pPr>
                    <w:pStyle w:val="61"/>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eastAsia="等线" w:cs="Times New Roman"/>
                      <w:color w:val="000000" w:themeColor="text1"/>
                      <w:kern w:val="0"/>
                      <w:sz w:val="21"/>
                      <w:szCs w:val="21"/>
                      <w:u w:val="none"/>
                      <w:lang w:val="en-US" w:eastAsia="zh-CN" w:bidi="ar-SA"/>
                      <w14:textFill>
                        <w14:solidFill>
                          <w14:schemeClr w14:val="tx1"/>
                        </w14:solidFill>
                      </w14:textFill>
                    </w:rPr>
                  </w:pPr>
                </w:p>
              </w:tc>
            </w:tr>
            <w:tr w14:paraId="2A3A4A5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301" w:type="pct"/>
                  <w:vMerge w:val="continue"/>
                  <w:tcBorders>
                    <w:left w:val="single" w:color="auto" w:sz="0" w:space="0"/>
                    <w:right w:val="single" w:color="auto" w:sz="4" w:space="0"/>
                  </w:tcBorders>
                  <w:shd w:val="clear" w:color="auto" w:fill="auto"/>
                  <w:vAlign w:val="center"/>
                </w:tcPr>
                <w:p w14:paraId="573C2364">
                  <w:pPr>
                    <w:pStyle w:val="61"/>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cs="Times New Roman"/>
                      <w:b w:val="0"/>
                      <w:bCs/>
                      <w:color w:val="000000" w:themeColor="text1"/>
                      <w:sz w:val="21"/>
                      <w:szCs w:val="21"/>
                      <w:highlight w:val="none"/>
                      <w:u w:val="none"/>
                      <w:lang w:val="en-US" w:eastAsia="zh-CN"/>
                      <w14:textFill>
                        <w14:solidFill>
                          <w14:schemeClr w14:val="tx1"/>
                        </w14:solidFill>
                      </w14:textFill>
                    </w:rPr>
                  </w:pPr>
                </w:p>
              </w:tc>
              <w:tc>
                <w:tcPr>
                  <w:tcW w:w="654" w:type="pct"/>
                  <w:tcBorders>
                    <w:top w:val="single" w:color="auto" w:sz="4" w:space="0"/>
                    <w:left w:val="single" w:color="auto" w:sz="0" w:space="0"/>
                    <w:bottom w:val="single" w:color="auto" w:sz="4" w:space="0"/>
                    <w:right w:val="single" w:color="auto" w:sz="4" w:space="0"/>
                  </w:tcBorders>
                  <w:shd w:val="clear" w:color="auto" w:fill="auto"/>
                  <w:vAlign w:val="center"/>
                </w:tcPr>
                <w:p w14:paraId="0FD5628A">
                  <w:pPr>
                    <w:pStyle w:val="5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000000" w:themeColor="text1"/>
                      <w:sz w:val="21"/>
                      <w:szCs w:val="21"/>
                      <w:u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造粒</w:t>
                  </w:r>
                  <w:r>
                    <w:rPr>
                      <w:rFonts w:hint="default" w:ascii="Times New Roman" w:hAnsi="Times New Roman" w:cs="Times New Roman"/>
                      <w:color w:val="000000" w:themeColor="text1"/>
                      <w:sz w:val="21"/>
                      <w:szCs w:val="21"/>
                      <w:u w:val="none"/>
                      <w:lang w:val="en-US" w:eastAsia="zh-CN"/>
                      <w14:textFill>
                        <w14:solidFill>
                          <w14:schemeClr w14:val="tx1"/>
                        </w14:solidFill>
                      </w14:textFill>
                    </w:rPr>
                    <w:t>工序</w:t>
                  </w:r>
                </w:p>
              </w:tc>
              <w:tc>
                <w:tcPr>
                  <w:tcW w:w="480" w:type="pct"/>
                  <w:tcBorders>
                    <w:top w:val="single" w:color="auto" w:sz="4" w:space="0"/>
                    <w:left w:val="single" w:color="auto" w:sz="0" w:space="0"/>
                    <w:bottom w:val="single" w:color="auto" w:sz="4" w:space="0"/>
                    <w:right w:val="single" w:color="auto" w:sz="4" w:space="0"/>
                  </w:tcBorders>
                  <w:shd w:val="clear" w:color="auto" w:fill="auto"/>
                  <w:vAlign w:val="center"/>
                </w:tcPr>
                <w:p w14:paraId="621CF328">
                  <w:pPr>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color w:val="000000" w:themeColor="text1"/>
                      <w:kern w:val="0"/>
                      <w:sz w:val="21"/>
                      <w:szCs w:val="21"/>
                      <w:u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bidi="ar-SA"/>
                      <w14:textFill>
                        <w14:solidFill>
                          <w14:schemeClr w14:val="tx1"/>
                        </w14:solidFill>
                      </w14:textFill>
                    </w:rPr>
                    <w:t>颗粒物</w:t>
                  </w:r>
                </w:p>
              </w:tc>
              <w:tc>
                <w:tcPr>
                  <w:tcW w:w="480" w:type="pct"/>
                  <w:tcBorders>
                    <w:top w:val="single" w:color="auto" w:sz="4" w:space="0"/>
                    <w:left w:val="single" w:color="auto" w:sz="4" w:space="0"/>
                    <w:bottom w:val="single" w:color="auto" w:sz="4" w:space="0"/>
                    <w:right w:val="single" w:color="auto" w:sz="4" w:space="0"/>
                  </w:tcBorders>
                  <w:shd w:val="clear" w:color="auto" w:fill="auto"/>
                  <w:vAlign w:val="center"/>
                </w:tcPr>
                <w:p w14:paraId="73D6F398">
                  <w:pPr>
                    <w:keepNext w:val="0"/>
                    <w:keepLines w:val="0"/>
                    <w:widowControl/>
                    <w:suppressLineNumbers w:val="0"/>
                    <w:jc w:val="center"/>
                    <w:textAlignment w:val="center"/>
                    <w:rPr>
                      <w:rFonts w:hint="default" w:ascii="Times New Roman" w:hAnsi="Times New Roman" w:eastAsia="等线" w:cs="Times New Roman"/>
                      <w:color w:val="000000" w:themeColor="text1"/>
                      <w:kern w:val="0"/>
                      <w:sz w:val="21"/>
                      <w:szCs w:val="21"/>
                      <w:u w:val="none"/>
                      <w:lang w:val="en-US" w:eastAsia="zh-CN" w:bidi="ar-SA"/>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0.017</w:t>
                  </w:r>
                </w:p>
              </w:tc>
              <w:tc>
                <w:tcPr>
                  <w:tcW w:w="580" w:type="pct"/>
                  <w:tcBorders>
                    <w:top w:val="single" w:color="auto" w:sz="4" w:space="0"/>
                    <w:left w:val="single" w:color="auto" w:sz="4" w:space="0"/>
                    <w:bottom w:val="single" w:color="auto" w:sz="4" w:space="0"/>
                    <w:right w:val="single" w:color="auto" w:sz="4" w:space="0"/>
                  </w:tcBorders>
                  <w:shd w:val="clear" w:color="auto" w:fill="auto"/>
                  <w:vAlign w:val="center"/>
                </w:tcPr>
                <w:p w14:paraId="6DB700E5">
                  <w:pPr>
                    <w:keepNext w:val="0"/>
                    <w:keepLines w:val="0"/>
                    <w:widowControl/>
                    <w:suppressLineNumbers w:val="0"/>
                    <w:jc w:val="center"/>
                    <w:textAlignment w:val="center"/>
                    <w:rPr>
                      <w:rFonts w:hint="default" w:ascii="Times New Roman" w:hAnsi="Times New Roman" w:eastAsia="等线" w:cs="Times New Roman"/>
                      <w:color w:val="000000" w:themeColor="text1"/>
                      <w:kern w:val="0"/>
                      <w:sz w:val="21"/>
                      <w:szCs w:val="21"/>
                      <w:u w:val="none"/>
                      <w:lang w:val="en-US" w:eastAsia="zh-CN" w:bidi="ar-SA"/>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0.005</w:t>
                  </w:r>
                </w:p>
              </w:tc>
              <w:tc>
                <w:tcPr>
                  <w:tcW w:w="580" w:type="pct"/>
                  <w:tcBorders>
                    <w:top w:val="single" w:color="auto" w:sz="4" w:space="0"/>
                    <w:left w:val="single" w:color="auto" w:sz="4" w:space="0"/>
                    <w:bottom w:val="single" w:color="auto" w:sz="4" w:space="0"/>
                    <w:right w:val="single" w:color="auto" w:sz="4" w:space="0"/>
                  </w:tcBorders>
                  <w:shd w:val="clear" w:color="auto" w:fill="auto"/>
                  <w:vAlign w:val="center"/>
                </w:tcPr>
                <w:p w14:paraId="0479AD81">
                  <w:pPr>
                    <w:keepNext w:val="0"/>
                    <w:keepLines w:val="0"/>
                    <w:widowControl/>
                    <w:suppressLineNumbers w:val="0"/>
                    <w:jc w:val="center"/>
                    <w:textAlignment w:val="center"/>
                    <w:rPr>
                      <w:rFonts w:hint="default" w:ascii="Times New Roman" w:hAnsi="Times New Roman" w:eastAsia="等线" w:cs="Times New Roman"/>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4.722</w:t>
                  </w:r>
                </w:p>
              </w:tc>
              <w:tc>
                <w:tcPr>
                  <w:tcW w:w="480" w:type="pct"/>
                  <w:vMerge w:val="continue"/>
                  <w:tcBorders>
                    <w:left w:val="single" w:color="auto" w:sz="4" w:space="0"/>
                    <w:right w:val="single" w:color="auto" w:sz="4" w:space="0"/>
                  </w:tcBorders>
                  <w:shd w:val="clear" w:color="auto" w:fill="auto"/>
                  <w:vAlign w:val="center"/>
                </w:tcPr>
                <w:p w14:paraId="6DC79EE1">
                  <w:pPr>
                    <w:pStyle w:val="61"/>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sz w:val="21"/>
                      <w:szCs w:val="21"/>
                      <w:u w:val="none"/>
                      <w:lang w:val="en-US" w:eastAsia="zh-CN"/>
                      <w14:textFill>
                        <w14:solidFill>
                          <w14:schemeClr w14:val="tx1"/>
                        </w14:solidFill>
                      </w14:textFill>
                    </w:rPr>
                  </w:pPr>
                </w:p>
              </w:tc>
              <w:tc>
                <w:tcPr>
                  <w:tcW w:w="480" w:type="pct"/>
                  <w:vMerge w:val="continue"/>
                  <w:tcBorders>
                    <w:left w:val="single" w:color="auto" w:sz="4" w:space="0"/>
                    <w:right w:val="single" w:color="auto" w:sz="4" w:space="0"/>
                  </w:tcBorders>
                  <w:shd w:val="clear" w:color="auto" w:fill="auto"/>
                  <w:vAlign w:val="center"/>
                </w:tcPr>
                <w:p w14:paraId="6562AE18">
                  <w:pPr>
                    <w:pStyle w:val="61"/>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eastAsia="等线" w:cs="Times New Roman"/>
                      <w:color w:val="000000" w:themeColor="text1"/>
                      <w:kern w:val="0"/>
                      <w:sz w:val="21"/>
                      <w:szCs w:val="21"/>
                      <w:u w:val="none"/>
                      <w:lang w:val="en-US" w:eastAsia="zh-CN" w:bidi="ar-SA"/>
                      <w14:textFill>
                        <w14:solidFill>
                          <w14:schemeClr w14:val="tx1"/>
                        </w14:solidFill>
                      </w14:textFill>
                    </w:rPr>
                  </w:pPr>
                </w:p>
              </w:tc>
              <w:tc>
                <w:tcPr>
                  <w:tcW w:w="480" w:type="pct"/>
                  <w:vMerge w:val="continue"/>
                  <w:tcBorders>
                    <w:left w:val="single" w:color="auto" w:sz="4" w:space="0"/>
                    <w:right w:val="single" w:color="auto" w:sz="4" w:space="0"/>
                  </w:tcBorders>
                  <w:shd w:val="clear" w:color="auto" w:fill="auto"/>
                  <w:vAlign w:val="center"/>
                </w:tcPr>
                <w:p w14:paraId="72352324">
                  <w:pPr>
                    <w:pStyle w:val="61"/>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eastAsia="等线" w:cs="Times New Roman"/>
                      <w:color w:val="000000" w:themeColor="text1"/>
                      <w:kern w:val="0"/>
                      <w:sz w:val="21"/>
                      <w:szCs w:val="21"/>
                      <w:u w:val="none"/>
                      <w:lang w:val="en-US" w:eastAsia="zh-CN" w:bidi="ar-SA"/>
                      <w14:textFill>
                        <w14:solidFill>
                          <w14:schemeClr w14:val="tx1"/>
                        </w14:solidFill>
                      </w14:textFill>
                    </w:rPr>
                  </w:pPr>
                </w:p>
              </w:tc>
              <w:tc>
                <w:tcPr>
                  <w:tcW w:w="480" w:type="pct"/>
                  <w:vMerge w:val="continue"/>
                  <w:tcBorders>
                    <w:left w:val="single" w:color="auto" w:sz="4" w:space="0"/>
                    <w:right w:val="single" w:color="auto" w:sz="4" w:space="0"/>
                  </w:tcBorders>
                  <w:shd w:val="clear" w:color="auto" w:fill="auto"/>
                  <w:vAlign w:val="center"/>
                </w:tcPr>
                <w:p w14:paraId="15440DBF">
                  <w:pPr>
                    <w:pStyle w:val="61"/>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eastAsia="等线" w:cs="Times New Roman"/>
                      <w:color w:val="000000" w:themeColor="text1"/>
                      <w:kern w:val="0"/>
                      <w:sz w:val="21"/>
                      <w:szCs w:val="21"/>
                      <w:u w:val="none"/>
                      <w:lang w:val="en-US" w:eastAsia="zh-CN" w:bidi="ar-SA"/>
                      <w14:textFill>
                        <w14:solidFill>
                          <w14:schemeClr w14:val="tx1"/>
                        </w14:solidFill>
                      </w14:textFill>
                    </w:rPr>
                  </w:pPr>
                </w:p>
              </w:tc>
            </w:tr>
            <w:tr w14:paraId="2731100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301" w:type="pct"/>
                  <w:vMerge w:val="continue"/>
                  <w:tcBorders>
                    <w:left w:val="single" w:color="auto" w:sz="0" w:space="0"/>
                    <w:bottom w:val="single" w:color="auto" w:sz="4" w:space="0"/>
                    <w:right w:val="single" w:color="auto" w:sz="4" w:space="0"/>
                  </w:tcBorders>
                  <w:shd w:val="clear" w:color="auto" w:fill="auto"/>
                  <w:vAlign w:val="center"/>
                </w:tcPr>
                <w:p w14:paraId="5C79F443">
                  <w:pPr>
                    <w:pStyle w:val="61"/>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cs="Times New Roman"/>
                      <w:b w:val="0"/>
                      <w:bCs/>
                      <w:color w:val="000000" w:themeColor="text1"/>
                      <w:sz w:val="21"/>
                      <w:szCs w:val="21"/>
                      <w:highlight w:val="none"/>
                      <w:u w:val="none"/>
                      <w:lang w:val="en-US" w:eastAsia="zh-CN"/>
                      <w14:textFill>
                        <w14:solidFill>
                          <w14:schemeClr w14:val="tx1"/>
                        </w14:solidFill>
                      </w14:textFill>
                    </w:rPr>
                  </w:pPr>
                </w:p>
              </w:tc>
              <w:tc>
                <w:tcPr>
                  <w:tcW w:w="654" w:type="pct"/>
                  <w:tcBorders>
                    <w:top w:val="single" w:color="auto" w:sz="4" w:space="0"/>
                    <w:left w:val="single" w:color="auto" w:sz="0" w:space="0"/>
                    <w:bottom w:val="single" w:color="auto" w:sz="4" w:space="0"/>
                    <w:right w:val="single" w:color="auto" w:sz="4" w:space="0"/>
                  </w:tcBorders>
                  <w:shd w:val="clear" w:color="auto" w:fill="auto"/>
                  <w:vAlign w:val="center"/>
                </w:tcPr>
                <w:p w14:paraId="4D9358BE">
                  <w:pPr>
                    <w:pStyle w:val="5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b w:val="0"/>
                      <w:bCs/>
                      <w:color w:val="000000" w:themeColor="text1"/>
                      <w:sz w:val="21"/>
                      <w:szCs w:val="21"/>
                      <w:highlight w:val="none"/>
                      <w:u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包装</w:t>
                  </w:r>
                  <w:r>
                    <w:rPr>
                      <w:rFonts w:hint="default" w:ascii="Times New Roman" w:hAnsi="Times New Roman" w:cs="Times New Roman"/>
                      <w:color w:val="000000" w:themeColor="text1"/>
                      <w:sz w:val="21"/>
                      <w:szCs w:val="21"/>
                      <w:u w:val="none"/>
                      <w:lang w:val="en-US" w:eastAsia="zh-CN"/>
                      <w14:textFill>
                        <w14:solidFill>
                          <w14:schemeClr w14:val="tx1"/>
                        </w14:solidFill>
                      </w14:textFill>
                    </w:rPr>
                    <w:t>工序</w:t>
                  </w:r>
                </w:p>
              </w:tc>
              <w:tc>
                <w:tcPr>
                  <w:tcW w:w="480" w:type="pct"/>
                  <w:tcBorders>
                    <w:top w:val="single" w:color="auto" w:sz="4" w:space="0"/>
                    <w:left w:val="single" w:color="auto" w:sz="0" w:space="0"/>
                    <w:bottom w:val="single" w:color="auto" w:sz="4" w:space="0"/>
                    <w:right w:val="single" w:color="auto" w:sz="4" w:space="0"/>
                  </w:tcBorders>
                  <w:shd w:val="clear" w:color="auto" w:fill="auto"/>
                  <w:vAlign w:val="center"/>
                </w:tcPr>
                <w:p w14:paraId="27513A40">
                  <w:pPr>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color w:val="000000" w:themeColor="text1"/>
                      <w:kern w:val="0"/>
                      <w:sz w:val="21"/>
                      <w:szCs w:val="21"/>
                      <w:u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bidi="ar-SA"/>
                      <w14:textFill>
                        <w14:solidFill>
                          <w14:schemeClr w14:val="tx1"/>
                        </w14:solidFill>
                      </w14:textFill>
                    </w:rPr>
                    <w:t>颗粒物</w:t>
                  </w:r>
                </w:p>
              </w:tc>
              <w:tc>
                <w:tcPr>
                  <w:tcW w:w="480" w:type="pct"/>
                  <w:tcBorders>
                    <w:top w:val="single" w:color="auto" w:sz="4" w:space="0"/>
                    <w:left w:val="single" w:color="auto" w:sz="4" w:space="0"/>
                    <w:bottom w:val="single" w:color="auto" w:sz="4" w:space="0"/>
                    <w:right w:val="single" w:color="auto" w:sz="4" w:space="0"/>
                  </w:tcBorders>
                  <w:shd w:val="clear" w:color="auto" w:fill="auto"/>
                  <w:vAlign w:val="center"/>
                </w:tcPr>
                <w:p w14:paraId="794E8F11">
                  <w:pPr>
                    <w:keepNext w:val="0"/>
                    <w:keepLines w:val="0"/>
                    <w:widowControl/>
                    <w:suppressLineNumbers w:val="0"/>
                    <w:jc w:val="center"/>
                    <w:textAlignment w:val="center"/>
                    <w:rPr>
                      <w:rFonts w:hint="default" w:ascii="Times New Roman" w:hAnsi="Times New Roman" w:eastAsia="等线" w:cs="Times New Roman"/>
                      <w:color w:val="000000" w:themeColor="text1"/>
                      <w:kern w:val="0"/>
                      <w:sz w:val="21"/>
                      <w:szCs w:val="21"/>
                      <w:u w:val="none"/>
                      <w:lang w:val="en-US" w:eastAsia="zh-CN" w:bidi="ar-SA"/>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0.045</w:t>
                  </w:r>
                </w:p>
              </w:tc>
              <w:tc>
                <w:tcPr>
                  <w:tcW w:w="580" w:type="pct"/>
                  <w:tcBorders>
                    <w:top w:val="single" w:color="auto" w:sz="4" w:space="0"/>
                    <w:left w:val="single" w:color="auto" w:sz="4" w:space="0"/>
                    <w:bottom w:val="single" w:color="auto" w:sz="4" w:space="0"/>
                    <w:right w:val="single" w:color="auto" w:sz="4" w:space="0"/>
                  </w:tcBorders>
                  <w:shd w:val="clear" w:color="auto" w:fill="auto"/>
                  <w:vAlign w:val="center"/>
                </w:tcPr>
                <w:p w14:paraId="68BD6394">
                  <w:pPr>
                    <w:keepNext w:val="0"/>
                    <w:keepLines w:val="0"/>
                    <w:widowControl/>
                    <w:suppressLineNumbers w:val="0"/>
                    <w:jc w:val="center"/>
                    <w:textAlignment w:val="center"/>
                    <w:rPr>
                      <w:rFonts w:hint="default" w:ascii="Times New Roman" w:hAnsi="Times New Roman" w:eastAsia="等线" w:cs="Times New Roman"/>
                      <w:color w:val="000000" w:themeColor="text1"/>
                      <w:kern w:val="0"/>
                      <w:sz w:val="21"/>
                      <w:szCs w:val="21"/>
                      <w:u w:val="none"/>
                      <w:lang w:val="en-US" w:eastAsia="zh-CN" w:bidi="ar-SA"/>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0.013</w:t>
                  </w:r>
                </w:p>
              </w:tc>
              <w:tc>
                <w:tcPr>
                  <w:tcW w:w="580" w:type="pct"/>
                  <w:tcBorders>
                    <w:top w:val="single" w:color="auto" w:sz="4" w:space="0"/>
                    <w:left w:val="single" w:color="auto" w:sz="4" w:space="0"/>
                    <w:bottom w:val="single" w:color="auto" w:sz="4" w:space="0"/>
                    <w:right w:val="single" w:color="auto" w:sz="4" w:space="0"/>
                  </w:tcBorders>
                  <w:shd w:val="clear" w:color="auto" w:fill="auto"/>
                  <w:vAlign w:val="center"/>
                </w:tcPr>
                <w:p w14:paraId="39880457">
                  <w:pPr>
                    <w:keepNext w:val="0"/>
                    <w:keepLines w:val="0"/>
                    <w:widowControl/>
                    <w:suppressLineNumbers w:val="0"/>
                    <w:jc w:val="center"/>
                    <w:textAlignment w:val="center"/>
                    <w:rPr>
                      <w:rFonts w:hint="default" w:ascii="Times New Roman" w:hAnsi="Times New Roman" w:eastAsia="等线" w:cs="Times New Roman"/>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12.500</w:t>
                  </w:r>
                </w:p>
              </w:tc>
              <w:tc>
                <w:tcPr>
                  <w:tcW w:w="480" w:type="pct"/>
                  <w:vMerge w:val="continue"/>
                  <w:tcBorders>
                    <w:left w:val="single" w:color="auto" w:sz="4" w:space="0"/>
                    <w:bottom w:val="single" w:color="auto" w:sz="4" w:space="0"/>
                    <w:right w:val="single" w:color="auto" w:sz="4" w:space="0"/>
                  </w:tcBorders>
                  <w:shd w:val="clear" w:color="auto" w:fill="auto"/>
                  <w:vAlign w:val="center"/>
                </w:tcPr>
                <w:p w14:paraId="2F27F210">
                  <w:pPr>
                    <w:pStyle w:val="61"/>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sz w:val="21"/>
                      <w:szCs w:val="21"/>
                      <w:u w:val="none"/>
                      <w:lang w:val="en-US" w:eastAsia="zh-CN"/>
                      <w14:textFill>
                        <w14:solidFill>
                          <w14:schemeClr w14:val="tx1"/>
                        </w14:solidFill>
                      </w14:textFill>
                    </w:rPr>
                  </w:pPr>
                </w:p>
              </w:tc>
              <w:tc>
                <w:tcPr>
                  <w:tcW w:w="480" w:type="pct"/>
                  <w:vMerge w:val="continue"/>
                  <w:tcBorders>
                    <w:left w:val="single" w:color="auto" w:sz="4" w:space="0"/>
                    <w:bottom w:val="single" w:color="auto" w:sz="4" w:space="0"/>
                    <w:right w:val="single" w:color="auto" w:sz="4" w:space="0"/>
                  </w:tcBorders>
                  <w:shd w:val="clear" w:color="auto" w:fill="auto"/>
                  <w:vAlign w:val="center"/>
                </w:tcPr>
                <w:p w14:paraId="7623BD69">
                  <w:pPr>
                    <w:pStyle w:val="61"/>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eastAsia="等线" w:cs="Times New Roman"/>
                      <w:color w:val="000000" w:themeColor="text1"/>
                      <w:kern w:val="0"/>
                      <w:sz w:val="21"/>
                      <w:szCs w:val="21"/>
                      <w:u w:val="none"/>
                      <w:lang w:val="en-US" w:eastAsia="zh-CN" w:bidi="ar-SA"/>
                      <w14:textFill>
                        <w14:solidFill>
                          <w14:schemeClr w14:val="tx1"/>
                        </w14:solidFill>
                      </w14:textFill>
                    </w:rPr>
                  </w:pPr>
                </w:p>
              </w:tc>
              <w:tc>
                <w:tcPr>
                  <w:tcW w:w="480" w:type="pct"/>
                  <w:vMerge w:val="continue"/>
                  <w:tcBorders>
                    <w:left w:val="single" w:color="auto" w:sz="4" w:space="0"/>
                    <w:bottom w:val="single" w:color="auto" w:sz="4" w:space="0"/>
                    <w:right w:val="single" w:color="auto" w:sz="4" w:space="0"/>
                  </w:tcBorders>
                  <w:shd w:val="clear" w:color="auto" w:fill="auto"/>
                  <w:vAlign w:val="center"/>
                </w:tcPr>
                <w:p w14:paraId="3DDDEC3C">
                  <w:pPr>
                    <w:pStyle w:val="61"/>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eastAsia="等线" w:cs="Times New Roman"/>
                      <w:color w:val="000000" w:themeColor="text1"/>
                      <w:kern w:val="0"/>
                      <w:sz w:val="21"/>
                      <w:szCs w:val="21"/>
                      <w:u w:val="none"/>
                      <w:lang w:val="en-US" w:eastAsia="zh-CN" w:bidi="ar-SA"/>
                      <w14:textFill>
                        <w14:solidFill>
                          <w14:schemeClr w14:val="tx1"/>
                        </w14:solidFill>
                      </w14:textFill>
                    </w:rPr>
                  </w:pPr>
                </w:p>
              </w:tc>
              <w:tc>
                <w:tcPr>
                  <w:tcW w:w="480" w:type="pct"/>
                  <w:vMerge w:val="continue"/>
                  <w:tcBorders>
                    <w:left w:val="single" w:color="auto" w:sz="4" w:space="0"/>
                    <w:bottom w:val="single" w:color="auto" w:sz="4" w:space="0"/>
                    <w:right w:val="single" w:color="auto" w:sz="4" w:space="0"/>
                  </w:tcBorders>
                  <w:shd w:val="clear" w:color="auto" w:fill="auto"/>
                  <w:vAlign w:val="center"/>
                </w:tcPr>
                <w:p w14:paraId="11C910CD">
                  <w:pPr>
                    <w:pStyle w:val="61"/>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eastAsia="等线" w:cs="Times New Roman"/>
                      <w:color w:val="000000" w:themeColor="text1"/>
                      <w:kern w:val="0"/>
                      <w:sz w:val="21"/>
                      <w:szCs w:val="21"/>
                      <w:u w:val="none"/>
                      <w:lang w:val="en-US" w:eastAsia="zh-CN" w:bidi="ar-SA"/>
                      <w14:textFill>
                        <w14:solidFill>
                          <w14:schemeClr w14:val="tx1"/>
                        </w14:solidFill>
                      </w14:textFill>
                    </w:rPr>
                  </w:pPr>
                </w:p>
              </w:tc>
            </w:tr>
            <w:tr w14:paraId="10CE529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436" w:type="pct"/>
                  <w:gridSpan w:val="3"/>
                  <w:tcBorders>
                    <w:top w:val="single" w:color="auto" w:sz="4" w:space="0"/>
                    <w:left w:val="single" w:color="auto" w:sz="0" w:space="0"/>
                    <w:bottom w:val="single" w:color="auto" w:sz="4" w:space="0"/>
                    <w:right w:val="single" w:color="auto" w:sz="4" w:space="0"/>
                  </w:tcBorders>
                  <w:shd w:val="clear" w:color="auto" w:fill="auto"/>
                  <w:vAlign w:val="center"/>
                </w:tcPr>
                <w:p w14:paraId="190B9EC3">
                  <w:pPr>
                    <w:pStyle w:val="61"/>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default" w:ascii="Times New Roman" w:hAnsi="Times New Roman" w:cs="Times New Roman"/>
                      <w:color w:val="000000" w:themeColor="text1"/>
                      <w:sz w:val="21"/>
                      <w:szCs w:val="21"/>
                      <w:u w:val="none"/>
                      <w:lang w:val="en-US" w:eastAsia="zh-CN"/>
                      <w14:textFill>
                        <w14:solidFill>
                          <w14:schemeClr w14:val="tx1"/>
                        </w14:solidFill>
                      </w14:textFill>
                    </w:rPr>
                    <w:t>合计</w:t>
                  </w:r>
                </w:p>
              </w:tc>
              <w:tc>
                <w:tcPr>
                  <w:tcW w:w="480" w:type="pct"/>
                  <w:tcBorders>
                    <w:top w:val="single" w:color="auto" w:sz="4" w:space="0"/>
                    <w:left w:val="single" w:color="auto" w:sz="4" w:space="0"/>
                    <w:bottom w:val="single" w:color="auto" w:sz="4" w:space="0"/>
                    <w:right w:val="single" w:color="auto" w:sz="4" w:space="0"/>
                  </w:tcBorders>
                  <w:shd w:val="clear" w:color="auto" w:fill="auto"/>
                  <w:vAlign w:val="center"/>
                </w:tcPr>
                <w:p w14:paraId="636A87A2">
                  <w:pPr>
                    <w:keepNext w:val="0"/>
                    <w:keepLines w:val="0"/>
                    <w:widowControl/>
                    <w:suppressLineNumbers w:val="0"/>
                    <w:jc w:val="center"/>
                    <w:textAlignment w:val="center"/>
                    <w:rPr>
                      <w:rFonts w:hint="default" w:ascii="Times New Roman" w:hAnsi="Times New Roman" w:eastAsia="等线" w:cs="Times New Roman"/>
                      <w:color w:val="000000" w:themeColor="text1"/>
                      <w:sz w:val="21"/>
                      <w:szCs w:val="21"/>
                      <w:highlight w:val="none"/>
                      <w:u w:val="none"/>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0.414</w:t>
                  </w:r>
                </w:p>
              </w:tc>
              <w:tc>
                <w:tcPr>
                  <w:tcW w:w="580" w:type="pct"/>
                  <w:tcBorders>
                    <w:top w:val="single" w:color="auto" w:sz="4" w:space="0"/>
                    <w:left w:val="single" w:color="auto" w:sz="4" w:space="0"/>
                    <w:bottom w:val="single" w:color="auto" w:sz="4" w:space="0"/>
                    <w:right w:val="single" w:color="auto" w:sz="4" w:space="0"/>
                  </w:tcBorders>
                  <w:shd w:val="clear" w:color="auto" w:fill="auto"/>
                  <w:vAlign w:val="center"/>
                </w:tcPr>
                <w:p w14:paraId="37C24E15">
                  <w:pPr>
                    <w:keepNext w:val="0"/>
                    <w:keepLines w:val="0"/>
                    <w:widowControl/>
                    <w:suppressLineNumbers w:val="0"/>
                    <w:jc w:val="center"/>
                    <w:textAlignment w:val="center"/>
                    <w:rPr>
                      <w:rFonts w:hint="default" w:ascii="Times New Roman" w:hAnsi="Times New Roman" w:eastAsia="等线" w:cs="Times New Roman"/>
                      <w:color w:val="000000" w:themeColor="text1"/>
                      <w:kern w:val="0"/>
                      <w:sz w:val="21"/>
                      <w:szCs w:val="21"/>
                      <w:highlight w:val="none"/>
                      <w:u w:val="none"/>
                      <w:lang w:val="en-US" w:eastAsia="zh-CN" w:bidi="ar-SA"/>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0.115</w:t>
                  </w:r>
                </w:p>
              </w:tc>
              <w:tc>
                <w:tcPr>
                  <w:tcW w:w="580" w:type="pct"/>
                  <w:tcBorders>
                    <w:top w:val="single" w:color="auto" w:sz="4" w:space="0"/>
                    <w:left w:val="single" w:color="auto" w:sz="4" w:space="0"/>
                    <w:bottom w:val="single" w:color="auto" w:sz="4" w:space="0"/>
                    <w:right w:val="single" w:color="auto" w:sz="4" w:space="0"/>
                  </w:tcBorders>
                  <w:shd w:val="clear" w:color="auto" w:fill="auto"/>
                  <w:vAlign w:val="center"/>
                </w:tcPr>
                <w:p w14:paraId="6CC313F6">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114.861</w:t>
                  </w:r>
                </w:p>
              </w:tc>
              <w:tc>
                <w:tcPr>
                  <w:tcW w:w="480" w:type="pct"/>
                  <w:tcBorders>
                    <w:top w:val="single" w:color="auto" w:sz="4" w:space="0"/>
                    <w:left w:val="single" w:color="auto" w:sz="4" w:space="0"/>
                    <w:bottom w:val="single" w:color="auto" w:sz="4" w:space="0"/>
                    <w:right w:val="single" w:color="auto" w:sz="4" w:space="0"/>
                  </w:tcBorders>
                  <w:shd w:val="clear" w:color="auto" w:fill="auto"/>
                  <w:vAlign w:val="center"/>
                </w:tcPr>
                <w:p w14:paraId="1512DB2A">
                  <w:pPr>
                    <w:pStyle w:val="61"/>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cs="Times New Roman"/>
                      <w:color w:val="000000" w:themeColor="text1"/>
                      <w:sz w:val="21"/>
                      <w:szCs w:val="21"/>
                      <w:u w:val="none"/>
                      <w:lang w:val="en-US" w:eastAsia="zh-CN"/>
                      <w14:textFill>
                        <w14:solidFill>
                          <w14:schemeClr w14:val="tx1"/>
                        </w14:solidFill>
                      </w14:textFill>
                    </w:rPr>
                  </w:pPr>
                  <w:r>
                    <w:rPr>
                      <w:rFonts w:hint="default" w:ascii="Times New Roman" w:hAnsi="Times New Roman" w:eastAsia="等线" w:cs="Times New Roman"/>
                      <w:color w:val="000000" w:themeColor="text1"/>
                      <w:sz w:val="21"/>
                      <w:szCs w:val="21"/>
                      <w:u w:val="none"/>
                      <w14:textFill>
                        <w14:solidFill>
                          <w14:schemeClr w14:val="tx1"/>
                        </w14:solidFill>
                      </w14:textFill>
                    </w:rPr>
                    <w:t>/</w:t>
                  </w:r>
                </w:p>
              </w:tc>
              <w:tc>
                <w:tcPr>
                  <w:tcW w:w="480" w:type="pct"/>
                  <w:tcBorders>
                    <w:top w:val="single" w:color="auto" w:sz="4" w:space="0"/>
                    <w:left w:val="single" w:color="auto" w:sz="4" w:space="0"/>
                    <w:bottom w:val="single" w:color="auto" w:sz="4" w:space="0"/>
                    <w:right w:val="single" w:color="auto" w:sz="4" w:space="0"/>
                  </w:tcBorders>
                  <w:shd w:val="clear" w:color="auto" w:fill="auto"/>
                  <w:vAlign w:val="center"/>
                </w:tcPr>
                <w:p w14:paraId="65875A6A">
                  <w:pPr>
                    <w:keepNext w:val="0"/>
                    <w:keepLines w:val="0"/>
                    <w:widowControl/>
                    <w:suppressLineNumbers w:val="0"/>
                    <w:jc w:val="center"/>
                    <w:textAlignment w:val="center"/>
                    <w:rPr>
                      <w:rFonts w:hint="default" w:ascii="Times New Roman" w:hAnsi="Times New Roman" w:eastAsia="等线" w:cs="Times New Roman"/>
                      <w:color w:val="000000" w:themeColor="text1"/>
                      <w:kern w:val="0"/>
                      <w:sz w:val="21"/>
                      <w:szCs w:val="21"/>
                      <w:u w:val="none"/>
                      <w:lang w:val="en-US" w:eastAsia="zh-CN" w:bidi="ar-SA"/>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0.004</w:t>
                  </w:r>
                </w:p>
              </w:tc>
              <w:tc>
                <w:tcPr>
                  <w:tcW w:w="480" w:type="pct"/>
                  <w:tcBorders>
                    <w:top w:val="single" w:color="auto" w:sz="4" w:space="0"/>
                    <w:left w:val="single" w:color="auto" w:sz="4" w:space="0"/>
                    <w:bottom w:val="single" w:color="auto" w:sz="4" w:space="0"/>
                    <w:right w:val="single" w:color="auto" w:sz="4" w:space="0"/>
                  </w:tcBorders>
                  <w:shd w:val="clear" w:color="auto" w:fill="auto"/>
                  <w:vAlign w:val="center"/>
                </w:tcPr>
                <w:p w14:paraId="5E99AD23">
                  <w:pPr>
                    <w:keepNext w:val="0"/>
                    <w:keepLines w:val="0"/>
                    <w:widowControl/>
                    <w:suppressLineNumbers w:val="0"/>
                    <w:jc w:val="center"/>
                    <w:textAlignment w:val="center"/>
                    <w:rPr>
                      <w:rFonts w:hint="default" w:ascii="Times New Roman" w:hAnsi="Times New Roman" w:eastAsia="等线" w:cs="Times New Roman"/>
                      <w:color w:val="000000" w:themeColor="text1"/>
                      <w:kern w:val="0"/>
                      <w:sz w:val="21"/>
                      <w:szCs w:val="21"/>
                      <w:u w:val="none"/>
                      <w:lang w:val="en-US" w:eastAsia="zh-CN" w:bidi="ar-SA"/>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0.001</w:t>
                  </w:r>
                </w:p>
              </w:tc>
              <w:tc>
                <w:tcPr>
                  <w:tcW w:w="480" w:type="pct"/>
                  <w:tcBorders>
                    <w:top w:val="single" w:color="auto" w:sz="4" w:space="0"/>
                    <w:left w:val="single" w:color="auto" w:sz="4" w:space="0"/>
                    <w:bottom w:val="single" w:color="auto" w:sz="4" w:space="0"/>
                    <w:right w:val="single" w:color="auto" w:sz="4" w:space="0"/>
                  </w:tcBorders>
                  <w:shd w:val="clear" w:color="auto" w:fill="auto"/>
                  <w:vAlign w:val="center"/>
                </w:tcPr>
                <w:p w14:paraId="2E7F62A4">
                  <w:pPr>
                    <w:keepNext w:val="0"/>
                    <w:keepLines w:val="0"/>
                    <w:widowControl/>
                    <w:suppressLineNumbers w:val="0"/>
                    <w:jc w:val="center"/>
                    <w:textAlignment w:val="center"/>
                    <w:rPr>
                      <w:rFonts w:hint="default" w:ascii="Times New Roman" w:hAnsi="Times New Roman" w:eastAsia="等线" w:cs="Times New Roman"/>
                      <w:color w:val="000000" w:themeColor="text1"/>
                      <w:kern w:val="0"/>
                      <w:sz w:val="21"/>
                      <w:szCs w:val="21"/>
                      <w:u w:val="none"/>
                      <w:lang w:val="en-US" w:eastAsia="zh-CN" w:bidi="ar-SA"/>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1.149</w:t>
                  </w:r>
                </w:p>
              </w:tc>
            </w:tr>
            <w:tr w14:paraId="1A3C5B2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301" w:type="pct"/>
                  <w:vMerge w:val="restart"/>
                  <w:tcBorders>
                    <w:top w:val="single" w:color="auto" w:sz="4" w:space="0"/>
                    <w:left w:val="single" w:color="auto" w:sz="0" w:space="0"/>
                    <w:right w:val="single" w:color="auto" w:sz="4" w:space="0"/>
                  </w:tcBorders>
                  <w:shd w:val="clear" w:color="auto" w:fill="auto"/>
                  <w:vAlign w:val="center"/>
                </w:tcPr>
                <w:p w14:paraId="1ACCE400">
                  <w:pPr>
                    <w:pStyle w:val="61"/>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cs="Times New Roman"/>
                      <w:color w:val="000000" w:themeColor="text1"/>
                      <w:sz w:val="21"/>
                      <w:szCs w:val="21"/>
                      <w:u w:val="none"/>
                      <w:lang w:val="en-US" w:eastAsia="zh-CN"/>
                      <w14:textFill>
                        <w14:solidFill>
                          <w14:schemeClr w14:val="tx1"/>
                        </w14:solidFill>
                      </w14:textFill>
                    </w:rPr>
                  </w:pPr>
                  <w:r>
                    <w:rPr>
                      <w:rFonts w:hint="default" w:ascii="Times New Roman" w:hAnsi="Times New Roman" w:cs="Times New Roman"/>
                      <w:color w:val="000000" w:themeColor="text1"/>
                      <w:sz w:val="21"/>
                      <w:szCs w:val="21"/>
                      <w:u w:val="none"/>
                      <w:lang w:val="en-US" w:eastAsia="zh-CN"/>
                      <w14:textFill>
                        <w14:solidFill>
                          <w14:schemeClr w14:val="tx1"/>
                        </w14:solidFill>
                      </w14:textFill>
                    </w:rPr>
                    <w:t>无组织</w:t>
                  </w:r>
                </w:p>
              </w:tc>
              <w:tc>
                <w:tcPr>
                  <w:tcW w:w="654" w:type="pct"/>
                  <w:tcBorders>
                    <w:top w:val="single" w:color="auto" w:sz="4" w:space="0"/>
                    <w:left w:val="single" w:color="auto" w:sz="0" w:space="0"/>
                    <w:bottom w:val="single" w:color="auto" w:sz="4" w:space="0"/>
                    <w:right w:val="single" w:color="auto" w:sz="4" w:space="0"/>
                  </w:tcBorders>
                  <w:shd w:val="clear" w:color="auto" w:fill="auto"/>
                  <w:vAlign w:val="center"/>
                </w:tcPr>
                <w:p w14:paraId="41FA445A">
                  <w:pPr>
                    <w:pStyle w:val="61"/>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color w:val="000000" w:themeColor="text1"/>
                      <w:kern w:val="0"/>
                      <w:sz w:val="21"/>
                      <w:szCs w:val="21"/>
                      <w:u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bidi="ar-SA"/>
                      <w14:textFill>
                        <w14:solidFill>
                          <w14:schemeClr w14:val="tx1"/>
                        </w14:solidFill>
                      </w14:textFill>
                    </w:rPr>
                    <w:t>原料装卸和堆存过程</w:t>
                  </w:r>
                </w:p>
              </w:tc>
              <w:tc>
                <w:tcPr>
                  <w:tcW w:w="480" w:type="pct"/>
                  <w:tcBorders>
                    <w:top w:val="single" w:color="auto" w:sz="4" w:space="0"/>
                    <w:left w:val="single" w:color="auto" w:sz="0" w:space="0"/>
                    <w:bottom w:val="single" w:color="auto" w:sz="4" w:space="0"/>
                    <w:right w:val="single" w:color="auto" w:sz="4" w:space="0"/>
                  </w:tcBorders>
                  <w:shd w:val="clear" w:color="auto" w:fill="auto"/>
                  <w:vAlign w:val="center"/>
                </w:tcPr>
                <w:p w14:paraId="09370144">
                  <w:pPr>
                    <w:pStyle w:val="61"/>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color w:val="000000" w:themeColor="text1"/>
                      <w:kern w:val="0"/>
                      <w:sz w:val="21"/>
                      <w:szCs w:val="21"/>
                      <w:u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bidi="ar-SA"/>
                      <w14:textFill>
                        <w14:solidFill>
                          <w14:schemeClr w14:val="tx1"/>
                        </w14:solidFill>
                      </w14:textFill>
                    </w:rPr>
                    <w:t>颗粒物</w:t>
                  </w:r>
                </w:p>
              </w:tc>
              <w:tc>
                <w:tcPr>
                  <w:tcW w:w="480" w:type="pct"/>
                  <w:tcBorders>
                    <w:top w:val="single" w:color="auto" w:sz="4" w:space="0"/>
                    <w:left w:val="single" w:color="auto" w:sz="4" w:space="0"/>
                    <w:bottom w:val="single" w:color="auto" w:sz="4" w:space="0"/>
                    <w:right w:val="single" w:color="auto" w:sz="4" w:space="0"/>
                  </w:tcBorders>
                  <w:shd w:val="clear" w:color="auto" w:fill="auto"/>
                  <w:vAlign w:val="center"/>
                </w:tcPr>
                <w:p w14:paraId="10D1A4C3">
                  <w:pPr>
                    <w:keepNext w:val="0"/>
                    <w:keepLines w:val="0"/>
                    <w:widowControl/>
                    <w:suppressLineNumbers w:val="0"/>
                    <w:jc w:val="center"/>
                    <w:textAlignment w:val="center"/>
                    <w:rPr>
                      <w:rFonts w:hint="default" w:ascii="Times New Roman" w:hAnsi="Times New Roman" w:eastAsia="等线" w:cs="Times New Roman"/>
                      <w:color w:val="000000" w:themeColor="text1"/>
                      <w:kern w:val="0"/>
                      <w:sz w:val="21"/>
                      <w:szCs w:val="21"/>
                      <w:u w:val="none"/>
                      <w:lang w:val="en-US" w:eastAsia="zh-CN" w:bidi="ar-SA"/>
                      <w14:textFill>
                        <w14:solidFill>
                          <w14:schemeClr w14:val="tx1"/>
                        </w14:solidFill>
                      </w14:textFill>
                    </w:rPr>
                  </w:pPr>
                  <w:r>
                    <w:rPr>
                      <w:rFonts w:hint="default" w:ascii="Times New Roman" w:hAnsi="Times New Roman" w:eastAsia="等线" w:cs="Times New Roman"/>
                      <w:color w:val="000000" w:themeColor="text1"/>
                      <w:kern w:val="0"/>
                      <w:sz w:val="21"/>
                      <w:szCs w:val="21"/>
                      <w:u w:val="none"/>
                      <w:lang w:val="en-US" w:eastAsia="zh-CN" w:bidi="ar-SA"/>
                      <w14:textFill>
                        <w14:solidFill>
                          <w14:schemeClr w14:val="tx1"/>
                        </w14:solidFill>
                      </w14:textFill>
                    </w:rPr>
                    <w:t>0.25</w:t>
                  </w:r>
                </w:p>
              </w:tc>
              <w:tc>
                <w:tcPr>
                  <w:tcW w:w="580" w:type="pct"/>
                  <w:tcBorders>
                    <w:top w:val="single" w:color="auto" w:sz="4" w:space="0"/>
                    <w:left w:val="single" w:color="auto" w:sz="4" w:space="0"/>
                    <w:bottom w:val="single" w:color="auto" w:sz="4" w:space="0"/>
                    <w:right w:val="single" w:color="auto" w:sz="4" w:space="0"/>
                  </w:tcBorders>
                  <w:shd w:val="clear" w:color="auto" w:fill="auto"/>
                  <w:vAlign w:val="center"/>
                </w:tcPr>
                <w:p w14:paraId="10AFAFAE">
                  <w:pPr>
                    <w:keepNext w:val="0"/>
                    <w:keepLines w:val="0"/>
                    <w:widowControl/>
                    <w:suppressLineNumbers w:val="0"/>
                    <w:jc w:val="center"/>
                    <w:textAlignment w:val="center"/>
                    <w:rPr>
                      <w:rFonts w:hint="default" w:ascii="Times New Roman" w:hAnsi="Times New Roman" w:eastAsia="等线" w:cs="Times New Roman"/>
                      <w:color w:val="000000" w:themeColor="text1"/>
                      <w:kern w:val="0"/>
                      <w:sz w:val="21"/>
                      <w:szCs w:val="21"/>
                      <w:u w:val="none"/>
                      <w:lang w:val="en-US" w:eastAsia="zh-CN" w:bidi="ar-SA"/>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0.5</w:t>
                  </w:r>
                </w:p>
              </w:tc>
              <w:tc>
                <w:tcPr>
                  <w:tcW w:w="580" w:type="pct"/>
                  <w:tcBorders>
                    <w:top w:val="single" w:color="auto" w:sz="4" w:space="0"/>
                    <w:left w:val="single" w:color="auto" w:sz="4" w:space="0"/>
                    <w:bottom w:val="single" w:color="auto" w:sz="4" w:space="0"/>
                    <w:right w:val="single" w:color="auto" w:sz="4" w:space="0"/>
                  </w:tcBorders>
                  <w:shd w:val="clear" w:color="auto" w:fill="auto"/>
                  <w:vAlign w:val="center"/>
                </w:tcPr>
                <w:p w14:paraId="74476DE3">
                  <w:pPr>
                    <w:pStyle w:val="61"/>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eastAsia="等线" w:cs="Times New Roman"/>
                      <w:color w:val="000000" w:themeColor="text1"/>
                      <w:kern w:val="0"/>
                      <w:sz w:val="21"/>
                      <w:szCs w:val="21"/>
                      <w:u w:val="none"/>
                      <w:lang w:val="en-US" w:eastAsia="zh-CN" w:bidi="ar-SA"/>
                      <w14:textFill>
                        <w14:solidFill>
                          <w14:schemeClr w14:val="tx1"/>
                        </w14:solidFill>
                      </w14:textFill>
                    </w:rPr>
                  </w:pPr>
                  <w:r>
                    <w:rPr>
                      <w:rFonts w:hint="default" w:ascii="Times New Roman" w:hAnsi="Times New Roman" w:eastAsia="等线" w:cs="Times New Roman"/>
                      <w:color w:val="000000" w:themeColor="text1"/>
                      <w:sz w:val="21"/>
                      <w:szCs w:val="21"/>
                      <w:u w:val="none"/>
                      <w14:textFill>
                        <w14:solidFill>
                          <w14:schemeClr w14:val="tx1"/>
                        </w14:solidFill>
                      </w14:textFill>
                    </w:rPr>
                    <w:t>/</w:t>
                  </w:r>
                </w:p>
              </w:tc>
              <w:tc>
                <w:tcPr>
                  <w:tcW w:w="480" w:type="pct"/>
                  <w:tcBorders>
                    <w:top w:val="single" w:color="auto" w:sz="4" w:space="0"/>
                    <w:left w:val="single" w:color="auto" w:sz="4" w:space="0"/>
                    <w:bottom w:val="single" w:color="auto" w:sz="4" w:space="0"/>
                    <w:right w:val="single" w:color="auto" w:sz="4" w:space="0"/>
                  </w:tcBorders>
                  <w:shd w:val="clear" w:color="auto" w:fill="auto"/>
                  <w:vAlign w:val="center"/>
                </w:tcPr>
                <w:p w14:paraId="33341B02">
                  <w:pPr>
                    <w:pStyle w:val="61"/>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eastAsia="等线" w:cs="Times New Roman"/>
                      <w:color w:val="000000" w:themeColor="text1"/>
                      <w:kern w:val="0"/>
                      <w:sz w:val="21"/>
                      <w:szCs w:val="21"/>
                      <w:u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t>车间阻隔</w:t>
                  </w:r>
                </w:p>
              </w:tc>
              <w:tc>
                <w:tcPr>
                  <w:tcW w:w="480" w:type="pct"/>
                  <w:tcBorders>
                    <w:top w:val="single" w:color="auto" w:sz="4" w:space="0"/>
                    <w:left w:val="single" w:color="auto" w:sz="4" w:space="0"/>
                    <w:bottom w:val="single" w:color="auto" w:sz="4" w:space="0"/>
                    <w:right w:val="single" w:color="auto" w:sz="4" w:space="0"/>
                  </w:tcBorders>
                  <w:shd w:val="clear" w:color="auto" w:fill="auto"/>
                  <w:vAlign w:val="center"/>
                </w:tcPr>
                <w:p w14:paraId="2E4ACB59">
                  <w:pPr>
                    <w:keepNext w:val="0"/>
                    <w:keepLines w:val="0"/>
                    <w:widowControl/>
                    <w:suppressLineNumbers w:val="0"/>
                    <w:jc w:val="center"/>
                    <w:textAlignment w:val="center"/>
                    <w:rPr>
                      <w:rFonts w:hint="default" w:ascii="Times New Roman" w:hAnsi="Times New Roman" w:eastAsia="等线" w:cs="Times New Roman"/>
                      <w:color w:val="000000" w:themeColor="text1"/>
                      <w:kern w:val="0"/>
                      <w:sz w:val="21"/>
                      <w:szCs w:val="21"/>
                      <w:u w:val="none"/>
                      <w:lang w:val="en-US" w:eastAsia="zh-CN" w:bidi="ar-SA"/>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0.025</w:t>
                  </w:r>
                </w:p>
              </w:tc>
              <w:tc>
                <w:tcPr>
                  <w:tcW w:w="480" w:type="pct"/>
                  <w:tcBorders>
                    <w:top w:val="single" w:color="auto" w:sz="4" w:space="0"/>
                    <w:left w:val="single" w:color="auto" w:sz="4" w:space="0"/>
                    <w:bottom w:val="single" w:color="auto" w:sz="4" w:space="0"/>
                    <w:right w:val="single" w:color="auto" w:sz="4" w:space="0"/>
                  </w:tcBorders>
                  <w:shd w:val="clear" w:color="auto" w:fill="auto"/>
                  <w:vAlign w:val="center"/>
                </w:tcPr>
                <w:p w14:paraId="15FE5F6F">
                  <w:pPr>
                    <w:keepNext w:val="0"/>
                    <w:keepLines w:val="0"/>
                    <w:widowControl/>
                    <w:suppressLineNumbers w:val="0"/>
                    <w:jc w:val="center"/>
                    <w:textAlignment w:val="center"/>
                    <w:rPr>
                      <w:rFonts w:hint="default" w:ascii="Times New Roman" w:hAnsi="Times New Roman" w:eastAsia="等线" w:cs="Times New Roman"/>
                      <w:color w:val="000000" w:themeColor="text1"/>
                      <w:kern w:val="0"/>
                      <w:sz w:val="21"/>
                      <w:szCs w:val="21"/>
                      <w:u w:val="none"/>
                      <w:lang w:val="en-US" w:eastAsia="zh-CN" w:bidi="ar-SA"/>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0.05</w:t>
                  </w:r>
                </w:p>
              </w:tc>
              <w:tc>
                <w:tcPr>
                  <w:tcW w:w="480" w:type="pct"/>
                  <w:tcBorders>
                    <w:top w:val="single" w:color="auto" w:sz="4" w:space="0"/>
                    <w:left w:val="single" w:color="auto" w:sz="4" w:space="0"/>
                    <w:bottom w:val="single" w:color="auto" w:sz="4" w:space="0"/>
                    <w:right w:val="single" w:color="auto" w:sz="4" w:space="0"/>
                  </w:tcBorders>
                  <w:shd w:val="clear" w:color="auto" w:fill="auto"/>
                  <w:vAlign w:val="center"/>
                </w:tcPr>
                <w:p w14:paraId="26892427">
                  <w:pPr>
                    <w:pStyle w:val="61"/>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eastAsia="等线" w:cs="Times New Roman"/>
                      <w:color w:val="000000" w:themeColor="text1"/>
                      <w:kern w:val="0"/>
                      <w:sz w:val="21"/>
                      <w:szCs w:val="21"/>
                      <w:u w:val="none"/>
                      <w:lang w:val="en-US" w:eastAsia="zh-CN" w:bidi="ar-SA"/>
                      <w14:textFill>
                        <w14:solidFill>
                          <w14:schemeClr w14:val="tx1"/>
                        </w14:solidFill>
                      </w14:textFill>
                    </w:rPr>
                  </w:pPr>
                  <w:r>
                    <w:rPr>
                      <w:rFonts w:hint="default" w:ascii="Times New Roman" w:hAnsi="Times New Roman" w:eastAsia="等线" w:cs="Times New Roman"/>
                      <w:color w:val="000000" w:themeColor="text1"/>
                      <w:sz w:val="21"/>
                      <w:szCs w:val="21"/>
                      <w:u w:val="none"/>
                      <w14:textFill>
                        <w14:solidFill>
                          <w14:schemeClr w14:val="tx1"/>
                        </w14:solidFill>
                      </w14:textFill>
                    </w:rPr>
                    <w:t>/</w:t>
                  </w:r>
                </w:p>
              </w:tc>
            </w:tr>
            <w:tr w14:paraId="6CE6A56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301" w:type="pct"/>
                  <w:vMerge w:val="continue"/>
                  <w:tcBorders>
                    <w:left w:val="single" w:color="auto" w:sz="0" w:space="0"/>
                    <w:right w:val="single" w:color="auto" w:sz="4" w:space="0"/>
                  </w:tcBorders>
                  <w:shd w:val="clear" w:color="auto" w:fill="auto"/>
                  <w:vAlign w:val="center"/>
                </w:tcPr>
                <w:p w14:paraId="4EBF0FED">
                  <w:pPr>
                    <w:pStyle w:val="61"/>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cs="Times New Roman"/>
                      <w:b w:val="0"/>
                      <w:bCs/>
                      <w:color w:val="000000" w:themeColor="text1"/>
                      <w:sz w:val="21"/>
                      <w:szCs w:val="21"/>
                      <w:highlight w:val="none"/>
                      <w:u w:val="none"/>
                      <w:lang w:val="en-US" w:eastAsia="zh-CN"/>
                      <w14:textFill>
                        <w14:solidFill>
                          <w14:schemeClr w14:val="tx1"/>
                        </w14:solidFill>
                      </w14:textFill>
                    </w:rPr>
                  </w:pPr>
                </w:p>
              </w:tc>
              <w:tc>
                <w:tcPr>
                  <w:tcW w:w="654" w:type="pct"/>
                  <w:tcBorders>
                    <w:top w:val="single" w:color="auto" w:sz="4" w:space="0"/>
                    <w:left w:val="single" w:color="auto" w:sz="0" w:space="0"/>
                    <w:bottom w:val="single" w:color="auto" w:sz="4" w:space="0"/>
                    <w:right w:val="single" w:color="auto" w:sz="4" w:space="0"/>
                  </w:tcBorders>
                  <w:shd w:val="clear" w:color="auto" w:fill="auto"/>
                  <w:vAlign w:val="center"/>
                </w:tcPr>
                <w:p w14:paraId="1C60307B">
                  <w:pPr>
                    <w:pStyle w:val="61"/>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cs="Times New Roman"/>
                      <w:color w:val="000000" w:themeColor="text1"/>
                      <w:sz w:val="21"/>
                      <w:szCs w:val="21"/>
                      <w:u w:val="none"/>
                      <w:lang w:val="en-US" w:eastAsia="zh-CN"/>
                      <w14:textFill>
                        <w14:solidFill>
                          <w14:schemeClr w14:val="tx1"/>
                        </w14:solidFill>
                      </w14:textFill>
                    </w:rPr>
                  </w:pPr>
                  <w:r>
                    <w:rPr>
                      <w:rFonts w:hint="default" w:ascii="Times New Roman" w:hAnsi="Times New Roman" w:cs="Times New Roman"/>
                      <w:color w:val="000000" w:themeColor="text1"/>
                      <w:sz w:val="21"/>
                      <w:szCs w:val="21"/>
                      <w:u w:val="none"/>
                      <w:lang w:val="en-US" w:eastAsia="zh-CN"/>
                      <w14:textFill>
                        <w14:solidFill>
                          <w14:schemeClr w14:val="tx1"/>
                        </w14:solidFill>
                      </w14:textFill>
                    </w:rPr>
                    <w:t>破碎工序</w:t>
                  </w:r>
                </w:p>
              </w:tc>
              <w:tc>
                <w:tcPr>
                  <w:tcW w:w="480" w:type="pct"/>
                  <w:tcBorders>
                    <w:top w:val="single" w:color="auto" w:sz="4" w:space="0"/>
                    <w:left w:val="single" w:color="auto" w:sz="0" w:space="0"/>
                    <w:bottom w:val="single" w:color="auto" w:sz="4" w:space="0"/>
                    <w:right w:val="single" w:color="auto" w:sz="4" w:space="0"/>
                  </w:tcBorders>
                  <w:shd w:val="clear" w:color="auto" w:fill="auto"/>
                  <w:vAlign w:val="center"/>
                </w:tcPr>
                <w:p w14:paraId="5B6C3289">
                  <w:pPr>
                    <w:pStyle w:val="61"/>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cs="Times New Roman"/>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bidi="ar-SA"/>
                      <w14:textFill>
                        <w14:solidFill>
                          <w14:schemeClr w14:val="tx1"/>
                        </w14:solidFill>
                      </w14:textFill>
                    </w:rPr>
                    <w:t>颗粒物</w:t>
                  </w:r>
                </w:p>
              </w:tc>
              <w:tc>
                <w:tcPr>
                  <w:tcW w:w="480" w:type="pct"/>
                  <w:tcBorders>
                    <w:top w:val="single" w:color="auto" w:sz="4" w:space="0"/>
                    <w:left w:val="single" w:color="auto" w:sz="4" w:space="0"/>
                    <w:bottom w:val="single" w:color="auto" w:sz="4" w:space="0"/>
                    <w:right w:val="single" w:color="auto" w:sz="4" w:space="0"/>
                  </w:tcBorders>
                  <w:shd w:val="clear" w:color="auto" w:fill="auto"/>
                  <w:vAlign w:val="center"/>
                </w:tcPr>
                <w:p w14:paraId="08379F91">
                  <w:pPr>
                    <w:keepNext w:val="0"/>
                    <w:keepLines w:val="0"/>
                    <w:widowControl/>
                    <w:suppressLineNumbers w:val="0"/>
                    <w:jc w:val="center"/>
                    <w:textAlignment w:val="center"/>
                    <w:rPr>
                      <w:rFonts w:hint="default" w:ascii="Times New Roman" w:hAnsi="Times New Roman" w:eastAsia="等线" w:cs="Times New Roman"/>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0.033</w:t>
                  </w:r>
                </w:p>
              </w:tc>
              <w:tc>
                <w:tcPr>
                  <w:tcW w:w="580" w:type="pct"/>
                  <w:tcBorders>
                    <w:top w:val="single" w:color="auto" w:sz="4" w:space="0"/>
                    <w:left w:val="single" w:color="auto" w:sz="4" w:space="0"/>
                    <w:bottom w:val="single" w:color="auto" w:sz="4" w:space="0"/>
                    <w:right w:val="single" w:color="auto" w:sz="4" w:space="0"/>
                  </w:tcBorders>
                  <w:shd w:val="clear" w:color="auto" w:fill="auto"/>
                  <w:vAlign w:val="center"/>
                </w:tcPr>
                <w:p w14:paraId="348218E8">
                  <w:pPr>
                    <w:keepNext w:val="0"/>
                    <w:keepLines w:val="0"/>
                    <w:widowControl/>
                    <w:suppressLineNumbers w:val="0"/>
                    <w:jc w:val="center"/>
                    <w:textAlignment w:val="center"/>
                    <w:rPr>
                      <w:rFonts w:hint="default" w:ascii="Times New Roman" w:hAnsi="Times New Roman" w:eastAsia="等线" w:cs="Times New Roman"/>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0.132</w:t>
                  </w:r>
                </w:p>
              </w:tc>
              <w:tc>
                <w:tcPr>
                  <w:tcW w:w="580" w:type="pct"/>
                  <w:tcBorders>
                    <w:top w:val="single" w:color="auto" w:sz="4" w:space="0"/>
                    <w:left w:val="single" w:color="auto" w:sz="4" w:space="0"/>
                    <w:bottom w:val="single" w:color="auto" w:sz="4" w:space="0"/>
                    <w:right w:val="single" w:color="auto" w:sz="4" w:space="0"/>
                  </w:tcBorders>
                  <w:shd w:val="clear" w:color="auto" w:fill="auto"/>
                  <w:vAlign w:val="center"/>
                </w:tcPr>
                <w:p w14:paraId="7B74984D">
                  <w:pPr>
                    <w:pStyle w:val="61"/>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eastAsia="等线" w:cs="Times New Roman"/>
                      <w:color w:val="000000" w:themeColor="text1"/>
                      <w:sz w:val="21"/>
                      <w:szCs w:val="21"/>
                      <w:u w:val="none"/>
                      <w:lang w:val="en-US" w:eastAsia="zh-CN"/>
                      <w14:textFill>
                        <w14:solidFill>
                          <w14:schemeClr w14:val="tx1"/>
                        </w14:solidFill>
                      </w14:textFill>
                    </w:rPr>
                  </w:pPr>
                  <w:r>
                    <w:rPr>
                      <w:rFonts w:hint="default" w:ascii="Times New Roman" w:hAnsi="Times New Roman" w:eastAsia="等线" w:cs="Times New Roman"/>
                      <w:color w:val="000000" w:themeColor="text1"/>
                      <w:sz w:val="21"/>
                      <w:szCs w:val="21"/>
                      <w:u w:val="none"/>
                      <w14:textFill>
                        <w14:solidFill>
                          <w14:schemeClr w14:val="tx1"/>
                        </w14:solidFill>
                      </w14:textFill>
                    </w:rPr>
                    <w:t>/</w:t>
                  </w:r>
                </w:p>
              </w:tc>
              <w:tc>
                <w:tcPr>
                  <w:tcW w:w="480" w:type="pct"/>
                  <w:tcBorders>
                    <w:top w:val="single" w:color="auto" w:sz="4" w:space="0"/>
                    <w:left w:val="single" w:color="auto" w:sz="4" w:space="0"/>
                    <w:bottom w:val="single" w:color="auto" w:sz="4" w:space="0"/>
                    <w:right w:val="single" w:color="auto" w:sz="4" w:space="0"/>
                  </w:tcBorders>
                  <w:shd w:val="clear" w:color="auto" w:fill="auto"/>
                  <w:vAlign w:val="center"/>
                </w:tcPr>
                <w:p w14:paraId="66A1A515">
                  <w:pPr>
                    <w:pStyle w:val="61"/>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eastAsia="等线" w:cs="Times New Roman"/>
                      <w:color w:val="000000" w:themeColor="text1"/>
                      <w:sz w:val="21"/>
                      <w:szCs w:val="21"/>
                      <w:u w:val="none"/>
                      <w:lang w:val="en-US" w:eastAsia="zh-CN"/>
                      <w14:textFill>
                        <w14:solidFill>
                          <w14:schemeClr w14:val="tx1"/>
                        </w14:solidFill>
                      </w14:textFill>
                    </w:rPr>
                  </w:pPr>
                  <w:r>
                    <w:rPr>
                      <w:rFonts w:hint="default" w:ascii="Times New Roman" w:hAnsi="Times New Roman" w:eastAsia="等线" w:cs="Times New Roman"/>
                      <w:color w:val="000000" w:themeColor="text1"/>
                      <w:sz w:val="21"/>
                      <w:szCs w:val="21"/>
                      <w:u w:val="none"/>
                      <w14:textFill>
                        <w14:solidFill>
                          <w14:schemeClr w14:val="tx1"/>
                        </w14:solidFill>
                      </w14:textFill>
                    </w:rPr>
                    <w:t>/</w:t>
                  </w:r>
                </w:p>
              </w:tc>
              <w:tc>
                <w:tcPr>
                  <w:tcW w:w="480" w:type="pct"/>
                  <w:tcBorders>
                    <w:top w:val="single" w:color="auto" w:sz="4" w:space="0"/>
                    <w:left w:val="single" w:color="auto" w:sz="4" w:space="0"/>
                    <w:bottom w:val="single" w:color="auto" w:sz="4" w:space="0"/>
                    <w:right w:val="single" w:color="auto" w:sz="4" w:space="0"/>
                  </w:tcBorders>
                  <w:shd w:val="clear" w:color="auto" w:fill="auto"/>
                  <w:vAlign w:val="center"/>
                </w:tcPr>
                <w:p w14:paraId="3742B0E6">
                  <w:pPr>
                    <w:keepNext w:val="0"/>
                    <w:keepLines w:val="0"/>
                    <w:widowControl/>
                    <w:suppressLineNumbers w:val="0"/>
                    <w:jc w:val="center"/>
                    <w:textAlignment w:val="center"/>
                    <w:rPr>
                      <w:rFonts w:hint="default" w:ascii="Times New Roman" w:hAnsi="Times New Roman" w:eastAsia="等线" w:cs="Times New Roman"/>
                      <w:color w:val="000000" w:themeColor="text1"/>
                      <w:kern w:val="0"/>
                      <w:sz w:val="21"/>
                      <w:szCs w:val="21"/>
                      <w:u w:val="none"/>
                      <w:lang w:val="en-US" w:eastAsia="zh-CN" w:bidi="ar-SA"/>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0.033</w:t>
                  </w:r>
                </w:p>
              </w:tc>
              <w:tc>
                <w:tcPr>
                  <w:tcW w:w="480" w:type="pct"/>
                  <w:tcBorders>
                    <w:top w:val="single" w:color="auto" w:sz="4" w:space="0"/>
                    <w:left w:val="single" w:color="auto" w:sz="4" w:space="0"/>
                    <w:bottom w:val="single" w:color="auto" w:sz="4" w:space="0"/>
                    <w:right w:val="single" w:color="auto" w:sz="4" w:space="0"/>
                  </w:tcBorders>
                  <w:shd w:val="clear" w:color="auto" w:fill="auto"/>
                  <w:vAlign w:val="center"/>
                </w:tcPr>
                <w:p w14:paraId="02D3DE4C">
                  <w:pPr>
                    <w:keepNext w:val="0"/>
                    <w:keepLines w:val="0"/>
                    <w:widowControl/>
                    <w:suppressLineNumbers w:val="0"/>
                    <w:jc w:val="center"/>
                    <w:textAlignment w:val="center"/>
                    <w:rPr>
                      <w:rFonts w:hint="default" w:ascii="Times New Roman" w:hAnsi="Times New Roman" w:eastAsia="等线" w:cs="Times New Roman"/>
                      <w:color w:val="000000" w:themeColor="text1"/>
                      <w:kern w:val="0"/>
                      <w:sz w:val="21"/>
                      <w:szCs w:val="21"/>
                      <w:u w:val="none"/>
                      <w:lang w:val="en-US" w:eastAsia="zh-CN" w:bidi="ar-SA"/>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0.132</w:t>
                  </w:r>
                </w:p>
              </w:tc>
              <w:tc>
                <w:tcPr>
                  <w:tcW w:w="480" w:type="pct"/>
                  <w:tcBorders>
                    <w:top w:val="single" w:color="auto" w:sz="4" w:space="0"/>
                    <w:left w:val="single" w:color="auto" w:sz="4" w:space="0"/>
                    <w:bottom w:val="single" w:color="auto" w:sz="4" w:space="0"/>
                    <w:right w:val="single" w:color="auto" w:sz="4" w:space="0"/>
                  </w:tcBorders>
                  <w:shd w:val="clear" w:color="auto" w:fill="auto"/>
                  <w:vAlign w:val="center"/>
                </w:tcPr>
                <w:p w14:paraId="518E9A0D">
                  <w:pPr>
                    <w:pStyle w:val="61"/>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eastAsia="等线" w:cs="Times New Roman"/>
                      <w:color w:val="000000" w:themeColor="text1"/>
                      <w:sz w:val="21"/>
                      <w:szCs w:val="21"/>
                      <w:u w:val="none"/>
                      <w:lang w:val="en-US" w:eastAsia="zh-CN"/>
                      <w14:textFill>
                        <w14:solidFill>
                          <w14:schemeClr w14:val="tx1"/>
                        </w14:solidFill>
                      </w14:textFill>
                    </w:rPr>
                  </w:pPr>
                  <w:r>
                    <w:rPr>
                      <w:rFonts w:hint="default" w:ascii="Times New Roman" w:hAnsi="Times New Roman" w:eastAsia="等线" w:cs="Times New Roman"/>
                      <w:color w:val="000000" w:themeColor="text1"/>
                      <w:sz w:val="21"/>
                      <w:szCs w:val="21"/>
                      <w:u w:val="none"/>
                      <w14:textFill>
                        <w14:solidFill>
                          <w14:schemeClr w14:val="tx1"/>
                        </w14:solidFill>
                      </w14:textFill>
                    </w:rPr>
                    <w:t>/</w:t>
                  </w:r>
                </w:p>
              </w:tc>
            </w:tr>
            <w:tr w14:paraId="4C7B24A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301" w:type="pct"/>
                  <w:vMerge w:val="continue"/>
                  <w:tcBorders>
                    <w:left w:val="single" w:color="auto" w:sz="0" w:space="0"/>
                    <w:bottom w:val="single" w:color="auto" w:sz="4" w:space="0"/>
                    <w:right w:val="single" w:color="auto" w:sz="4" w:space="0"/>
                  </w:tcBorders>
                  <w:shd w:val="clear" w:color="auto" w:fill="auto"/>
                  <w:vAlign w:val="center"/>
                </w:tcPr>
                <w:p w14:paraId="776CA298">
                  <w:pPr>
                    <w:pStyle w:val="61"/>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cs="Times New Roman"/>
                      <w:b w:val="0"/>
                      <w:bCs/>
                      <w:color w:val="000000" w:themeColor="text1"/>
                      <w:sz w:val="21"/>
                      <w:szCs w:val="21"/>
                      <w:highlight w:val="none"/>
                      <w:u w:val="none"/>
                      <w:lang w:val="en-US" w:eastAsia="zh-CN"/>
                      <w14:textFill>
                        <w14:solidFill>
                          <w14:schemeClr w14:val="tx1"/>
                        </w14:solidFill>
                      </w14:textFill>
                    </w:rPr>
                  </w:pPr>
                </w:p>
              </w:tc>
              <w:tc>
                <w:tcPr>
                  <w:tcW w:w="654" w:type="pct"/>
                  <w:tcBorders>
                    <w:top w:val="single" w:color="auto" w:sz="4" w:space="0"/>
                    <w:left w:val="single" w:color="auto" w:sz="0" w:space="0"/>
                    <w:bottom w:val="single" w:color="auto" w:sz="4" w:space="0"/>
                    <w:right w:val="single" w:color="auto" w:sz="4" w:space="0"/>
                  </w:tcBorders>
                  <w:shd w:val="clear" w:color="auto" w:fill="auto"/>
                  <w:vAlign w:val="center"/>
                </w:tcPr>
                <w:p w14:paraId="4911F59E">
                  <w:pPr>
                    <w:pStyle w:val="61"/>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cs="Times New Roman"/>
                      <w:b w:val="0"/>
                      <w:bCs/>
                      <w:color w:val="000000" w:themeColor="text1"/>
                      <w:sz w:val="21"/>
                      <w:szCs w:val="21"/>
                      <w:highlight w:val="none"/>
                      <w:u w:val="none"/>
                      <w:lang w:val="en-US" w:eastAsia="zh-CN"/>
                      <w14:textFill>
                        <w14:solidFill>
                          <w14:schemeClr w14:val="tx1"/>
                        </w14:solidFill>
                      </w14:textFill>
                    </w:rPr>
                  </w:pPr>
                  <w:r>
                    <w:rPr>
                      <w:rFonts w:hint="default" w:ascii="Times New Roman" w:hAnsi="Times New Roman" w:cs="Times New Roman"/>
                      <w:b w:val="0"/>
                      <w:bCs/>
                      <w:color w:val="000000" w:themeColor="text1"/>
                      <w:sz w:val="21"/>
                      <w:szCs w:val="21"/>
                      <w:highlight w:val="none"/>
                      <w:u w:val="none"/>
                      <w:lang w:val="en-US" w:eastAsia="zh-CN"/>
                      <w14:textFill>
                        <w14:solidFill>
                          <w14:schemeClr w14:val="tx1"/>
                        </w14:solidFill>
                      </w14:textFill>
                    </w:rPr>
                    <w:t>包装工序</w:t>
                  </w:r>
                </w:p>
              </w:tc>
              <w:tc>
                <w:tcPr>
                  <w:tcW w:w="480" w:type="pct"/>
                  <w:tcBorders>
                    <w:top w:val="single" w:color="auto" w:sz="4" w:space="0"/>
                    <w:left w:val="single" w:color="auto" w:sz="0" w:space="0"/>
                    <w:bottom w:val="single" w:color="auto" w:sz="4" w:space="0"/>
                    <w:right w:val="single" w:color="auto" w:sz="4" w:space="0"/>
                  </w:tcBorders>
                  <w:shd w:val="clear" w:color="auto" w:fill="auto"/>
                  <w:vAlign w:val="center"/>
                </w:tcPr>
                <w:p w14:paraId="382B264D">
                  <w:pPr>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color w:val="000000" w:themeColor="text1"/>
                      <w:kern w:val="0"/>
                      <w:sz w:val="21"/>
                      <w:szCs w:val="21"/>
                      <w:u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bidi="ar-SA"/>
                      <w14:textFill>
                        <w14:solidFill>
                          <w14:schemeClr w14:val="tx1"/>
                        </w14:solidFill>
                      </w14:textFill>
                    </w:rPr>
                    <w:t>颗粒物</w:t>
                  </w:r>
                </w:p>
              </w:tc>
              <w:tc>
                <w:tcPr>
                  <w:tcW w:w="480" w:type="pct"/>
                  <w:tcBorders>
                    <w:top w:val="single" w:color="auto" w:sz="4" w:space="0"/>
                    <w:left w:val="single" w:color="auto" w:sz="4" w:space="0"/>
                    <w:bottom w:val="single" w:color="auto" w:sz="4" w:space="0"/>
                    <w:right w:val="single" w:color="auto" w:sz="4" w:space="0"/>
                  </w:tcBorders>
                  <w:shd w:val="clear" w:color="auto" w:fill="auto"/>
                  <w:vAlign w:val="center"/>
                </w:tcPr>
                <w:p w14:paraId="17C8DD66">
                  <w:pPr>
                    <w:keepNext w:val="0"/>
                    <w:keepLines w:val="0"/>
                    <w:widowControl/>
                    <w:suppressLineNumbers w:val="0"/>
                    <w:jc w:val="center"/>
                    <w:textAlignment w:val="center"/>
                    <w:rPr>
                      <w:rFonts w:hint="default" w:ascii="Times New Roman" w:hAnsi="Times New Roman" w:eastAsia="等线" w:cs="Times New Roman"/>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0.005</w:t>
                  </w:r>
                </w:p>
              </w:tc>
              <w:tc>
                <w:tcPr>
                  <w:tcW w:w="580" w:type="pct"/>
                  <w:tcBorders>
                    <w:top w:val="single" w:color="auto" w:sz="4" w:space="0"/>
                    <w:left w:val="single" w:color="auto" w:sz="4" w:space="0"/>
                    <w:bottom w:val="single" w:color="auto" w:sz="4" w:space="0"/>
                    <w:right w:val="single" w:color="auto" w:sz="4" w:space="0"/>
                  </w:tcBorders>
                  <w:shd w:val="clear" w:color="auto" w:fill="auto"/>
                  <w:vAlign w:val="center"/>
                </w:tcPr>
                <w:p w14:paraId="52E568A0">
                  <w:pPr>
                    <w:keepNext w:val="0"/>
                    <w:keepLines w:val="0"/>
                    <w:widowControl/>
                    <w:suppressLineNumbers w:val="0"/>
                    <w:jc w:val="center"/>
                    <w:textAlignment w:val="center"/>
                    <w:rPr>
                      <w:rFonts w:hint="default" w:ascii="Times New Roman" w:hAnsi="Times New Roman" w:eastAsia="等线" w:cs="Times New Roman"/>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0.259</w:t>
                  </w:r>
                </w:p>
              </w:tc>
              <w:tc>
                <w:tcPr>
                  <w:tcW w:w="580" w:type="pct"/>
                  <w:tcBorders>
                    <w:top w:val="single" w:color="auto" w:sz="4" w:space="0"/>
                    <w:left w:val="single" w:color="auto" w:sz="4" w:space="0"/>
                    <w:bottom w:val="single" w:color="auto" w:sz="4" w:space="0"/>
                    <w:right w:val="single" w:color="auto" w:sz="4" w:space="0"/>
                  </w:tcBorders>
                  <w:shd w:val="clear" w:color="auto" w:fill="auto"/>
                  <w:vAlign w:val="center"/>
                </w:tcPr>
                <w:p w14:paraId="11338942">
                  <w:pPr>
                    <w:pStyle w:val="61"/>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eastAsia="等线" w:cs="Times New Roman"/>
                      <w:color w:val="000000" w:themeColor="text1"/>
                      <w:sz w:val="21"/>
                      <w:szCs w:val="21"/>
                      <w:u w:val="none"/>
                      <w:lang w:val="en-US" w:eastAsia="zh-CN"/>
                      <w14:textFill>
                        <w14:solidFill>
                          <w14:schemeClr w14:val="tx1"/>
                        </w14:solidFill>
                      </w14:textFill>
                    </w:rPr>
                  </w:pPr>
                  <w:r>
                    <w:rPr>
                      <w:rFonts w:hint="default" w:ascii="Times New Roman" w:hAnsi="Times New Roman" w:eastAsia="等线" w:cs="Times New Roman"/>
                      <w:color w:val="000000" w:themeColor="text1"/>
                      <w:sz w:val="21"/>
                      <w:szCs w:val="21"/>
                      <w:u w:val="none"/>
                      <w14:textFill>
                        <w14:solidFill>
                          <w14:schemeClr w14:val="tx1"/>
                        </w14:solidFill>
                      </w14:textFill>
                    </w:rPr>
                    <w:t>/</w:t>
                  </w:r>
                </w:p>
              </w:tc>
              <w:tc>
                <w:tcPr>
                  <w:tcW w:w="480" w:type="pct"/>
                  <w:tcBorders>
                    <w:top w:val="single" w:color="auto" w:sz="4" w:space="0"/>
                    <w:left w:val="single" w:color="auto" w:sz="4" w:space="0"/>
                    <w:bottom w:val="single" w:color="auto" w:sz="4" w:space="0"/>
                    <w:right w:val="single" w:color="auto" w:sz="4" w:space="0"/>
                  </w:tcBorders>
                  <w:shd w:val="clear" w:color="auto" w:fill="auto"/>
                  <w:vAlign w:val="center"/>
                </w:tcPr>
                <w:p w14:paraId="191B16BE">
                  <w:pPr>
                    <w:pStyle w:val="61"/>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eastAsia="等线" w:cs="Times New Roman"/>
                      <w:color w:val="000000" w:themeColor="text1"/>
                      <w:sz w:val="21"/>
                      <w:szCs w:val="21"/>
                      <w:u w:val="none"/>
                      <w:lang w:val="en-US" w:eastAsia="zh-CN"/>
                      <w14:textFill>
                        <w14:solidFill>
                          <w14:schemeClr w14:val="tx1"/>
                        </w14:solidFill>
                      </w14:textFill>
                    </w:rPr>
                  </w:pPr>
                  <w:r>
                    <w:rPr>
                      <w:rFonts w:hint="default" w:ascii="Times New Roman" w:hAnsi="Times New Roman" w:eastAsia="等线" w:cs="Times New Roman"/>
                      <w:color w:val="000000" w:themeColor="text1"/>
                      <w:sz w:val="21"/>
                      <w:szCs w:val="21"/>
                      <w:u w:val="none"/>
                      <w14:textFill>
                        <w14:solidFill>
                          <w14:schemeClr w14:val="tx1"/>
                        </w14:solidFill>
                      </w14:textFill>
                    </w:rPr>
                    <w:t>/</w:t>
                  </w:r>
                </w:p>
              </w:tc>
              <w:tc>
                <w:tcPr>
                  <w:tcW w:w="480" w:type="pct"/>
                  <w:tcBorders>
                    <w:top w:val="single" w:color="auto" w:sz="4" w:space="0"/>
                    <w:left w:val="single" w:color="auto" w:sz="4" w:space="0"/>
                    <w:bottom w:val="single" w:color="auto" w:sz="4" w:space="0"/>
                    <w:right w:val="single" w:color="auto" w:sz="4" w:space="0"/>
                  </w:tcBorders>
                  <w:shd w:val="clear" w:color="auto" w:fill="auto"/>
                  <w:vAlign w:val="center"/>
                </w:tcPr>
                <w:p w14:paraId="0D9637F7">
                  <w:pPr>
                    <w:keepNext w:val="0"/>
                    <w:keepLines w:val="0"/>
                    <w:widowControl/>
                    <w:suppressLineNumbers w:val="0"/>
                    <w:jc w:val="center"/>
                    <w:textAlignment w:val="center"/>
                    <w:rPr>
                      <w:rFonts w:hint="default" w:ascii="Times New Roman" w:hAnsi="Times New Roman" w:eastAsia="等线" w:cs="Times New Roman"/>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0.005</w:t>
                  </w:r>
                </w:p>
              </w:tc>
              <w:tc>
                <w:tcPr>
                  <w:tcW w:w="480" w:type="pct"/>
                  <w:tcBorders>
                    <w:top w:val="single" w:color="auto" w:sz="4" w:space="0"/>
                    <w:left w:val="single" w:color="auto" w:sz="4" w:space="0"/>
                    <w:bottom w:val="single" w:color="auto" w:sz="4" w:space="0"/>
                    <w:right w:val="single" w:color="auto" w:sz="4" w:space="0"/>
                  </w:tcBorders>
                  <w:shd w:val="clear" w:color="auto" w:fill="auto"/>
                  <w:vAlign w:val="center"/>
                </w:tcPr>
                <w:p w14:paraId="1ABBBA7C">
                  <w:pPr>
                    <w:keepNext w:val="0"/>
                    <w:keepLines w:val="0"/>
                    <w:widowControl/>
                    <w:suppressLineNumbers w:val="0"/>
                    <w:jc w:val="center"/>
                    <w:textAlignment w:val="center"/>
                    <w:rPr>
                      <w:rFonts w:hint="default" w:ascii="Times New Roman" w:hAnsi="Times New Roman" w:eastAsia="等线" w:cs="Times New Roman"/>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0.259</w:t>
                  </w:r>
                </w:p>
              </w:tc>
              <w:tc>
                <w:tcPr>
                  <w:tcW w:w="480" w:type="pct"/>
                  <w:tcBorders>
                    <w:top w:val="single" w:color="auto" w:sz="4" w:space="0"/>
                    <w:left w:val="single" w:color="auto" w:sz="4" w:space="0"/>
                    <w:bottom w:val="single" w:color="auto" w:sz="4" w:space="0"/>
                    <w:right w:val="single" w:color="auto" w:sz="4" w:space="0"/>
                  </w:tcBorders>
                  <w:shd w:val="clear" w:color="auto" w:fill="auto"/>
                  <w:vAlign w:val="center"/>
                </w:tcPr>
                <w:p w14:paraId="1815B9B9">
                  <w:pPr>
                    <w:pStyle w:val="61"/>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eastAsia="等线" w:cs="Times New Roman"/>
                      <w:color w:val="000000" w:themeColor="text1"/>
                      <w:sz w:val="21"/>
                      <w:szCs w:val="21"/>
                      <w:u w:val="none"/>
                      <w:lang w:val="en-US" w:eastAsia="zh-CN"/>
                      <w14:textFill>
                        <w14:solidFill>
                          <w14:schemeClr w14:val="tx1"/>
                        </w14:solidFill>
                      </w14:textFill>
                    </w:rPr>
                  </w:pPr>
                  <w:r>
                    <w:rPr>
                      <w:rFonts w:hint="default" w:ascii="Times New Roman" w:hAnsi="Times New Roman" w:eastAsia="等线" w:cs="Times New Roman"/>
                      <w:color w:val="000000" w:themeColor="text1"/>
                      <w:sz w:val="21"/>
                      <w:szCs w:val="21"/>
                      <w:u w:val="none"/>
                      <w14:textFill>
                        <w14:solidFill>
                          <w14:schemeClr w14:val="tx1"/>
                        </w14:solidFill>
                      </w14:textFill>
                    </w:rPr>
                    <w:t>/</w:t>
                  </w:r>
                </w:p>
              </w:tc>
            </w:tr>
            <w:tr w14:paraId="61ACF60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436" w:type="pct"/>
                  <w:gridSpan w:val="3"/>
                  <w:tcBorders>
                    <w:top w:val="single" w:color="auto" w:sz="4" w:space="0"/>
                    <w:left w:val="single" w:color="auto" w:sz="0" w:space="0"/>
                    <w:bottom w:val="single" w:color="auto" w:sz="4" w:space="0"/>
                    <w:right w:val="single" w:color="auto" w:sz="4" w:space="0"/>
                  </w:tcBorders>
                  <w:shd w:val="clear" w:color="auto" w:fill="auto"/>
                  <w:vAlign w:val="center"/>
                </w:tcPr>
                <w:p w14:paraId="4B3D31D2">
                  <w:pPr>
                    <w:pStyle w:val="61"/>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default" w:ascii="Times New Roman" w:hAnsi="Times New Roman" w:cs="Times New Roman"/>
                      <w:color w:val="000000" w:themeColor="text1"/>
                      <w:sz w:val="21"/>
                      <w:szCs w:val="21"/>
                      <w:u w:val="none"/>
                      <w:lang w:val="en-US" w:eastAsia="zh-CN"/>
                      <w14:textFill>
                        <w14:solidFill>
                          <w14:schemeClr w14:val="tx1"/>
                        </w14:solidFill>
                      </w14:textFill>
                    </w:rPr>
                    <w:t>合计</w:t>
                  </w:r>
                </w:p>
              </w:tc>
              <w:tc>
                <w:tcPr>
                  <w:tcW w:w="480" w:type="pct"/>
                  <w:tcBorders>
                    <w:top w:val="single" w:color="auto" w:sz="4" w:space="0"/>
                    <w:left w:val="single" w:color="auto" w:sz="4" w:space="0"/>
                    <w:bottom w:val="single" w:color="auto" w:sz="4" w:space="0"/>
                    <w:right w:val="single" w:color="auto" w:sz="4" w:space="0"/>
                  </w:tcBorders>
                  <w:shd w:val="clear" w:color="auto" w:fill="auto"/>
                  <w:vAlign w:val="center"/>
                </w:tcPr>
                <w:p w14:paraId="170526D2">
                  <w:pPr>
                    <w:keepNext w:val="0"/>
                    <w:keepLines w:val="0"/>
                    <w:widowControl/>
                    <w:suppressLineNumbers w:val="0"/>
                    <w:jc w:val="center"/>
                    <w:textAlignment w:val="center"/>
                    <w:rPr>
                      <w:rFonts w:hint="default" w:ascii="Times New Roman" w:hAnsi="Times New Roman" w:eastAsia="等线" w:cs="Times New Roman"/>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0.288</w:t>
                  </w:r>
                </w:p>
              </w:tc>
              <w:tc>
                <w:tcPr>
                  <w:tcW w:w="580" w:type="pct"/>
                  <w:tcBorders>
                    <w:top w:val="single" w:color="auto" w:sz="4" w:space="0"/>
                    <w:left w:val="single" w:color="auto" w:sz="4" w:space="0"/>
                    <w:bottom w:val="single" w:color="auto" w:sz="4" w:space="0"/>
                    <w:right w:val="single" w:color="auto" w:sz="4" w:space="0"/>
                  </w:tcBorders>
                  <w:shd w:val="clear" w:color="auto" w:fill="auto"/>
                  <w:vAlign w:val="center"/>
                </w:tcPr>
                <w:p w14:paraId="7B18F4C0">
                  <w:pPr>
                    <w:keepNext w:val="0"/>
                    <w:keepLines w:val="0"/>
                    <w:widowControl/>
                    <w:suppressLineNumbers w:val="0"/>
                    <w:jc w:val="center"/>
                    <w:textAlignment w:val="center"/>
                    <w:rPr>
                      <w:rFonts w:hint="default" w:ascii="Times New Roman" w:hAnsi="Times New Roman" w:eastAsia="等线" w:cs="Times New Roman"/>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0.891</w:t>
                  </w:r>
                </w:p>
              </w:tc>
              <w:tc>
                <w:tcPr>
                  <w:tcW w:w="580" w:type="pct"/>
                  <w:tcBorders>
                    <w:top w:val="single" w:color="auto" w:sz="4" w:space="0"/>
                    <w:left w:val="single" w:color="auto" w:sz="4" w:space="0"/>
                    <w:bottom w:val="single" w:color="auto" w:sz="4" w:space="0"/>
                    <w:right w:val="single" w:color="auto" w:sz="4" w:space="0"/>
                  </w:tcBorders>
                  <w:shd w:val="clear" w:color="auto" w:fill="auto"/>
                  <w:vAlign w:val="center"/>
                </w:tcPr>
                <w:p w14:paraId="7CA69894">
                  <w:pPr>
                    <w:pStyle w:val="61"/>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eastAsia="等线" w:cs="Times New Roman"/>
                      <w:color w:val="000000" w:themeColor="text1"/>
                      <w:kern w:val="0"/>
                      <w:sz w:val="21"/>
                      <w:szCs w:val="21"/>
                      <w:u w:val="none"/>
                      <w:lang w:val="en-US" w:eastAsia="zh-CN" w:bidi="ar-SA"/>
                      <w14:textFill>
                        <w14:solidFill>
                          <w14:schemeClr w14:val="tx1"/>
                        </w14:solidFill>
                      </w14:textFill>
                    </w:rPr>
                  </w:pPr>
                  <w:r>
                    <w:rPr>
                      <w:rFonts w:hint="default" w:ascii="Times New Roman" w:hAnsi="Times New Roman" w:eastAsia="等线" w:cs="Times New Roman"/>
                      <w:color w:val="000000" w:themeColor="text1"/>
                      <w:sz w:val="21"/>
                      <w:szCs w:val="21"/>
                      <w:u w:val="none"/>
                      <w14:textFill>
                        <w14:solidFill>
                          <w14:schemeClr w14:val="tx1"/>
                        </w14:solidFill>
                      </w14:textFill>
                    </w:rPr>
                    <w:t>/</w:t>
                  </w:r>
                </w:p>
              </w:tc>
              <w:tc>
                <w:tcPr>
                  <w:tcW w:w="480" w:type="pct"/>
                  <w:tcBorders>
                    <w:top w:val="single" w:color="auto" w:sz="4" w:space="0"/>
                    <w:left w:val="single" w:color="auto" w:sz="4" w:space="0"/>
                    <w:bottom w:val="single" w:color="auto" w:sz="4" w:space="0"/>
                    <w:right w:val="single" w:color="auto" w:sz="4" w:space="0"/>
                  </w:tcBorders>
                  <w:shd w:val="clear" w:color="auto" w:fill="auto"/>
                  <w:vAlign w:val="center"/>
                </w:tcPr>
                <w:p w14:paraId="4433046B">
                  <w:pPr>
                    <w:pStyle w:val="61"/>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eastAsia="等线" w:cs="Times New Roman"/>
                      <w:color w:val="000000" w:themeColor="text1"/>
                      <w:kern w:val="0"/>
                      <w:sz w:val="21"/>
                      <w:szCs w:val="21"/>
                      <w:u w:val="none"/>
                      <w:lang w:val="en-US" w:eastAsia="zh-CN" w:bidi="ar-SA"/>
                      <w14:textFill>
                        <w14:solidFill>
                          <w14:schemeClr w14:val="tx1"/>
                        </w14:solidFill>
                      </w14:textFill>
                    </w:rPr>
                  </w:pPr>
                  <w:r>
                    <w:rPr>
                      <w:rFonts w:hint="default" w:ascii="Times New Roman" w:hAnsi="Times New Roman" w:eastAsia="等线" w:cs="Times New Roman"/>
                      <w:color w:val="000000" w:themeColor="text1"/>
                      <w:sz w:val="21"/>
                      <w:szCs w:val="21"/>
                      <w:u w:val="none"/>
                      <w:lang w:val="en-US" w:eastAsia="zh-CN"/>
                      <w14:textFill>
                        <w14:solidFill>
                          <w14:schemeClr w14:val="tx1"/>
                        </w14:solidFill>
                      </w14:textFill>
                    </w:rPr>
                    <w:t>/</w:t>
                  </w:r>
                </w:p>
              </w:tc>
              <w:tc>
                <w:tcPr>
                  <w:tcW w:w="480" w:type="pct"/>
                  <w:tcBorders>
                    <w:top w:val="single" w:color="auto" w:sz="4" w:space="0"/>
                    <w:left w:val="single" w:color="auto" w:sz="4" w:space="0"/>
                    <w:bottom w:val="single" w:color="auto" w:sz="4" w:space="0"/>
                    <w:right w:val="single" w:color="auto" w:sz="4" w:space="0"/>
                  </w:tcBorders>
                  <w:shd w:val="clear" w:color="auto" w:fill="auto"/>
                  <w:vAlign w:val="center"/>
                </w:tcPr>
                <w:p w14:paraId="2B3BC8FE">
                  <w:pPr>
                    <w:keepNext w:val="0"/>
                    <w:keepLines w:val="0"/>
                    <w:widowControl/>
                    <w:suppressLineNumbers w:val="0"/>
                    <w:jc w:val="center"/>
                    <w:textAlignment w:val="center"/>
                    <w:rPr>
                      <w:rFonts w:hint="default" w:ascii="Times New Roman" w:hAnsi="Times New Roman" w:eastAsia="等线" w:cs="Times New Roman"/>
                      <w:color w:val="000000" w:themeColor="text1"/>
                      <w:kern w:val="0"/>
                      <w:sz w:val="21"/>
                      <w:szCs w:val="21"/>
                      <w:u w:val="none"/>
                      <w:lang w:val="en-US" w:eastAsia="zh-CN" w:bidi="ar-SA"/>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0.063</w:t>
                  </w:r>
                </w:p>
              </w:tc>
              <w:tc>
                <w:tcPr>
                  <w:tcW w:w="480" w:type="pct"/>
                  <w:tcBorders>
                    <w:top w:val="single" w:color="auto" w:sz="4" w:space="0"/>
                    <w:left w:val="single" w:color="auto" w:sz="4" w:space="0"/>
                    <w:bottom w:val="single" w:color="auto" w:sz="4" w:space="0"/>
                    <w:right w:val="single" w:color="auto" w:sz="4" w:space="0"/>
                  </w:tcBorders>
                  <w:shd w:val="clear" w:color="auto" w:fill="auto"/>
                  <w:vAlign w:val="center"/>
                </w:tcPr>
                <w:p w14:paraId="12596ACF">
                  <w:pPr>
                    <w:keepNext w:val="0"/>
                    <w:keepLines w:val="0"/>
                    <w:widowControl/>
                    <w:suppressLineNumbers w:val="0"/>
                    <w:jc w:val="center"/>
                    <w:textAlignment w:val="center"/>
                    <w:rPr>
                      <w:rFonts w:hint="default" w:ascii="Times New Roman" w:hAnsi="Times New Roman" w:eastAsia="等线" w:cs="Times New Roman"/>
                      <w:color w:val="000000" w:themeColor="text1"/>
                      <w:kern w:val="0"/>
                      <w:sz w:val="21"/>
                      <w:szCs w:val="21"/>
                      <w:u w:val="none"/>
                      <w:lang w:val="en-US" w:eastAsia="zh-CN" w:bidi="ar-SA"/>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0.441</w:t>
                  </w:r>
                </w:p>
              </w:tc>
              <w:tc>
                <w:tcPr>
                  <w:tcW w:w="480" w:type="pct"/>
                  <w:tcBorders>
                    <w:top w:val="single" w:color="auto" w:sz="4" w:space="0"/>
                    <w:left w:val="single" w:color="auto" w:sz="4" w:space="0"/>
                    <w:bottom w:val="single" w:color="auto" w:sz="4" w:space="0"/>
                    <w:right w:val="single" w:color="auto" w:sz="4" w:space="0"/>
                  </w:tcBorders>
                  <w:shd w:val="clear" w:color="auto" w:fill="auto"/>
                  <w:vAlign w:val="center"/>
                </w:tcPr>
                <w:p w14:paraId="40D2C765">
                  <w:pPr>
                    <w:pStyle w:val="61"/>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eastAsia="等线" w:cs="Times New Roman"/>
                      <w:color w:val="000000" w:themeColor="text1"/>
                      <w:kern w:val="0"/>
                      <w:sz w:val="21"/>
                      <w:szCs w:val="21"/>
                      <w:u w:val="none"/>
                      <w:lang w:val="en-US" w:eastAsia="zh-CN" w:bidi="ar-SA"/>
                      <w14:textFill>
                        <w14:solidFill>
                          <w14:schemeClr w14:val="tx1"/>
                        </w14:solidFill>
                      </w14:textFill>
                    </w:rPr>
                  </w:pPr>
                  <w:r>
                    <w:rPr>
                      <w:rFonts w:hint="default" w:ascii="Times New Roman" w:hAnsi="Times New Roman" w:eastAsia="等线" w:cs="Times New Roman"/>
                      <w:color w:val="000000" w:themeColor="text1"/>
                      <w:sz w:val="21"/>
                      <w:szCs w:val="21"/>
                      <w:u w:val="none"/>
                      <w14:textFill>
                        <w14:solidFill>
                          <w14:schemeClr w14:val="tx1"/>
                        </w14:solidFill>
                      </w14:textFill>
                    </w:rPr>
                    <w:t>/</w:t>
                  </w:r>
                </w:p>
              </w:tc>
            </w:tr>
          </w:tbl>
          <w:p w14:paraId="2639209F">
            <w:pPr>
              <w:pStyle w:val="58"/>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ind w:left="0" w:leftChars="0" w:right="0" w:firstLine="480" w:firstLineChars="200"/>
              <w:jc w:val="both"/>
              <w:textAlignment w:val="auto"/>
              <w:rPr>
                <w:rFonts w:hint="eastAsia" w:ascii="Times New Roman" w:hAnsi="Times New Roman" w:cs="Times New Roman"/>
              </w:rPr>
            </w:pPr>
            <w:r>
              <w:rPr>
                <w:rFonts w:hint="default" w:ascii="Times New Roman" w:hAnsi="Times New Roman" w:eastAsia="宋体" w:cs="Times New Roman"/>
                <w:bCs/>
                <w:color w:val="000000" w:themeColor="text1"/>
                <w:sz w:val="24"/>
                <w:szCs w:val="24"/>
                <w:highlight w:val="none"/>
                <w:u w:val="none" w:color="auto"/>
                <w14:textFill>
                  <w14:solidFill>
                    <w14:schemeClr w14:val="tx1"/>
                  </w14:solidFill>
                </w14:textFill>
              </w:rPr>
              <w:t>根据上述分析，本项目废气污染物排放情况见下表。</w:t>
            </w:r>
          </w:p>
        </w:tc>
      </w:tr>
    </w:tbl>
    <w:p w14:paraId="62E51C22">
      <w:pPr>
        <w:sectPr>
          <w:pgSz w:w="11905" w:h="16838"/>
          <w:pgMar w:top="1440" w:right="1083" w:bottom="1440" w:left="1083" w:header="851" w:footer="992" w:gutter="0"/>
          <w:pgNumType w:fmt="decimal"/>
          <w:cols w:space="720" w:num="1"/>
          <w:docGrid w:type="lines" w:linePitch="312" w:charSpace="0"/>
        </w:sectPr>
      </w:pPr>
    </w:p>
    <w:tbl>
      <w:tblPr>
        <w:tblStyle w:val="29"/>
        <w:tblW w:w="4999"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456"/>
        <w:gridCol w:w="13635"/>
      </w:tblGrid>
      <w:tr w14:paraId="1056A3E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62" w:type="pct"/>
            <w:noWrap w:val="0"/>
            <w:tcMar>
              <w:left w:w="28" w:type="dxa"/>
              <w:right w:w="28" w:type="dxa"/>
            </w:tcMar>
            <w:vAlign w:val="center"/>
          </w:tcPr>
          <w:p w14:paraId="18FE4691">
            <w:pPr>
              <w:adjustRightInd w:val="0"/>
              <w:snapToGrid w:val="0"/>
              <w:jc w:val="center"/>
              <w:rPr>
                <w:bCs/>
                <w:color w:val="000000"/>
                <w:sz w:val="24"/>
              </w:rPr>
            </w:pPr>
          </w:p>
        </w:tc>
        <w:tc>
          <w:tcPr>
            <w:tcW w:w="4837" w:type="pct"/>
            <w:noWrap w:val="0"/>
            <w:vAlign w:val="top"/>
          </w:tcPr>
          <w:p w14:paraId="141EB62C">
            <w:pPr>
              <w:keepNext w:val="0"/>
              <w:keepLines w:val="0"/>
              <w:pageBreakBefore w:val="0"/>
              <w:widowControl/>
              <w:kinsoku/>
              <w:wordWrap/>
              <w:overflowPunct/>
              <w:topLinePunct w:val="0"/>
              <w:autoSpaceDE/>
              <w:autoSpaceDN/>
              <w:bidi w:val="0"/>
              <w:adjustRightInd w:val="0"/>
              <w:snapToGrid w:val="0"/>
              <w:spacing w:line="360" w:lineRule="auto"/>
              <w:ind w:firstLine="0"/>
              <w:jc w:val="center"/>
              <w:textAlignment w:val="auto"/>
              <w:rPr>
                <w:rFonts w:hint="default" w:ascii="Times New Roman" w:hAnsi="Times New Roman" w:eastAsia="宋体" w:cs="Times New Roman"/>
                <w:b/>
                <w:color w:val="000000" w:themeColor="text1"/>
                <w:kern w:val="2"/>
                <w:sz w:val="24"/>
                <w:szCs w:val="24"/>
                <w:highlight w:val="none"/>
                <w:u w:val="none" w:color="auto"/>
                <w:lang w:val="en-US" w:eastAsia="zh-CN" w:bidi="ar-SA"/>
                <w14:textFill>
                  <w14:solidFill>
                    <w14:schemeClr w14:val="tx1"/>
                  </w14:solidFill>
                </w14:textFill>
              </w:rPr>
            </w:pPr>
            <w:r>
              <w:rPr>
                <w:rFonts w:hint="default" w:ascii="Times New Roman" w:hAnsi="Times New Roman" w:eastAsia="宋体" w:cs="Times New Roman"/>
                <w:b/>
                <w:color w:val="000000" w:themeColor="text1"/>
                <w:kern w:val="2"/>
                <w:sz w:val="24"/>
                <w:szCs w:val="24"/>
                <w:highlight w:val="none"/>
                <w:u w:val="none" w:color="auto"/>
                <w:lang w:val="en-US" w:eastAsia="zh-CN" w:bidi="ar-SA"/>
                <w14:textFill>
                  <w14:solidFill>
                    <w14:schemeClr w14:val="tx1"/>
                  </w14:solidFill>
                </w14:textFill>
              </w:rPr>
              <w:t>表4-</w:t>
            </w:r>
            <w:r>
              <w:rPr>
                <w:rFonts w:hint="eastAsia" w:cs="Times New Roman"/>
                <w:b/>
                <w:color w:val="000000" w:themeColor="text1"/>
                <w:kern w:val="2"/>
                <w:sz w:val="24"/>
                <w:szCs w:val="24"/>
                <w:highlight w:val="none"/>
                <w:u w:val="none" w:color="auto"/>
                <w:lang w:val="en-US" w:eastAsia="zh-CN" w:bidi="ar-SA"/>
                <w14:textFill>
                  <w14:solidFill>
                    <w14:schemeClr w14:val="tx1"/>
                  </w14:solidFill>
                </w14:textFill>
              </w:rPr>
              <w:t>8</w:t>
            </w:r>
            <w:r>
              <w:rPr>
                <w:rFonts w:hint="default" w:ascii="Times New Roman" w:hAnsi="Times New Roman" w:eastAsia="宋体" w:cs="Times New Roman"/>
                <w:b/>
                <w:color w:val="000000" w:themeColor="text1"/>
                <w:kern w:val="2"/>
                <w:sz w:val="24"/>
                <w:szCs w:val="24"/>
                <w:highlight w:val="none"/>
                <w:u w:val="none" w:color="auto"/>
                <w:lang w:val="en-US" w:eastAsia="zh-CN" w:bidi="ar-SA"/>
                <w14:textFill>
                  <w14:solidFill>
                    <w14:schemeClr w14:val="tx1"/>
                  </w14:solidFill>
                </w14:textFill>
              </w:rPr>
              <w:t xml:space="preserve"> </w:t>
            </w:r>
            <w:r>
              <w:rPr>
                <w:rFonts w:hint="eastAsia" w:ascii="Times New Roman" w:hAnsi="Times New Roman" w:eastAsia="宋体" w:cs="Times New Roman"/>
                <w:b/>
                <w:color w:val="000000" w:themeColor="text1"/>
                <w:kern w:val="2"/>
                <w:sz w:val="24"/>
                <w:szCs w:val="24"/>
                <w:highlight w:val="none"/>
                <w:u w:val="none" w:color="auto"/>
                <w:lang w:val="en-US" w:eastAsia="zh-CN" w:bidi="ar-SA"/>
                <w14:textFill>
                  <w14:solidFill>
                    <w14:schemeClr w14:val="tx1"/>
                  </w14:solidFill>
                </w14:textFill>
              </w:rPr>
              <w:t xml:space="preserve"> </w:t>
            </w:r>
            <w:r>
              <w:rPr>
                <w:rFonts w:hint="default" w:ascii="Times New Roman" w:hAnsi="Times New Roman" w:eastAsia="宋体" w:cs="Times New Roman"/>
                <w:b/>
                <w:color w:val="000000" w:themeColor="text1"/>
                <w:kern w:val="2"/>
                <w:sz w:val="24"/>
                <w:szCs w:val="24"/>
                <w:highlight w:val="none"/>
                <w:u w:val="none" w:color="auto"/>
                <w:lang w:val="en-US" w:eastAsia="zh-CN" w:bidi="ar-SA"/>
                <w14:textFill>
                  <w14:solidFill>
                    <w14:schemeClr w14:val="tx1"/>
                  </w14:solidFill>
                </w14:textFill>
              </w:rPr>
              <w:t>项目废气产排情况一览表</w:t>
            </w:r>
          </w:p>
          <w:tbl>
            <w:tblPr>
              <w:tblStyle w:val="29"/>
              <w:tblW w:w="492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23"/>
              <w:gridCol w:w="521"/>
              <w:gridCol w:w="1423"/>
              <w:gridCol w:w="704"/>
              <w:gridCol w:w="907"/>
              <w:gridCol w:w="950"/>
              <w:gridCol w:w="902"/>
              <w:gridCol w:w="2307"/>
              <w:gridCol w:w="601"/>
              <w:gridCol w:w="601"/>
              <w:gridCol w:w="436"/>
              <w:gridCol w:w="625"/>
              <w:gridCol w:w="899"/>
              <w:gridCol w:w="899"/>
              <w:gridCol w:w="921"/>
            </w:tblGrid>
            <w:tr w14:paraId="77C547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8" w:type="pct"/>
                  <w:vMerge w:val="restart"/>
                  <w:noWrap w:val="0"/>
                  <w:vAlign w:val="center"/>
                </w:tcPr>
                <w:p w14:paraId="66BD5F8B">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排放形式</w:t>
                  </w:r>
                </w:p>
              </w:tc>
              <w:tc>
                <w:tcPr>
                  <w:tcW w:w="735" w:type="pct"/>
                  <w:gridSpan w:val="2"/>
                  <w:vMerge w:val="restart"/>
                  <w:noWrap w:val="0"/>
                  <w:vAlign w:val="center"/>
                </w:tcPr>
                <w:p w14:paraId="68AEB9F1">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产排污环节</w:t>
                  </w:r>
                </w:p>
              </w:tc>
              <w:tc>
                <w:tcPr>
                  <w:tcW w:w="266" w:type="pct"/>
                  <w:vMerge w:val="restart"/>
                  <w:noWrap w:val="0"/>
                  <w:vAlign w:val="center"/>
                </w:tcPr>
                <w:p w14:paraId="03922317">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污染因子</w:t>
                  </w:r>
                </w:p>
              </w:tc>
              <w:tc>
                <w:tcPr>
                  <w:tcW w:w="1043" w:type="pct"/>
                  <w:gridSpan w:val="3"/>
                  <w:noWrap w:val="0"/>
                  <w:vAlign w:val="center"/>
                </w:tcPr>
                <w:p w14:paraId="4D7D8A2C">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产生情况</w:t>
                  </w:r>
                </w:p>
              </w:tc>
              <w:tc>
                <w:tcPr>
                  <w:tcW w:w="1491" w:type="pct"/>
                  <w:gridSpan w:val="4"/>
                  <w:noWrap w:val="0"/>
                  <w:vAlign w:val="center"/>
                </w:tcPr>
                <w:p w14:paraId="52F8D2F9">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治理情况</w:t>
                  </w:r>
                </w:p>
              </w:tc>
              <w:tc>
                <w:tcPr>
                  <w:tcW w:w="236" w:type="pct"/>
                  <w:noWrap w:val="0"/>
                  <w:vAlign w:val="center"/>
                </w:tcPr>
                <w:p w14:paraId="3C86567D">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textAlignment w:val="auto"/>
                    <w:outlineLvl w:val="9"/>
                    <w:rPr>
                      <w:rFonts w:hint="eastAsia"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eastAsia" w:cs="Times New Roman"/>
                      <w:color w:val="000000" w:themeColor="text1"/>
                      <w:sz w:val="21"/>
                      <w:szCs w:val="21"/>
                      <w:highlight w:val="none"/>
                      <w:u w:val="none" w:color="auto"/>
                      <w:lang w:val="en-US" w:eastAsia="zh-CN"/>
                      <w14:textFill>
                        <w14:solidFill>
                          <w14:schemeClr w14:val="tx1"/>
                        </w14:solidFill>
                      </w14:textFill>
                    </w:rPr>
                    <w:t>/</w:t>
                  </w:r>
                </w:p>
              </w:tc>
              <w:tc>
                <w:tcPr>
                  <w:tcW w:w="1028" w:type="pct"/>
                  <w:gridSpan w:val="3"/>
                  <w:noWrap w:val="0"/>
                  <w:vAlign w:val="center"/>
                </w:tcPr>
                <w:p w14:paraId="5AACB7CC">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排放情况</w:t>
                  </w:r>
                </w:p>
              </w:tc>
            </w:tr>
            <w:tr w14:paraId="4DBFE3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8" w:type="pct"/>
                  <w:vMerge w:val="continue"/>
                  <w:noWrap w:val="0"/>
                  <w:vAlign w:val="center"/>
                </w:tcPr>
                <w:p w14:paraId="1F0E267B">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735" w:type="pct"/>
                  <w:gridSpan w:val="2"/>
                  <w:vMerge w:val="continue"/>
                  <w:noWrap w:val="0"/>
                  <w:vAlign w:val="center"/>
                </w:tcPr>
                <w:p w14:paraId="54AFC67D">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266" w:type="pct"/>
                  <w:vMerge w:val="continue"/>
                  <w:noWrap w:val="0"/>
                  <w:vAlign w:val="center"/>
                </w:tcPr>
                <w:p w14:paraId="75D3177A">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343" w:type="pct"/>
                  <w:noWrap w:val="0"/>
                  <w:vAlign w:val="center"/>
                </w:tcPr>
                <w:p w14:paraId="2CF04728">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产生量t/a</w:t>
                  </w:r>
                </w:p>
              </w:tc>
              <w:tc>
                <w:tcPr>
                  <w:tcW w:w="359" w:type="pct"/>
                  <w:noWrap w:val="0"/>
                  <w:vAlign w:val="center"/>
                </w:tcPr>
                <w:p w14:paraId="1D695E4E">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产生速率kg/h</w:t>
                  </w:r>
                </w:p>
              </w:tc>
              <w:tc>
                <w:tcPr>
                  <w:tcW w:w="341" w:type="pct"/>
                  <w:noWrap w:val="0"/>
                  <w:vAlign w:val="center"/>
                </w:tcPr>
                <w:p w14:paraId="610909DC">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lang w:val="en-GB" w:eastAsia="zh-TW"/>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产生</w:t>
                  </w: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浓度</w:t>
                  </w:r>
                </w:p>
                <w:p w14:paraId="40D57201">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mg/m</w:t>
                  </w:r>
                  <w:r>
                    <w:rPr>
                      <w:rFonts w:hint="default" w:ascii="Times New Roman" w:hAnsi="Times New Roman" w:eastAsia="宋体" w:cs="Times New Roman"/>
                      <w:color w:val="000000" w:themeColor="text1"/>
                      <w:sz w:val="21"/>
                      <w:szCs w:val="21"/>
                      <w:highlight w:val="none"/>
                      <w:u w:val="none" w:color="auto"/>
                      <w:vertAlign w:val="superscript"/>
                      <w14:textFill>
                        <w14:solidFill>
                          <w14:schemeClr w14:val="tx1"/>
                        </w14:solidFill>
                      </w14:textFill>
                    </w:rPr>
                    <w:t>3</w:t>
                  </w:r>
                </w:p>
              </w:tc>
              <w:tc>
                <w:tcPr>
                  <w:tcW w:w="872" w:type="pct"/>
                  <w:noWrap w:val="0"/>
                  <w:vAlign w:val="center"/>
                </w:tcPr>
                <w:p w14:paraId="3E90D42B">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治理设施</w:t>
                  </w:r>
                </w:p>
              </w:tc>
              <w:tc>
                <w:tcPr>
                  <w:tcW w:w="227" w:type="pct"/>
                  <w:noWrap w:val="0"/>
                  <w:vAlign w:val="center"/>
                </w:tcPr>
                <w:p w14:paraId="0FB1F7A5">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收集效率%</w:t>
                  </w:r>
                </w:p>
              </w:tc>
              <w:tc>
                <w:tcPr>
                  <w:tcW w:w="227" w:type="pct"/>
                  <w:noWrap w:val="0"/>
                  <w:vAlign w:val="center"/>
                </w:tcPr>
                <w:p w14:paraId="6F9DF7A7">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eastAsia" w:cs="Times New Roman"/>
                      <w:color w:val="000000" w:themeColor="text1"/>
                      <w:sz w:val="21"/>
                      <w:szCs w:val="21"/>
                      <w:highlight w:val="none"/>
                      <w:u w:val="none" w:color="auto"/>
                      <w:lang w:val="en-US" w:eastAsia="zh-CN"/>
                      <w14:textFill>
                        <w14:solidFill>
                          <w14:schemeClr w14:val="tx1"/>
                        </w14:solidFill>
                      </w14:textFill>
                    </w:rPr>
                    <w:t>处理</w:t>
                  </w: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效率%</w:t>
                  </w:r>
                </w:p>
              </w:tc>
              <w:tc>
                <w:tcPr>
                  <w:tcW w:w="164" w:type="pct"/>
                  <w:noWrap w:val="0"/>
                  <w:vAlign w:val="center"/>
                </w:tcPr>
                <w:p w14:paraId="09E9F155">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技术可行性</w:t>
                  </w:r>
                </w:p>
              </w:tc>
              <w:tc>
                <w:tcPr>
                  <w:tcW w:w="236" w:type="pct"/>
                  <w:noWrap w:val="0"/>
                  <w:vAlign w:val="center"/>
                </w:tcPr>
                <w:p w14:paraId="62617F98">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eastAsia" w:cs="Times New Roman"/>
                      <w:color w:val="000000" w:themeColor="text1"/>
                      <w:sz w:val="21"/>
                      <w:szCs w:val="21"/>
                      <w:highlight w:val="none"/>
                      <w:u w:val="none" w:color="auto"/>
                      <w:lang w:val="en-US" w:eastAsia="zh-CN"/>
                      <w14:textFill>
                        <w14:solidFill>
                          <w14:schemeClr w14:val="tx1"/>
                        </w14:solidFill>
                      </w14:textFill>
                    </w:rPr>
                    <w:t>污染因子</w:t>
                  </w:r>
                </w:p>
              </w:tc>
              <w:tc>
                <w:tcPr>
                  <w:tcW w:w="340" w:type="pct"/>
                  <w:noWrap w:val="0"/>
                  <w:vAlign w:val="center"/>
                </w:tcPr>
                <w:p w14:paraId="42325E2D">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排放量t/a</w:t>
                  </w:r>
                </w:p>
              </w:tc>
              <w:tc>
                <w:tcPr>
                  <w:tcW w:w="340" w:type="pct"/>
                  <w:noWrap w:val="0"/>
                  <w:vAlign w:val="center"/>
                </w:tcPr>
                <w:p w14:paraId="3C17D10A">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排放速率kg/h</w:t>
                  </w:r>
                </w:p>
              </w:tc>
              <w:tc>
                <w:tcPr>
                  <w:tcW w:w="348" w:type="pct"/>
                  <w:noWrap w:val="0"/>
                  <w:vAlign w:val="center"/>
                </w:tcPr>
                <w:p w14:paraId="2B999E45">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lang w:val="en-GB" w:eastAsia="zh-TW"/>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排放</w:t>
                  </w: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浓度</w:t>
                  </w:r>
                </w:p>
                <w:p w14:paraId="4E95EFD1">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mg/m</w:t>
                  </w:r>
                  <w:r>
                    <w:rPr>
                      <w:rFonts w:hint="default" w:ascii="Times New Roman" w:hAnsi="Times New Roman" w:eastAsia="宋体" w:cs="Times New Roman"/>
                      <w:color w:val="000000" w:themeColor="text1"/>
                      <w:sz w:val="21"/>
                      <w:szCs w:val="21"/>
                      <w:highlight w:val="none"/>
                      <w:u w:val="none" w:color="auto"/>
                      <w:vertAlign w:val="superscript"/>
                      <w14:textFill>
                        <w14:solidFill>
                          <w14:schemeClr w14:val="tx1"/>
                        </w14:solidFill>
                      </w14:textFill>
                    </w:rPr>
                    <w:t>3</w:t>
                  </w:r>
                </w:p>
              </w:tc>
            </w:tr>
            <w:tr w14:paraId="1390C1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8" w:type="pct"/>
                  <w:vMerge w:val="restart"/>
                  <w:noWrap w:val="0"/>
                  <w:vAlign w:val="center"/>
                </w:tcPr>
                <w:p w14:paraId="39881BA3">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有组织废气</w:t>
                  </w:r>
                </w:p>
              </w:tc>
              <w:tc>
                <w:tcPr>
                  <w:tcW w:w="197" w:type="pct"/>
                  <w:vMerge w:val="restart"/>
                  <w:noWrap w:val="0"/>
                  <w:vAlign w:val="center"/>
                </w:tcPr>
                <w:p w14:paraId="45BE5FAC">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eastAsia" w:cs="Times New Roman"/>
                      <w:color w:val="000000" w:themeColor="text1"/>
                      <w:sz w:val="21"/>
                      <w:szCs w:val="21"/>
                      <w:highlight w:val="none"/>
                      <w:u w:val="none" w:color="auto"/>
                      <w:lang w:val="en-US" w:eastAsia="zh-CN"/>
                      <w14:textFill>
                        <w14:solidFill>
                          <w14:schemeClr w14:val="tx1"/>
                        </w14:solidFill>
                      </w14:textFill>
                    </w:rPr>
                    <w:t>机制炭</w:t>
                  </w: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生产线</w:t>
                  </w:r>
                </w:p>
              </w:tc>
              <w:tc>
                <w:tcPr>
                  <w:tcW w:w="538" w:type="pct"/>
                  <w:noWrap w:val="0"/>
                  <w:vAlign w:val="center"/>
                </w:tcPr>
                <w:p w14:paraId="4301B814">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eastAsia" w:cs="Times New Roman"/>
                      <w:color w:val="000000" w:themeColor="text1"/>
                      <w:sz w:val="21"/>
                      <w:szCs w:val="21"/>
                      <w:highlight w:val="none"/>
                      <w:u w:val="none" w:color="auto"/>
                      <w:lang w:val="en-US" w:eastAsia="zh-CN"/>
                      <w14:textFill>
                        <w14:solidFill>
                          <w14:schemeClr w14:val="tx1"/>
                        </w14:solidFill>
                      </w14:textFill>
                    </w:rPr>
                    <w:t>破碎、筛分、冷却、锯切、包装工序</w:t>
                  </w:r>
                </w:p>
              </w:tc>
              <w:tc>
                <w:tcPr>
                  <w:tcW w:w="266" w:type="pct"/>
                  <w:noWrap w:val="0"/>
                  <w:vAlign w:val="center"/>
                </w:tcPr>
                <w:p w14:paraId="693CCBA1">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颗粒物</w:t>
                  </w:r>
                </w:p>
              </w:tc>
              <w:tc>
                <w:tcPr>
                  <w:tcW w:w="343" w:type="pct"/>
                  <w:shd w:val="clear" w:color="auto" w:fill="auto"/>
                  <w:noWrap w:val="0"/>
                  <w:vAlign w:val="center"/>
                </w:tcPr>
                <w:p w14:paraId="4DAB2C32">
                  <w:pPr>
                    <w:keepNext w:val="0"/>
                    <w:keepLines w:val="0"/>
                    <w:widowControl/>
                    <w:suppressLineNumbers w:val="0"/>
                    <w:jc w:val="center"/>
                    <w:textAlignment w:val="center"/>
                    <w:rPr>
                      <w:rFonts w:hint="default" w:ascii="Times New Roman" w:hAnsi="Times New Roman" w:eastAsia="等线" w:cs="Times New Roman"/>
                      <w:color w:val="000000" w:themeColor="text1"/>
                      <w:kern w:val="0"/>
                      <w:sz w:val="21"/>
                      <w:szCs w:val="21"/>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16.749</w:t>
                  </w:r>
                </w:p>
              </w:tc>
              <w:tc>
                <w:tcPr>
                  <w:tcW w:w="359" w:type="pct"/>
                  <w:shd w:val="clear" w:color="auto" w:fill="auto"/>
                  <w:noWrap w:val="0"/>
                  <w:vAlign w:val="center"/>
                </w:tcPr>
                <w:p w14:paraId="2773EE53">
                  <w:pPr>
                    <w:keepNext w:val="0"/>
                    <w:keepLines w:val="0"/>
                    <w:widowControl/>
                    <w:suppressLineNumbers w:val="0"/>
                    <w:jc w:val="center"/>
                    <w:textAlignment w:val="center"/>
                    <w:rPr>
                      <w:rFonts w:hint="default" w:ascii="Times New Roman" w:hAnsi="Times New Roman" w:eastAsia="等线" w:cs="Times New Roman"/>
                      <w:color w:val="000000" w:themeColor="text1"/>
                      <w:kern w:val="0"/>
                      <w:sz w:val="21"/>
                      <w:szCs w:val="21"/>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4.653</w:t>
                  </w:r>
                </w:p>
              </w:tc>
              <w:tc>
                <w:tcPr>
                  <w:tcW w:w="341" w:type="pct"/>
                  <w:shd w:val="clear" w:color="auto" w:fill="auto"/>
                  <w:noWrap w:val="0"/>
                  <w:vAlign w:val="center"/>
                </w:tcPr>
                <w:p w14:paraId="7605EEA6">
                  <w:pPr>
                    <w:keepNext w:val="0"/>
                    <w:keepLines w:val="0"/>
                    <w:widowControl/>
                    <w:suppressLineNumbers w:val="0"/>
                    <w:jc w:val="center"/>
                    <w:textAlignment w:val="center"/>
                    <w:rPr>
                      <w:rFonts w:hint="default" w:ascii="Times New Roman" w:hAnsi="Times New Roman" w:eastAsia="等线" w:cs="Times New Roman"/>
                      <w:color w:val="000000" w:themeColor="text1"/>
                      <w:kern w:val="0"/>
                      <w:sz w:val="21"/>
                      <w:szCs w:val="21"/>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775.50</w:t>
                  </w:r>
                </w:p>
              </w:tc>
              <w:tc>
                <w:tcPr>
                  <w:tcW w:w="872" w:type="pct"/>
                  <w:noWrap w:val="0"/>
                  <w:vAlign w:val="center"/>
                </w:tcPr>
                <w:p w14:paraId="4B8F3D48">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eastAsia"/>
                      <w:color w:val="000000" w:themeColor="text1"/>
                      <w:sz w:val="21"/>
                      <w:szCs w:val="21"/>
                      <w:u w:val="none" w:color="auto"/>
                      <w:lang w:val="en-US" w:eastAsia="zh-CN"/>
                      <w14:textFill>
                        <w14:solidFill>
                          <w14:schemeClr w14:val="tx1"/>
                        </w14:solidFill>
                      </w14:textFill>
                    </w:rPr>
                    <w:t>经集气罩收集后管道引至1套袋式除尘器</w:t>
                  </w: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（TA00</w:t>
                  </w:r>
                  <w:r>
                    <w:rPr>
                      <w:rFonts w:hint="eastAsia"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1</w:t>
                  </w: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w:t>
                  </w:r>
                  <w:r>
                    <w:rPr>
                      <w:rFonts w:hint="eastAsia"/>
                      <w:color w:val="000000" w:themeColor="text1"/>
                      <w:sz w:val="21"/>
                      <w:szCs w:val="21"/>
                      <w:u w:val="none" w:color="auto"/>
                      <w:lang w:val="en-US" w:eastAsia="zh-CN"/>
                      <w14:textFill>
                        <w14:solidFill>
                          <w14:schemeClr w14:val="tx1"/>
                        </w14:solidFill>
                      </w14:textFill>
                    </w:rPr>
                    <w:t>收集后，经1根15m高排气筒排放（DA001）</w:t>
                  </w:r>
                </w:p>
              </w:tc>
              <w:tc>
                <w:tcPr>
                  <w:tcW w:w="227" w:type="pct"/>
                  <w:noWrap w:val="0"/>
                  <w:vAlign w:val="center"/>
                </w:tcPr>
                <w:p w14:paraId="19CEDA6B">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9</w:t>
                  </w:r>
                  <w:r>
                    <w:rPr>
                      <w:rFonts w:hint="eastAsia" w:cs="Times New Roman"/>
                      <w:color w:val="000000" w:themeColor="text1"/>
                      <w:sz w:val="21"/>
                      <w:szCs w:val="21"/>
                      <w:highlight w:val="none"/>
                      <w:u w:val="none" w:color="auto"/>
                      <w:lang w:val="en-US" w:eastAsia="zh-CN"/>
                      <w14:textFill>
                        <w14:solidFill>
                          <w14:schemeClr w14:val="tx1"/>
                        </w14:solidFill>
                      </w14:textFill>
                    </w:rPr>
                    <w:t>0</w:t>
                  </w:r>
                </w:p>
              </w:tc>
              <w:tc>
                <w:tcPr>
                  <w:tcW w:w="227" w:type="pct"/>
                  <w:noWrap w:val="0"/>
                  <w:vAlign w:val="center"/>
                </w:tcPr>
                <w:p w14:paraId="171F71F0">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99</w:t>
                  </w:r>
                </w:p>
              </w:tc>
              <w:tc>
                <w:tcPr>
                  <w:tcW w:w="164" w:type="pct"/>
                  <w:noWrap w:val="0"/>
                  <w:vAlign w:val="center"/>
                </w:tcPr>
                <w:p w14:paraId="30E39992">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可行</w:t>
                  </w:r>
                </w:p>
              </w:tc>
              <w:tc>
                <w:tcPr>
                  <w:tcW w:w="236" w:type="pct"/>
                  <w:noWrap w:val="0"/>
                  <w:vAlign w:val="center"/>
                </w:tcPr>
                <w:p w14:paraId="2C855A4E">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textAlignment w:val="auto"/>
                    <w:outlineLvl w:val="9"/>
                    <w:rPr>
                      <w:rFonts w:hint="default" w:cs="Times New Roman"/>
                      <w:color w:val="000000" w:themeColor="text1"/>
                      <w:sz w:val="21"/>
                      <w:szCs w:val="21"/>
                      <w:highlight w:val="none"/>
                      <w:u w:val="none" w:color="auto"/>
                      <w:lang w:val="en-US" w:eastAsia="zh-CN"/>
                      <w14:textFill>
                        <w14:solidFill>
                          <w14:schemeClr w14:val="tx1"/>
                        </w14:solidFill>
                      </w14:textFill>
                    </w:rPr>
                  </w:pPr>
                  <w:r>
                    <w:rPr>
                      <w:rFonts w:hint="eastAsia" w:cs="Times New Roman"/>
                      <w:color w:val="000000" w:themeColor="text1"/>
                      <w:sz w:val="21"/>
                      <w:szCs w:val="21"/>
                      <w:highlight w:val="none"/>
                      <w:u w:val="none" w:color="auto"/>
                      <w:lang w:val="en-US" w:eastAsia="zh-CN"/>
                      <w14:textFill>
                        <w14:solidFill>
                          <w14:schemeClr w14:val="tx1"/>
                        </w14:solidFill>
                      </w14:textFill>
                    </w:rPr>
                    <w:t>颗粒物</w:t>
                  </w:r>
                </w:p>
              </w:tc>
              <w:tc>
                <w:tcPr>
                  <w:tcW w:w="340" w:type="pct"/>
                  <w:shd w:val="clear" w:color="auto" w:fill="auto"/>
                  <w:noWrap w:val="0"/>
                  <w:vAlign w:val="center"/>
                </w:tcPr>
                <w:p w14:paraId="281CE0CF">
                  <w:pPr>
                    <w:pStyle w:val="61"/>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eastAsia="等线" w:cs="Times New Roman"/>
                      <w:color w:val="000000" w:themeColor="text1"/>
                      <w:kern w:val="0"/>
                      <w:sz w:val="21"/>
                      <w:szCs w:val="21"/>
                      <w:u w:val="none" w:color="auto"/>
                      <w:lang w:val="en-US" w:eastAsia="zh-CN" w:bidi="ar-SA"/>
                      <w14:textFill>
                        <w14:solidFill>
                          <w14:schemeClr w14:val="tx1"/>
                        </w14:solidFill>
                      </w14:textFill>
                    </w:rPr>
                  </w:pPr>
                  <w:r>
                    <w:rPr>
                      <w:rFonts w:hint="default" w:ascii="Times New Roman" w:hAnsi="Times New Roman" w:eastAsia="等线" w:cs="Times New Roman"/>
                      <w:color w:val="000000" w:themeColor="text1"/>
                      <w:kern w:val="0"/>
                      <w:sz w:val="21"/>
                      <w:szCs w:val="21"/>
                      <w:u w:val="none" w:color="auto"/>
                      <w:lang w:val="en-US" w:eastAsia="zh-CN" w:bidi="ar-SA"/>
                      <w14:textFill>
                        <w14:solidFill>
                          <w14:schemeClr w14:val="tx1"/>
                        </w14:solidFill>
                      </w14:textFill>
                    </w:rPr>
                    <w:t>0.167</w:t>
                  </w:r>
                </w:p>
              </w:tc>
              <w:tc>
                <w:tcPr>
                  <w:tcW w:w="340" w:type="pct"/>
                  <w:shd w:val="clear" w:color="auto" w:fill="auto"/>
                  <w:noWrap w:val="0"/>
                  <w:vAlign w:val="center"/>
                </w:tcPr>
                <w:p w14:paraId="0A73B1FF">
                  <w:pPr>
                    <w:pStyle w:val="61"/>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eastAsia="等线" w:cs="Times New Roman"/>
                      <w:color w:val="000000" w:themeColor="text1"/>
                      <w:kern w:val="0"/>
                      <w:sz w:val="21"/>
                      <w:szCs w:val="21"/>
                      <w:u w:val="none" w:color="auto"/>
                      <w:lang w:val="en-US" w:eastAsia="zh-CN" w:bidi="ar-SA"/>
                      <w14:textFill>
                        <w14:solidFill>
                          <w14:schemeClr w14:val="tx1"/>
                        </w14:solidFill>
                      </w14:textFill>
                    </w:rPr>
                  </w:pPr>
                  <w:r>
                    <w:rPr>
                      <w:rFonts w:hint="default" w:ascii="Times New Roman" w:hAnsi="Times New Roman" w:eastAsia="等线" w:cs="Times New Roman"/>
                      <w:color w:val="000000" w:themeColor="text1"/>
                      <w:kern w:val="0"/>
                      <w:sz w:val="21"/>
                      <w:szCs w:val="21"/>
                      <w:u w:val="none" w:color="auto"/>
                      <w:lang w:val="en-US" w:eastAsia="zh-CN" w:bidi="ar-SA"/>
                      <w14:textFill>
                        <w14:solidFill>
                          <w14:schemeClr w14:val="tx1"/>
                        </w14:solidFill>
                      </w14:textFill>
                    </w:rPr>
                    <w:t>0.047</w:t>
                  </w:r>
                </w:p>
              </w:tc>
              <w:tc>
                <w:tcPr>
                  <w:tcW w:w="348" w:type="pct"/>
                  <w:shd w:val="clear" w:color="auto" w:fill="auto"/>
                  <w:noWrap w:val="0"/>
                  <w:vAlign w:val="center"/>
                </w:tcPr>
                <w:p w14:paraId="73928D6A">
                  <w:pPr>
                    <w:pStyle w:val="61"/>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eastAsia="等线" w:cs="Times New Roman"/>
                      <w:color w:val="000000" w:themeColor="text1"/>
                      <w:kern w:val="0"/>
                      <w:sz w:val="21"/>
                      <w:szCs w:val="21"/>
                      <w:u w:val="none" w:color="auto"/>
                      <w:lang w:val="en-US" w:eastAsia="zh-CN" w:bidi="ar-SA"/>
                      <w14:textFill>
                        <w14:solidFill>
                          <w14:schemeClr w14:val="tx1"/>
                        </w14:solidFill>
                      </w14:textFill>
                    </w:rPr>
                  </w:pPr>
                  <w:r>
                    <w:rPr>
                      <w:rFonts w:hint="default" w:ascii="Times New Roman" w:hAnsi="Times New Roman" w:eastAsia="等线" w:cs="Times New Roman"/>
                      <w:color w:val="000000" w:themeColor="text1"/>
                      <w:kern w:val="0"/>
                      <w:sz w:val="21"/>
                      <w:szCs w:val="21"/>
                      <w:u w:val="none" w:color="auto"/>
                      <w:lang w:val="en-US" w:eastAsia="zh-CN" w:bidi="ar-SA"/>
                      <w14:textFill>
                        <w14:solidFill>
                          <w14:schemeClr w14:val="tx1"/>
                        </w14:solidFill>
                      </w14:textFill>
                    </w:rPr>
                    <w:t>7.75</w:t>
                  </w:r>
                </w:p>
              </w:tc>
            </w:tr>
            <w:tr w14:paraId="58385B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8" w:type="pct"/>
                  <w:vMerge w:val="continue"/>
                  <w:noWrap w:val="0"/>
                  <w:vAlign w:val="center"/>
                </w:tcPr>
                <w:p w14:paraId="011C60D4">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197" w:type="pct"/>
                  <w:vMerge w:val="continue"/>
                  <w:noWrap w:val="0"/>
                  <w:vAlign w:val="center"/>
                </w:tcPr>
                <w:p w14:paraId="6E9B416C">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textAlignment w:val="auto"/>
                    <w:outlineLvl w:val="9"/>
                    <w:rPr>
                      <w:rFonts w:hint="eastAsia" w:cs="Times New Roman"/>
                      <w:color w:val="000000" w:themeColor="text1"/>
                      <w:sz w:val="21"/>
                      <w:szCs w:val="21"/>
                      <w:highlight w:val="none"/>
                      <w:u w:val="none" w:color="auto"/>
                      <w:lang w:val="en-US" w:eastAsia="zh-CN"/>
                      <w14:textFill>
                        <w14:solidFill>
                          <w14:schemeClr w14:val="tx1"/>
                        </w14:solidFill>
                      </w14:textFill>
                    </w:rPr>
                  </w:pPr>
                </w:p>
              </w:tc>
              <w:tc>
                <w:tcPr>
                  <w:tcW w:w="538" w:type="pct"/>
                  <w:vMerge w:val="restart"/>
                  <w:noWrap w:val="0"/>
                  <w:vAlign w:val="center"/>
                </w:tcPr>
                <w:p w14:paraId="5B75BFBE">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textAlignment w:val="auto"/>
                    <w:outlineLvl w:val="9"/>
                    <w:rPr>
                      <w:rFonts w:hint="default" w:eastAsia="宋体" w:cs="Times New Roman"/>
                      <w:color w:val="000000" w:themeColor="text1"/>
                      <w:sz w:val="21"/>
                      <w:szCs w:val="21"/>
                      <w:highlight w:val="none"/>
                      <w:u w:val="none" w:color="auto"/>
                      <w:lang w:val="en-US" w:eastAsia="zh-CN"/>
                      <w14:textFill>
                        <w14:solidFill>
                          <w14:schemeClr w14:val="tx1"/>
                        </w14:solidFill>
                      </w14:textFill>
                    </w:rPr>
                  </w:pPr>
                  <w:r>
                    <w:rPr>
                      <w:rFonts w:hint="eastAsia"/>
                      <w:color w:val="000000" w:themeColor="text1"/>
                      <w:sz w:val="21"/>
                      <w:szCs w:val="21"/>
                      <w:u w:val="none" w:color="auto"/>
                      <w:lang w:val="en-US" w:eastAsia="zh-CN"/>
                      <w14:textFill>
                        <w14:solidFill>
                          <w14:schemeClr w14:val="tx1"/>
                        </w14:solidFill>
                      </w14:textFill>
                    </w:rPr>
                    <w:t>烘干、</w:t>
                  </w:r>
                  <w:r>
                    <w:rPr>
                      <w:rFonts w:hint="eastAsia"/>
                      <w:color w:val="000000" w:themeColor="text1"/>
                      <w:sz w:val="21"/>
                      <w:szCs w:val="21"/>
                      <w:u w:val="none" w:color="auto"/>
                      <w14:textFill>
                        <w14:solidFill>
                          <w14:schemeClr w14:val="tx1"/>
                        </w14:solidFill>
                      </w14:textFill>
                    </w:rPr>
                    <w:t>制棒废气</w:t>
                  </w:r>
                  <w:r>
                    <w:rPr>
                      <w:rFonts w:hint="eastAsia"/>
                      <w:color w:val="000000" w:themeColor="text1"/>
                      <w:sz w:val="21"/>
                      <w:szCs w:val="21"/>
                      <w:u w:val="none" w:color="auto"/>
                      <w:lang w:eastAsia="zh-CN"/>
                      <w14:textFill>
                        <w14:solidFill>
                          <w14:schemeClr w14:val="tx1"/>
                        </w14:solidFill>
                      </w14:textFill>
                    </w:rPr>
                    <w:t>、</w:t>
                  </w:r>
                  <w:r>
                    <w:rPr>
                      <w:rFonts w:hint="eastAsia"/>
                      <w:color w:val="000000" w:themeColor="text1"/>
                      <w:sz w:val="21"/>
                      <w:szCs w:val="21"/>
                      <w:u w:val="none" w:color="auto"/>
                      <w:lang w:val="en-US" w:eastAsia="zh-CN"/>
                      <w14:textFill>
                        <w14:solidFill>
                          <w14:schemeClr w14:val="tx1"/>
                        </w14:solidFill>
                      </w14:textFill>
                    </w:rPr>
                    <w:t>烘干工序</w:t>
                  </w:r>
                </w:p>
              </w:tc>
              <w:tc>
                <w:tcPr>
                  <w:tcW w:w="266" w:type="pct"/>
                  <w:shd w:val="clear" w:color="auto" w:fill="auto"/>
                  <w:noWrap w:val="0"/>
                  <w:vAlign w:val="center"/>
                </w:tcPr>
                <w:p w14:paraId="2C237FF9">
                  <w:pPr>
                    <w:keepNext w:val="0"/>
                    <w:keepLines w:val="0"/>
                    <w:suppressLineNumbers w:val="0"/>
                    <w:spacing w:before="0" w:beforeAutospacing="0" w:after="0" w:afterAutospacing="0" w:line="240" w:lineRule="atLeast"/>
                    <w:ind w:left="0" w:leftChars="0" w:right="0" w:rightChars="0"/>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eastAsia"/>
                      <w:color w:val="000000" w:themeColor="text1"/>
                      <w:sz w:val="21"/>
                      <w:szCs w:val="21"/>
                      <w:u w:val="none" w:color="auto"/>
                      <w:lang w:val="en-US" w:eastAsia="zh-CN"/>
                      <w14:textFill>
                        <w14:solidFill>
                          <w14:schemeClr w14:val="tx1"/>
                        </w14:solidFill>
                      </w14:textFill>
                    </w:rPr>
                    <w:t>颗粒物</w:t>
                  </w:r>
                </w:p>
              </w:tc>
              <w:tc>
                <w:tcPr>
                  <w:tcW w:w="343" w:type="pct"/>
                  <w:shd w:val="clear" w:color="auto" w:fill="auto"/>
                  <w:noWrap w:val="0"/>
                  <w:vAlign w:val="center"/>
                </w:tcPr>
                <w:p w14:paraId="3CF522CC">
                  <w:pPr>
                    <w:keepNext w:val="0"/>
                    <w:keepLines w:val="0"/>
                    <w:widowControl/>
                    <w:suppressLineNumbers w:val="0"/>
                    <w:jc w:val="center"/>
                    <w:textAlignment w:val="center"/>
                    <w:rPr>
                      <w:rFonts w:hint="eastAsia"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48.164</w:t>
                  </w:r>
                </w:p>
              </w:tc>
              <w:tc>
                <w:tcPr>
                  <w:tcW w:w="359" w:type="pct"/>
                  <w:shd w:val="clear" w:color="auto" w:fill="auto"/>
                  <w:noWrap w:val="0"/>
                  <w:vAlign w:val="center"/>
                </w:tcPr>
                <w:p w14:paraId="586FED9A">
                  <w:pPr>
                    <w:keepNext w:val="0"/>
                    <w:keepLines w:val="0"/>
                    <w:widowControl/>
                    <w:suppressLineNumbers w:val="0"/>
                    <w:jc w:val="center"/>
                    <w:textAlignment w:val="center"/>
                    <w:rPr>
                      <w:rFonts w:hint="eastAsia"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8.632</w:t>
                  </w:r>
                </w:p>
              </w:tc>
              <w:tc>
                <w:tcPr>
                  <w:tcW w:w="341" w:type="pct"/>
                  <w:shd w:val="clear" w:color="auto" w:fill="auto"/>
                  <w:noWrap w:val="0"/>
                  <w:vAlign w:val="center"/>
                </w:tcPr>
                <w:p w14:paraId="39C6952D">
                  <w:pPr>
                    <w:keepNext w:val="0"/>
                    <w:keepLines w:val="0"/>
                    <w:widowControl/>
                    <w:suppressLineNumbers w:val="0"/>
                    <w:jc w:val="center"/>
                    <w:textAlignment w:val="center"/>
                    <w:rPr>
                      <w:rFonts w:hint="eastAsia"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431.621</w:t>
                  </w:r>
                </w:p>
              </w:tc>
              <w:tc>
                <w:tcPr>
                  <w:tcW w:w="872" w:type="pct"/>
                  <w:vMerge w:val="restart"/>
                  <w:noWrap w:val="0"/>
                  <w:vAlign w:val="center"/>
                </w:tcPr>
                <w:p w14:paraId="122F1354">
                  <w:pPr>
                    <w:keepNext w:val="0"/>
                    <w:keepLines w:val="0"/>
                    <w:suppressLineNumbers w:val="0"/>
                    <w:adjustRightInd w:val="0"/>
                    <w:snapToGrid w:val="0"/>
                    <w:spacing w:before="0" w:beforeAutospacing="0" w:after="0" w:afterAutospacing="0" w:line="240" w:lineRule="auto"/>
                    <w:ind w:left="0" w:leftChars="0" w:right="0" w:rightChars="0"/>
                    <w:jc w:val="both"/>
                    <w:rPr>
                      <w:rFonts w:hint="eastAsia"/>
                      <w:color w:val="000000" w:themeColor="text1"/>
                      <w:sz w:val="21"/>
                      <w:szCs w:val="21"/>
                      <w:u w:val="none" w:color="auto"/>
                      <w:lang w:val="en-US" w:eastAsia="zh-CN"/>
                      <w14:textFill>
                        <w14:solidFill>
                          <w14:schemeClr w14:val="tx1"/>
                        </w14:solidFill>
                      </w14:textFill>
                    </w:rPr>
                  </w:pP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烘干时：机制炭生产线制棒废气引入烘干机作为热源，最终与炭化炉点火和炭化初始阶段燃料燃烧废气、烘干废气一起经“碱喷淋+静电除尘装置”处理后经15m高排气筒（DA002）排放</w:t>
                  </w: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w:t>
                  </w: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非烘干时，制棒废气、炭化炉点火和炭化初始阶段燃料燃烧废气一起经“碱喷淋+静电除尘装置”处理后经15m高排气筒（DA00</w:t>
                  </w: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2</w:t>
                  </w: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）排放</w:t>
                  </w: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w:t>
                  </w:r>
                </w:p>
              </w:tc>
              <w:tc>
                <w:tcPr>
                  <w:tcW w:w="227" w:type="pct"/>
                  <w:noWrap w:val="0"/>
                  <w:vAlign w:val="center"/>
                </w:tcPr>
                <w:p w14:paraId="21793C85">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eastAsia" w:cs="Times New Roman"/>
                      <w:color w:val="000000" w:themeColor="text1"/>
                      <w:sz w:val="21"/>
                      <w:szCs w:val="21"/>
                      <w:highlight w:val="none"/>
                      <w:u w:val="none" w:color="auto"/>
                      <w:lang w:val="en-US" w:eastAsia="zh-CN"/>
                      <w14:textFill>
                        <w14:solidFill>
                          <w14:schemeClr w14:val="tx1"/>
                        </w14:solidFill>
                      </w14:textFill>
                    </w:rPr>
                    <w:t>-</w:t>
                  </w:r>
                </w:p>
              </w:tc>
              <w:tc>
                <w:tcPr>
                  <w:tcW w:w="227" w:type="pct"/>
                  <w:noWrap w:val="0"/>
                  <w:vAlign w:val="center"/>
                </w:tcPr>
                <w:p w14:paraId="2A14A252">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eastAsia" w:cs="Times New Roman"/>
                      <w:color w:val="000000" w:themeColor="text1"/>
                      <w:sz w:val="21"/>
                      <w:szCs w:val="21"/>
                      <w:highlight w:val="none"/>
                      <w:u w:val="none" w:color="auto"/>
                      <w:lang w:val="en-US" w:eastAsia="zh-CN"/>
                      <w14:textFill>
                        <w14:solidFill>
                          <w14:schemeClr w14:val="tx1"/>
                        </w14:solidFill>
                      </w14:textFill>
                    </w:rPr>
                    <w:t>99</w:t>
                  </w:r>
                </w:p>
              </w:tc>
              <w:tc>
                <w:tcPr>
                  <w:tcW w:w="164" w:type="pct"/>
                  <w:noWrap w:val="0"/>
                  <w:vAlign w:val="center"/>
                </w:tcPr>
                <w:p w14:paraId="4BEB7896">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textAlignment w:val="auto"/>
                    <w:outlineLvl w:val="9"/>
                    <w:rPr>
                      <w:rFonts w:hint="eastAsia"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eastAsia" w:cs="Times New Roman"/>
                      <w:color w:val="000000" w:themeColor="text1"/>
                      <w:sz w:val="21"/>
                      <w:szCs w:val="21"/>
                      <w:highlight w:val="none"/>
                      <w:u w:val="none" w:color="auto"/>
                      <w:lang w:val="en-US" w:eastAsia="zh-CN"/>
                      <w14:textFill>
                        <w14:solidFill>
                          <w14:schemeClr w14:val="tx1"/>
                        </w14:solidFill>
                      </w14:textFill>
                    </w:rPr>
                    <w:t>可行</w:t>
                  </w:r>
                </w:p>
              </w:tc>
              <w:tc>
                <w:tcPr>
                  <w:tcW w:w="236" w:type="pct"/>
                  <w:shd w:val="clear" w:color="auto" w:fill="auto"/>
                  <w:noWrap w:val="0"/>
                  <w:vAlign w:val="center"/>
                </w:tcPr>
                <w:p w14:paraId="6AF767B8">
                  <w:pPr>
                    <w:keepNext w:val="0"/>
                    <w:keepLines w:val="0"/>
                    <w:suppressLineNumbers w:val="0"/>
                    <w:spacing w:before="0" w:beforeAutospacing="0" w:after="0" w:afterAutospacing="0" w:line="240" w:lineRule="atLeast"/>
                    <w:ind w:left="0" w:leftChars="0" w:right="0" w:rightChars="0"/>
                    <w:jc w:val="center"/>
                    <w:rPr>
                      <w:rFonts w:hint="eastAsia"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eastAsia"/>
                      <w:color w:val="000000" w:themeColor="text1"/>
                      <w:sz w:val="21"/>
                      <w:szCs w:val="21"/>
                      <w:u w:val="none" w:color="auto"/>
                      <w:lang w:val="en-US" w:eastAsia="zh-CN"/>
                      <w14:textFill>
                        <w14:solidFill>
                          <w14:schemeClr w14:val="tx1"/>
                        </w14:solidFill>
                      </w14:textFill>
                    </w:rPr>
                    <w:t>颗粒物</w:t>
                  </w:r>
                </w:p>
              </w:tc>
              <w:tc>
                <w:tcPr>
                  <w:tcW w:w="340" w:type="pct"/>
                  <w:shd w:val="clear" w:color="auto" w:fill="auto"/>
                  <w:noWrap w:val="0"/>
                  <w:vAlign w:val="center"/>
                </w:tcPr>
                <w:p w14:paraId="74093466">
                  <w:pPr>
                    <w:keepNext w:val="0"/>
                    <w:keepLines w:val="0"/>
                    <w:widowControl/>
                    <w:suppressLineNumbers w:val="0"/>
                    <w:jc w:val="center"/>
                    <w:textAlignment w:val="center"/>
                    <w:rPr>
                      <w:rFonts w:hint="eastAsia"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0.482</w:t>
                  </w:r>
                </w:p>
              </w:tc>
              <w:tc>
                <w:tcPr>
                  <w:tcW w:w="340" w:type="pct"/>
                  <w:shd w:val="clear" w:color="auto" w:fill="auto"/>
                  <w:noWrap w:val="0"/>
                  <w:vAlign w:val="center"/>
                </w:tcPr>
                <w:p w14:paraId="4D0ECAF9">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0.086</w:t>
                  </w:r>
                </w:p>
              </w:tc>
              <w:tc>
                <w:tcPr>
                  <w:tcW w:w="348" w:type="pct"/>
                  <w:shd w:val="clear" w:color="auto" w:fill="auto"/>
                  <w:noWrap w:val="0"/>
                  <w:vAlign w:val="center"/>
                </w:tcPr>
                <w:p w14:paraId="56C8B72A">
                  <w:pPr>
                    <w:keepNext w:val="0"/>
                    <w:keepLines w:val="0"/>
                    <w:widowControl/>
                    <w:suppressLineNumbers w:val="0"/>
                    <w:jc w:val="center"/>
                    <w:textAlignment w:val="center"/>
                    <w:rPr>
                      <w:rFonts w:hint="eastAsia"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4.316</w:t>
                  </w:r>
                </w:p>
              </w:tc>
            </w:tr>
            <w:tr w14:paraId="28344B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8" w:type="pct"/>
                  <w:vMerge w:val="continue"/>
                  <w:noWrap w:val="0"/>
                  <w:vAlign w:val="center"/>
                </w:tcPr>
                <w:p w14:paraId="17431926">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197" w:type="pct"/>
                  <w:vMerge w:val="continue"/>
                  <w:noWrap w:val="0"/>
                  <w:vAlign w:val="center"/>
                </w:tcPr>
                <w:p w14:paraId="1FEF8C0C">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textAlignment w:val="auto"/>
                    <w:outlineLvl w:val="9"/>
                    <w:rPr>
                      <w:rFonts w:hint="eastAsia" w:cs="Times New Roman"/>
                      <w:color w:val="000000" w:themeColor="text1"/>
                      <w:sz w:val="21"/>
                      <w:szCs w:val="21"/>
                      <w:highlight w:val="none"/>
                      <w:u w:val="none" w:color="auto"/>
                      <w:lang w:val="en-US" w:eastAsia="zh-CN"/>
                      <w14:textFill>
                        <w14:solidFill>
                          <w14:schemeClr w14:val="tx1"/>
                        </w14:solidFill>
                      </w14:textFill>
                    </w:rPr>
                  </w:pPr>
                </w:p>
              </w:tc>
              <w:tc>
                <w:tcPr>
                  <w:tcW w:w="538" w:type="pct"/>
                  <w:vMerge w:val="continue"/>
                  <w:noWrap w:val="0"/>
                  <w:vAlign w:val="center"/>
                </w:tcPr>
                <w:p w14:paraId="4E725215">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textAlignment w:val="auto"/>
                    <w:outlineLvl w:val="9"/>
                    <w:rPr>
                      <w:rFonts w:hint="eastAsia" w:cs="Times New Roman"/>
                      <w:color w:val="000000" w:themeColor="text1"/>
                      <w:sz w:val="21"/>
                      <w:szCs w:val="21"/>
                      <w:highlight w:val="none"/>
                      <w:u w:val="none" w:color="auto"/>
                      <w:lang w:val="en-US" w:eastAsia="zh-CN"/>
                      <w14:textFill>
                        <w14:solidFill>
                          <w14:schemeClr w14:val="tx1"/>
                        </w14:solidFill>
                      </w14:textFill>
                    </w:rPr>
                  </w:pPr>
                </w:p>
              </w:tc>
              <w:tc>
                <w:tcPr>
                  <w:tcW w:w="266" w:type="pct"/>
                  <w:shd w:val="clear" w:color="auto" w:fill="auto"/>
                  <w:noWrap w:val="0"/>
                  <w:vAlign w:val="center"/>
                </w:tcPr>
                <w:p w14:paraId="56481903">
                  <w:pPr>
                    <w:keepNext w:val="0"/>
                    <w:keepLines w:val="0"/>
                    <w:suppressLineNumbers w:val="0"/>
                    <w:spacing w:before="0" w:beforeAutospacing="0" w:after="0" w:afterAutospacing="0" w:line="240" w:lineRule="atLeast"/>
                    <w:ind w:left="0" w:leftChars="0" w:right="0" w:rightChars="0"/>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eastAsia" w:hAnsi="宋体"/>
                      <w:color w:val="000000" w:themeColor="text1"/>
                      <w:sz w:val="21"/>
                      <w:szCs w:val="21"/>
                      <w:u w:val="none" w:color="auto"/>
                      <w14:textFill>
                        <w14:solidFill>
                          <w14:schemeClr w14:val="tx1"/>
                        </w14:solidFill>
                      </w14:textFill>
                    </w:rPr>
                    <w:t>SO</w:t>
                  </w:r>
                  <w:r>
                    <w:rPr>
                      <w:rFonts w:hint="eastAsia" w:hAnsi="宋体"/>
                      <w:color w:val="000000" w:themeColor="text1"/>
                      <w:sz w:val="21"/>
                      <w:szCs w:val="21"/>
                      <w:u w:val="none" w:color="auto"/>
                      <w:vertAlign w:val="subscript"/>
                      <w14:textFill>
                        <w14:solidFill>
                          <w14:schemeClr w14:val="tx1"/>
                        </w14:solidFill>
                      </w14:textFill>
                    </w:rPr>
                    <w:t>2</w:t>
                  </w:r>
                </w:p>
              </w:tc>
              <w:tc>
                <w:tcPr>
                  <w:tcW w:w="343" w:type="pct"/>
                  <w:shd w:val="clear" w:color="auto" w:fill="auto"/>
                  <w:noWrap w:val="0"/>
                  <w:vAlign w:val="center"/>
                </w:tcPr>
                <w:p w14:paraId="62C5B0B6">
                  <w:pPr>
                    <w:keepNext w:val="0"/>
                    <w:keepLines w:val="0"/>
                    <w:widowControl/>
                    <w:suppressLineNumbers w:val="0"/>
                    <w:jc w:val="center"/>
                    <w:textAlignment w:val="center"/>
                    <w:rPr>
                      <w:rFonts w:hint="eastAsia"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7.097</w:t>
                  </w:r>
                </w:p>
              </w:tc>
              <w:tc>
                <w:tcPr>
                  <w:tcW w:w="359" w:type="pct"/>
                  <w:shd w:val="clear" w:color="auto" w:fill="auto"/>
                  <w:noWrap w:val="0"/>
                  <w:vAlign w:val="center"/>
                </w:tcPr>
                <w:p w14:paraId="002F0745">
                  <w:pPr>
                    <w:keepNext w:val="0"/>
                    <w:keepLines w:val="0"/>
                    <w:widowControl/>
                    <w:suppressLineNumbers w:val="0"/>
                    <w:jc w:val="center"/>
                    <w:textAlignment w:val="center"/>
                    <w:rPr>
                      <w:rFonts w:hint="eastAsia"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0.998</w:t>
                  </w:r>
                </w:p>
              </w:tc>
              <w:tc>
                <w:tcPr>
                  <w:tcW w:w="341" w:type="pct"/>
                  <w:shd w:val="clear" w:color="auto" w:fill="auto"/>
                  <w:noWrap w:val="0"/>
                  <w:vAlign w:val="center"/>
                </w:tcPr>
                <w:p w14:paraId="6A89E758">
                  <w:pPr>
                    <w:keepNext w:val="0"/>
                    <w:keepLines w:val="0"/>
                    <w:widowControl/>
                    <w:suppressLineNumbers w:val="0"/>
                    <w:jc w:val="center"/>
                    <w:textAlignment w:val="center"/>
                    <w:rPr>
                      <w:rFonts w:hint="eastAsia"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49.900</w:t>
                  </w:r>
                </w:p>
              </w:tc>
              <w:tc>
                <w:tcPr>
                  <w:tcW w:w="872" w:type="pct"/>
                  <w:vMerge w:val="continue"/>
                  <w:noWrap w:val="0"/>
                  <w:vAlign w:val="center"/>
                </w:tcPr>
                <w:p w14:paraId="28765D91">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textAlignment w:val="auto"/>
                    <w:outlineLvl w:val="9"/>
                    <w:rPr>
                      <w:rFonts w:hint="eastAsia"/>
                      <w:color w:val="000000" w:themeColor="text1"/>
                      <w:sz w:val="21"/>
                      <w:szCs w:val="21"/>
                      <w:u w:val="none" w:color="auto"/>
                      <w:lang w:val="en-US" w:eastAsia="zh-CN"/>
                      <w14:textFill>
                        <w14:solidFill>
                          <w14:schemeClr w14:val="tx1"/>
                        </w14:solidFill>
                      </w14:textFill>
                    </w:rPr>
                  </w:pPr>
                </w:p>
              </w:tc>
              <w:tc>
                <w:tcPr>
                  <w:tcW w:w="227" w:type="pct"/>
                  <w:noWrap w:val="0"/>
                  <w:vAlign w:val="center"/>
                </w:tcPr>
                <w:p w14:paraId="1D9A337C">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eastAsia" w:cs="Times New Roman"/>
                      <w:color w:val="000000" w:themeColor="text1"/>
                      <w:sz w:val="21"/>
                      <w:szCs w:val="21"/>
                      <w:highlight w:val="none"/>
                      <w:u w:val="none" w:color="auto"/>
                      <w:lang w:val="en-US" w:eastAsia="zh-CN"/>
                      <w14:textFill>
                        <w14:solidFill>
                          <w14:schemeClr w14:val="tx1"/>
                        </w14:solidFill>
                      </w14:textFill>
                    </w:rPr>
                    <w:t>100</w:t>
                  </w:r>
                </w:p>
              </w:tc>
              <w:tc>
                <w:tcPr>
                  <w:tcW w:w="227" w:type="pct"/>
                  <w:noWrap w:val="0"/>
                  <w:vAlign w:val="center"/>
                </w:tcPr>
                <w:p w14:paraId="41C8F95E">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eastAsia" w:cs="Times New Roman"/>
                      <w:color w:val="000000" w:themeColor="text1"/>
                      <w:sz w:val="21"/>
                      <w:szCs w:val="21"/>
                      <w:highlight w:val="none"/>
                      <w:u w:val="none" w:color="auto"/>
                      <w:lang w:val="en-US" w:eastAsia="zh-CN"/>
                      <w14:textFill>
                        <w14:solidFill>
                          <w14:schemeClr w14:val="tx1"/>
                        </w14:solidFill>
                      </w14:textFill>
                    </w:rPr>
                    <w:t>80</w:t>
                  </w:r>
                </w:p>
              </w:tc>
              <w:tc>
                <w:tcPr>
                  <w:tcW w:w="164" w:type="pct"/>
                  <w:noWrap w:val="0"/>
                  <w:vAlign w:val="center"/>
                </w:tcPr>
                <w:p w14:paraId="3BE2A4C7">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textAlignment w:val="auto"/>
                    <w:outlineLvl w:val="9"/>
                    <w:rPr>
                      <w:rFonts w:hint="eastAsia"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eastAsia" w:cs="Times New Roman"/>
                      <w:color w:val="000000" w:themeColor="text1"/>
                      <w:sz w:val="21"/>
                      <w:szCs w:val="21"/>
                      <w:highlight w:val="none"/>
                      <w:u w:val="none" w:color="auto"/>
                      <w:lang w:val="en-US" w:eastAsia="zh-CN"/>
                      <w14:textFill>
                        <w14:solidFill>
                          <w14:schemeClr w14:val="tx1"/>
                        </w14:solidFill>
                      </w14:textFill>
                    </w:rPr>
                    <w:t>可行</w:t>
                  </w:r>
                </w:p>
              </w:tc>
              <w:tc>
                <w:tcPr>
                  <w:tcW w:w="236" w:type="pct"/>
                  <w:shd w:val="clear" w:color="auto" w:fill="auto"/>
                  <w:noWrap w:val="0"/>
                  <w:vAlign w:val="center"/>
                </w:tcPr>
                <w:p w14:paraId="7BCF85A8">
                  <w:pPr>
                    <w:keepNext w:val="0"/>
                    <w:keepLines w:val="0"/>
                    <w:suppressLineNumbers w:val="0"/>
                    <w:spacing w:before="0" w:beforeAutospacing="0" w:after="0" w:afterAutospacing="0" w:line="240" w:lineRule="atLeast"/>
                    <w:ind w:left="0" w:leftChars="0" w:right="0" w:rightChars="0"/>
                    <w:jc w:val="center"/>
                    <w:rPr>
                      <w:rFonts w:hint="eastAsia"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eastAsia" w:hAnsi="宋体"/>
                      <w:color w:val="000000" w:themeColor="text1"/>
                      <w:sz w:val="21"/>
                      <w:szCs w:val="21"/>
                      <w:u w:val="none" w:color="auto"/>
                      <w14:textFill>
                        <w14:solidFill>
                          <w14:schemeClr w14:val="tx1"/>
                        </w14:solidFill>
                      </w14:textFill>
                    </w:rPr>
                    <w:t>SO</w:t>
                  </w:r>
                  <w:r>
                    <w:rPr>
                      <w:rFonts w:hint="eastAsia" w:hAnsi="宋体"/>
                      <w:color w:val="000000" w:themeColor="text1"/>
                      <w:sz w:val="21"/>
                      <w:szCs w:val="21"/>
                      <w:u w:val="none" w:color="auto"/>
                      <w:vertAlign w:val="subscript"/>
                      <w14:textFill>
                        <w14:solidFill>
                          <w14:schemeClr w14:val="tx1"/>
                        </w14:solidFill>
                      </w14:textFill>
                    </w:rPr>
                    <w:t>2</w:t>
                  </w:r>
                </w:p>
              </w:tc>
              <w:tc>
                <w:tcPr>
                  <w:tcW w:w="340" w:type="pct"/>
                  <w:shd w:val="clear" w:color="auto" w:fill="auto"/>
                  <w:noWrap w:val="0"/>
                  <w:vAlign w:val="center"/>
                </w:tcPr>
                <w:p w14:paraId="042B3CA3">
                  <w:pPr>
                    <w:keepNext w:val="0"/>
                    <w:keepLines w:val="0"/>
                    <w:widowControl/>
                    <w:suppressLineNumbers w:val="0"/>
                    <w:jc w:val="center"/>
                    <w:textAlignment w:val="center"/>
                    <w:rPr>
                      <w:rFonts w:hint="eastAsia"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1.419</w:t>
                  </w:r>
                </w:p>
              </w:tc>
              <w:tc>
                <w:tcPr>
                  <w:tcW w:w="340" w:type="pct"/>
                  <w:shd w:val="clear" w:color="auto" w:fill="auto"/>
                  <w:noWrap w:val="0"/>
                  <w:vAlign w:val="center"/>
                </w:tcPr>
                <w:p w14:paraId="680913DC">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0.200</w:t>
                  </w:r>
                </w:p>
              </w:tc>
              <w:tc>
                <w:tcPr>
                  <w:tcW w:w="348" w:type="pct"/>
                  <w:shd w:val="clear" w:color="auto" w:fill="auto"/>
                  <w:noWrap w:val="0"/>
                  <w:vAlign w:val="center"/>
                </w:tcPr>
                <w:p w14:paraId="5A55794C">
                  <w:pPr>
                    <w:keepNext w:val="0"/>
                    <w:keepLines w:val="0"/>
                    <w:widowControl/>
                    <w:suppressLineNumbers w:val="0"/>
                    <w:jc w:val="center"/>
                    <w:textAlignment w:val="center"/>
                    <w:rPr>
                      <w:rFonts w:hint="eastAsia"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9.980</w:t>
                  </w:r>
                </w:p>
              </w:tc>
            </w:tr>
            <w:tr w14:paraId="25BAEC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8" w:type="pct"/>
                  <w:vMerge w:val="continue"/>
                  <w:noWrap w:val="0"/>
                  <w:vAlign w:val="center"/>
                </w:tcPr>
                <w:p w14:paraId="06D63B11">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197" w:type="pct"/>
                  <w:vMerge w:val="continue"/>
                  <w:noWrap w:val="0"/>
                  <w:vAlign w:val="center"/>
                </w:tcPr>
                <w:p w14:paraId="67636D54">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textAlignment w:val="auto"/>
                    <w:outlineLvl w:val="9"/>
                    <w:rPr>
                      <w:rFonts w:hint="eastAsia" w:cs="Times New Roman"/>
                      <w:color w:val="000000" w:themeColor="text1"/>
                      <w:sz w:val="21"/>
                      <w:szCs w:val="21"/>
                      <w:highlight w:val="none"/>
                      <w:u w:val="none" w:color="auto"/>
                      <w:lang w:val="en-US" w:eastAsia="zh-CN"/>
                      <w14:textFill>
                        <w14:solidFill>
                          <w14:schemeClr w14:val="tx1"/>
                        </w14:solidFill>
                      </w14:textFill>
                    </w:rPr>
                  </w:pPr>
                </w:p>
              </w:tc>
              <w:tc>
                <w:tcPr>
                  <w:tcW w:w="538" w:type="pct"/>
                  <w:vMerge w:val="continue"/>
                  <w:noWrap w:val="0"/>
                  <w:vAlign w:val="center"/>
                </w:tcPr>
                <w:p w14:paraId="3CFC7CFA">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textAlignment w:val="auto"/>
                    <w:outlineLvl w:val="9"/>
                    <w:rPr>
                      <w:rFonts w:hint="eastAsia" w:cs="Times New Roman"/>
                      <w:color w:val="000000" w:themeColor="text1"/>
                      <w:sz w:val="21"/>
                      <w:szCs w:val="21"/>
                      <w:highlight w:val="none"/>
                      <w:u w:val="none" w:color="auto"/>
                      <w:lang w:val="en-US" w:eastAsia="zh-CN"/>
                      <w14:textFill>
                        <w14:solidFill>
                          <w14:schemeClr w14:val="tx1"/>
                        </w14:solidFill>
                      </w14:textFill>
                    </w:rPr>
                  </w:pPr>
                </w:p>
              </w:tc>
              <w:tc>
                <w:tcPr>
                  <w:tcW w:w="266" w:type="pct"/>
                  <w:shd w:val="clear" w:color="auto" w:fill="auto"/>
                  <w:noWrap w:val="0"/>
                  <w:vAlign w:val="center"/>
                </w:tcPr>
                <w:p w14:paraId="19BA6100">
                  <w:pPr>
                    <w:keepNext w:val="0"/>
                    <w:keepLines w:val="0"/>
                    <w:suppressLineNumbers w:val="0"/>
                    <w:spacing w:before="0" w:beforeAutospacing="0" w:after="0" w:afterAutospacing="0" w:line="240" w:lineRule="atLeast"/>
                    <w:ind w:left="0" w:leftChars="0" w:right="0" w:rightChars="0"/>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eastAsia" w:hAnsi="宋体"/>
                      <w:color w:val="000000" w:themeColor="text1"/>
                      <w:sz w:val="21"/>
                      <w:szCs w:val="21"/>
                      <w:u w:val="none" w:color="auto"/>
                      <w14:textFill>
                        <w14:solidFill>
                          <w14:schemeClr w14:val="tx1"/>
                        </w14:solidFill>
                      </w14:textFill>
                    </w:rPr>
                    <w:t>NOx</w:t>
                  </w:r>
                </w:p>
              </w:tc>
              <w:tc>
                <w:tcPr>
                  <w:tcW w:w="343" w:type="pct"/>
                  <w:shd w:val="clear" w:color="auto" w:fill="auto"/>
                  <w:noWrap w:val="0"/>
                  <w:vAlign w:val="center"/>
                </w:tcPr>
                <w:p w14:paraId="286EAAC0">
                  <w:pPr>
                    <w:keepNext w:val="0"/>
                    <w:keepLines w:val="0"/>
                    <w:widowControl/>
                    <w:suppressLineNumbers w:val="0"/>
                    <w:jc w:val="center"/>
                    <w:textAlignment w:val="center"/>
                    <w:rPr>
                      <w:rFonts w:hint="eastAsia" w:ascii="Times New Roman" w:hAnsi="Times New Roman" w:eastAsia="宋体" w:cs="Times New Roman"/>
                      <w:color w:val="000000" w:themeColor="text1"/>
                      <w:kern w:val="2"/>
                      <w:sz w:val="21"/>
                      <w:szCs w:val="21"/>
                      <w:highlight w:val="none"/>
                      <w:u w:val="none" w:color="auto"/>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5.362</w:t>
                  </w:r>
                </w:p>
              </w:tc>
              <w:tc>
                <w:tcPr>
                  <w:tcW w:w="359" w:type="pct"/>
                  <w:shd w:val="clear" w:color="auto" w:fill="auto"/>
                  <w:noWrap w:val="0"/>
                  <w:vAlign w:val="center"/>
                </w:tcPr>
                <w:p w14:paraId="44D004CC">
                  <w:pPr>
                    <w:keepNext w:val="0"/>
                    <w:keepLines w:val="0"/>
                    <w:widowControl/>
                    <w:suppressLineNumbers w:val="0"/>
                    <w:jc w:val="center"/>
                    <w:textAlignment w:val="center"/>
                    <w:rPr>
                      <w:rFonts w:hint="eastAsia"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0.908</w:t>
                  </w:r>
                </w:p>
              </w:tc>
              <w:tc>
                <w:tcPr>
                  <w:tcW w:w="341" w:type="pct"/>
                  <w:shd w:val="clear" w:color="auto" w:fill="auto"/>
                  <w:noWrap w:val="0"/>
                  <w:vAlign w:val="center"/>
                </w:tcPr>
                <w:p w14:paraId="6BDB7427">
                  <w:pPr>
                    <w:keepNext w:val="0"/>
                    <w:keepLines w:val="0"/>
                    <w:widowControl/>
                    <w:suppressLineNumbers w:val="0"/>
                    <w:jc w:val="center"/>
                    <w:textAlignment w:val="center"/>
                    <w:rPr>
                      <w:rFonts w:hint="eastAsia"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45.400</w:t>
                  </w:r>
                </w:p>
              </w:tc>
              <w:tc>
                <w:tcPr>
                  <w:tcW w:w="872" w:type="pct"/>
                  <w:vMerge w:val="continue"/>
                  <w:noWrap w:val="0"/>
                  <w:vAlign w:val="center"/>
                </w:tcPr>
                <w:p w14:paraId="4B97AD40">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textAlignment w:val="auto"/>
                    <w:outlineLvl w:val="9"/>
                    <w:rPr>
                      <w:rFonts w:hint="eastAsia"/>
                      <w:color w:val="000000" w:themeColor="text1"/>
                      <w:sz w:val="21"/>
                      <w:szCs w:val="21"/>
                      <w:u w:val="none" w:color="auto"/>
                      <w:lang w:val="en-US" w:eastAsia="zh-CN"/>
                      <w14:textFill>
                        <w14:solidFill>
                          <w14:schemeClr w14:val="tx1"/>
                        </w14:solidFill>
                      </w14:textFill>
                    </w:rPr>
                  </w:pPr>
                </w:p>
              </w:tc>
              <w:tc>
                <w:tcPr>
                  <w:tcW w:w="227" w:type="pct"/>
                  <w:noWrap w:val="0"/>
                  <w:vAlign w:val="center"/>
                </w:tcPr>
                <w:p w14:paraId="251273EC">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eastAsia" w:cs="Times New Roman"/>
                      <w:color w:val="000000" w:themeColor="text1"/>
                      <w:sz w:val="21"/>
                      <w:szCs w:val="21"/>
                      <w:highlight w:val="none"/>
                      <w:u w:val="none" w:color="auto"/>
                      <w:lang w:val="en-US" w:eastAsia="zh-CN"/>
                      <w14:textFill>
                        <w14:solidFill>
                          <w14:schemeClr w14:val="tx1"/>
                        </w14:solidFill>
                      </w14:textFill>
                    </w:rPr>
                    <w:t>100</w:t>
                  </w:r>
                </w:p>
              </w:tc>
              <w:tc>
                <w:tcPr>
                  <w:tcW w:w="227" w:type="pct"/>
                  <w:noWrap w:val="0"/>
                  <w:vAlign w:val="center"/>
                </w:tcPr>
                <w:p w14:paraId="57DF803C">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eastAsia" w:cs="Times New Roman"/>
                      <w:color w:val="000000" w:themeColor="text1"/>
                      <w:sz w:val="21"/>
                      <w:szCs w:val="21"/>
                      <w:highlight w:val="none"/>
                      <w:u w:val="none" w:color="auto"/>
                      <w:lang w:val="en-US" w:eastAsia="zh-CN"/>
                      <w14:textFill>
                        <w14:solidFill>
                          <w14:schemeClr w14:val="tx1"/>
                        </w14:solidFill>
                      </w14:textFill>
                    </w:rPr>
                    <w:t>-</w:t>
                  </w:r>
                </w:p>
              </w:tc>
              <w:tc>
                <w:tcPr>
                  <w:tcW w:w="164" w:type="pct"/>
                  <w:noWrap w:val="0"/>
                  <w:vAlign w:val="center"/>
                </w:tcPr>
                <w:p w14:paraId="5E698200">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textAlignment w:val="auto"/>
                    <w:outlineLvl w:val="9"/>
                    <w:rPr>
                      <w:rFonts w:hint="eastAsia"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eastAsia" w:cs="Times New Roman"/>
                      <w:color w:val="000000" w:themeColor="text1"/>
                      <w:sz w:val="21"/>
                      <w:szCs w:val="21"/>
                      <w:highlight w:val="none"/>
                      <w:u w:val="none" w:color="auto"/>
                      <w:lang w:val="en-US" w:eastAsia="zh-CN"/>
                      <w14:textFill>
                        <w14:solidFill>
                          <w14:schemeClr w14:val="tx1"/>
                        </w14:solidFill>
                      </w14:textFill>
                    </w:rPr>
                    <w:t>可行</w:t>
                  </w:r>
                </w:p>
              </w:tc>
              <w:tc>
                <w:tcPr>
                  <w:tcW w:w="236" w:type="pct"/>
                  <w:shd w:val="clear" w:color="auto" w:fill="auto"/>
                  <w:noWrap w:val="0"/>
                  <w:vAlign w:val="center"/>
                </w:tcPr>
                <w:p w14:paraId="6F456E21">
                  <w:pPr>
                    <w:keepNext w:val="0"/>
                    <w:keepLines w:val="0"/>
                    <w:suppressLineNumbers w:val="0"/>
                    <w:spacing w:before="0" w:beforeAutospacing="0" w:after="0" w:afterAutospacing="0" w:line="240" w:lineRule="atLeast"/>
                    <w:ind w:left="0" w:leftChars="0" w:right="0" w:rightChars="0"/>
                    <w:jc w:val="center"/>
                    <w:rPr>
                      <w:rFonts w:hint="eastAsia"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eastAsia" w:hAnsi="宋体"/>
                      <w:color w:val="000000" w:themeColor="text1"/>
                      <w:sz w:val="21"/>
                      <w:szCs w:val="21"/>
                      <w:u w:val="none" w:color="auto"/>
                      <w14:textFill>
                        <w14:solidFill>
                          <w14:schemeClr w14:val="tx1"/>
                        </w14:solidFill>
                      </w14:textFill>
                    </w:rPr>
                    <w:t>NOx</w:t>
                  </w:r>
                </w:p>
              </w:tc>
              <w:tc>
                <w:tcPr>
                  <w:tcW w:w="340" w:type="pct"/>
                  <w:shd w:val="clear" w:color="auto" w:fill="auto"/>
                  <w:noWrap w:val="0"/>
                  <w:vAlign w:val="center"/>
                </w:tcPr>
                <w:p w14:paraId="02DD6CC5">
                  <w:pPr>
                    <w:keepNext w:val="0"/>
                    <w:keepLines w:val="0"/>
                    <w:widowControl/>
                    <w:suppressLineNumbers w:val="0"/>
                    <w:jc w:val="center"/>
                    <w:textAlignment w:val="center"/>
                    <w:rPr>
                      <w:rFonts w:hint="eastAsia" w:ascii="Times New Roman" w:hAnsi="Times New Roman" w:eastAsia="宋体" w:cs="Times New Roman"/>
                      <w:color w:val="000000" w:themeColor="text1"/>
                      <w:kern w:val="2"/>
                      <w:sz w:val="21"/>
                      <w:szCs w:val="21"/>
                      <w:highlight w:val="none"/>
                      <w:u w:val="none" w:color="auto"/>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5.362</w:t>
                  </w:r>
                </w:p>
              </w:tc>
              <w:tc>
                <w:tcPr>
                  <w:tcW w:w="340" w:type="pct"/>
                  <w:shd w:val="clear" w:color="auto" w:fill="auto"/>
                  <w:noWrap w:val="0"/>
                  <w:vAlign w:val="center"/>
                </w:tcPr>
                <w:p w14:paraId="180CCD23">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0.908</w:t>
                  </w:r>
                </w:p>
              </w:tc>
              <w:tc>
                <w:tcPr>
                  <w:tcW w:w="348" w:type="pct"/>
                  <w:shd w:val="clear" w:color="auto" w:fill="auto"/>
                  <w:noWrap w:val="0"/>
                  <w:vAlign w:val="center"/>
                </w:tcPr>
                <w:p w14:paraId="588E3657">
                  <w:pPr>
                    <w:keepNext w:val="0"/>
                    <w:keepLines w:val="0"/>
                    <w:widowControl/>
                    <w:suppressLineNumbers w:val="0"/>
                    <w:jc w:val="center"/>
                    <w:textAlignment w:val="center"/>
                    <w:rPr>
                      <w:rFonts w:hint="eastAsia"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45.400</w:t>
                  </w:r>
                </w:p>
              </w:tc>
            </w:tr>
            <w:tr w14:paraId="1C3DB0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8" w:type="pct"/>
                  <w:vMerge w:val="continue"/>
                  <w:noWrap w:val="0"/>
                  <w:vAlign w:val="center"/>
                </w:tcPr>
                <w:p w14:paraId="0BF27438">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197" w:type="pct"/>
                  <w:noWrap w:val="0"/>
                  <w:vAlign w:val="center"/>
                </w:tcPr>
                <w:p w14:paraId="711B5AEB">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eastAsia" w:cs="Times New Roman"/>
                      <w:color w:val="000000" w:themeColor="text1"/>
                      <w:sz w:val="21"/>
                      <w:szCs w:val="21"/>
                      <w:highlight w:val="none"/>
                      <w:u w:val="none" w:color="auto"/>
                      <w:lang w:val="en-US" w:eastAsia="zh-CN"/>
                      <w14:textFill>
                        <w14:solidFill>
                          <w14:schemeClr w14:val="tx1"/>
                        </w14:solidFill>
                      </w14:textFill>
                    </w:rPr>
                  </w:pPr>
                  <w:r>
                    <w:rPr>
                      <w:rFonts w:hint="eastAsia" w:cs="Times New Roman"/>
                      <w:color w:val="000000" w:themeColor="text1"/>
                      <w:sz w:val="21"/>
                      <w:szCs w:val="21"/>
                      <w:highlight w:val="none"/>
                      <w:u w:val="none" w:color="auto"/>
                      <w:lang w:val="en-US" w:eastAsia="zh-CN" w:bidi="ar"/>
                      <w14:textFill>
                        <w14:solidFill>
                          <w14:schemeClr w14:val="tx1"/>
                        </w14:solidFill>
                      </w14:textFill>
                    </w:rPr>
                    <w:t>生物质颗粒生产线</w:t>
                  </w:r>
                </w:p>
              </w:tc>
              <w:tc>
                <w:tcPr>
                  <w:tcW w:w="538" w:type="pct"/>
                  <w:noWrap w:val="0"/>
                  <w:vAlign w:val="center"/>
                </w:tcPr>
                <w:p w14:paraId="5BAF1995">
                  <w:pPr>
                    <w:pStyle w:val="27"/>
                    <w:keepNext w:val="0"/>
                    <w:keepLines w:val="0"/>
                    <w:widowControl w:val="0"/>
                    <w:suppressLineNumbers w:val="0"/>
                    <w:autoSpaceDE w:val="0"/>
                    <w:autoSpaceDN/>
                    <w:spacing w:before="0" w:beforeAutospacing="0" w:after="0" w:afterAutospacing="0" w:line="240" w:lineRule="auto"/>
                    <w:ind w:left="0" w:leftChars="0" w:right="0" w:rightChars="0" w:firstLine="0" w:firstLineChars="0"/>
                    <w:jc w:val="center"/>
                    <w:rPr>
                      <w:rFonts w:hint="eastAsia" w:cs="Times New Roman"/>
                      <w:color w:val="000000" w:themeColor="text1"/>
                      <w:sz w:val="21"/>
                      <w:szCs w:val="21"/>
                      <w:highlight w:val="none"/>
                      <w:u w:val="none" w:color="auto"/>
                      <w:lang w:val="en-US" w:eastAsia="zh-CN"/>
                      <w14:textFill>
                        <w14:solidFill>
                          <w14:schemeClr w14:val="tx1"/>
                        </w14:solidFill>
                      </w14:textFill>
                    </w:rPr>
                  </w:pPr>
                  <w:r>
                    <w:rPr>
                      <w:rFonts w:hint="eastAsia" w:ascii="宋体" w:hAnsi="宋体" w:eastAsia="宋体" w:cs="宋体"/>
                      <w:color w:val="000000" w:themeColor="text1"/>
                      <w:kern w:val="0"/>
                      <w:sz w:val="21"/>
                      <w:szCs w:val="21"/>
                      <w:u w:val="none" w:color="auto"/>
                      <w:lang w:val="en-US" w:eastAsia="zh-CN" w:bidi="ar"/>
                      <w14:textFill>
                        <w14:solidFill>
                          <w14:schemeClr w14:val="tx1"/>
                        </w14:solidFill>
                      </w14:textFill>
                    </w:rPr>
                    <w:t>破碎、筛分、造粒和包装等过程</w:t>
                  </w:r>
                </w:p>
              </w:tc>
              <w:tc>
                <w:tcPr>
                  <w:tcW w:w="266" w:type="pct"/>
                  <w:shd w:val="clear" w:color="auto" w:fill="auto"/>
                  <w:noWrap w:val="0"/>
                  <w:vAlign w:val="center"/>
                </w:tcPr>
                <w:p w14:paraId="6793C30C">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eastAsia" w:hAnsi="宋体"/>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颗粒物</w:t>
                  </w:r>
                </w:p>
              </w:tc>
              <w:tc>
                <w:tcPr>
                  <w:tcW w:w="343" w:type="pct"/>
                  <w:shd w:val="clear" w:color="auto" w:fill="auto"/>
                  <w:noWrap w:val="0"/>
                  <w:vAlign w:val="center"/>
                </w:tcPr>
                <w:p w14:paraId="48E65143">
                  <w:pPr>
                    <w:keepNext w:val="0"/>
                    <w:keepLines w:val="0"/>
                    <w:widowControl/>
                    <w:suppressLineNumbers w:val="0"/>
                    <w:jc w:val="center"/>
                    <w:textAlignment w:val="center"/>
                    <w:rPr>
                      <w:rFonts w:hint="eastAsia" w:ascii="Times New Roman" w:hAnsi="Times New Roman" w:eastAsia="宋体" w:cs="Times New Roman"/>
                      <w:color w:val="000000" w:themeColor="text1"/>
                      <w:kern w:val="2"/>
                      <w:sz w:val="21"/>
                      <w:szCs w:val="21"/>
                      <w:highlight w:val="none"/>
                      <w:u w:val="none" w:color="auto"/>
                      <w:lang w:val="en-US" w:eastAsia="zh-CN" w:bidi="ar"/>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0.414</w:t>
                  </w:r>
                </w:p>
              </w:tc>
              <w:tc>
                <w:tcPr>
                  <w:tcW w:w="359" w:type="pct"/>
                  <w:shd w:val="clear" w:color="auto" w:fill="auto"/>
                  <w:noWrap w:val="0"/>
                  <w:vAlign w:val="center"/>
                </w:tcPr>
                <w:p w14:paraId="3E7B4055">
                  <w:pPr>
                    <w:keepNext w:val="0"/>
                    <w:keepLines w:val="0"/>
                    <w:widowControl/>
                    <w:suppressLineNumbers w:val="0"/>
                    <w:jc w:val="center"/>
                    <w:textAlignment w:val="center"/>
                    <w:rPr>
                      <w:rFonts w:hint="eastAsia"/>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0.115</w:t>
                  </w:r>
                </w:p>
              </w:tc>
              <w:tc>
                <w:tcPr>
                  <w:tcW w:w="341" w:type="pct"/>
                  <w:shd w:val="clear" w:color="auto" w:fill="auto"/>
                  <w:noWrap w:val="0"/>
                  <w:vAlign w:val="center"/>
                </w:tcPr>
                <w:p w14:paraId="5DDEDA65">
                  <w:pPr>
                    <w:keepNext w:val="0"/>
                    <w:keepLines w:val="0"/>
                    <w:widowControl/>
                    <w:suppressLineNumbers w:val="0"/>
                    <w:jc w:val="center"/>
                    <w:textAlignment w:val="center"/>
                    <w:rPr>
                      <w:rFonts w:hint="eastAsia"/>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114.861</w:t>
                  </w:r>
                </w:p>
              </w:tc>
              <w:tc>
                <w:tcPr>
                  <w:tcW w:w="872" w:type="pct"/>
                  <w:noWrap w:val="0"/>
                  <w:vAlign w:val="center"/>
                </w:tcPr>
                <w:p w14:paraId="46BA48CC">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eastAsia"/>
                      <w:color w:val="000000" w:themeColor="text1"/>
                      <w:sz w:val="21"/>
                      <w:szCs w:val="21"/>
                      <w:u w:val="none" w:color="auto"/>
                      <w:lang w:val="en-US" w:eastAsia="zh-CN"/>
                      <w14:textFill>
                        <w14:solidFill>
                          <w14:schemeClr w14:val="tx1"/>
                        </w14:solidFill>
                      </w14:textFill>
                    </w:rPr>
                  </w:pPr>
                  <w:r>
                    <w:rPr>
                      <w:rFonts w:hint="eastAsia"/>
                      <w:color w:val="000000" w:themeColor="text1"/>
                      <w:sz w:val="21"/>
                      <w:szCs w:val="21"/>
                      <w:u w:val="none" w:color="auto"/>
                      <w:lang w:val="en-US" w:eastAsia="zh-CN"/>
                      <w14:textFill>
                        <w14:solidFill>
                          <w14:schemeClr w14:val="tx1"/>
                        </w14:solidFill>
                      </w14:textFill>
                    </w:rPr>
                    <w:t>经收集后引入1套袋式</w:t>
                  </w:r>
                  <w:r>
                    <w:rPr>
                      <w:rFonts w:hint="eastAsia"/>
                      <w:color w:val="000000" w:themeColor="text1"/>
                      <w:sz w:val="21"/>
                      <w:szCs w:val="21"/>
                      <w:u w:val="none" w:color="auto"/>
                      <w14:textFill>
                        <w14:solidFill>
                          <w14:schemeClr w14:val="tx1"/>
                        </w14:solidFill>
                      </w14:textFill>
                    </w:rPr>
                    <w:t>除尘器</w:t>
                  </w: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（TA00</w:t>
                  </w:r>
                  <w:r>
                    <w:rPr>
                      <w:rFonts w:hint="eastAsia"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3</w:t>
                  </w: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）处理后经1根15m高排气筒（DA00</w:t>
                  </w:r>
                  <w:r>
                    <w:rPr>
                      <w:rFonts w:hint="eastAsia"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3</w:t>
                  </w: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）引至高空排放</w:t>
                  </w:r>
                </w:p>
              </w:tc>
              <w:tc>
                <w:tcPr>
                  <w:tcW w:w="227" w:type="pct"/>
                  <w:noWrap w:val="0"/>
                  <w:vAlign w:val="center"/>
                </w:tcPr>
                <w:p w14:paraId="7F5D61CE">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eastAsia" w:cs="Times New Roman"/>
                      <w:color w:val="000000" w:themeColor="text1"/>
                      <w:sz w:val="21"/>
                      <w:szCs w:val="21"/>
                      <w:highlight w:val="none"/>
                      <w:u w:val="none" w:color="auto"/>
                      <w:lang w:val="en-US" w:eastAsia="zh-CN"/>
                      <w14:textFill>
                        <w14:solidFill>
                          <w14:schemeClr w14:val="tx1"/>
                        </w14:solidFill>
                      </w14:textFill>
                    </w:rPr>
                  </w:pPr>
                  <w:r>
                    <w:rPr>
                      <w:rFonts w:hint="eastAsia" w:cs="Times New Roman"/>
                      <w:color w:val="000000" w:themeColor="text1"/>
                      <w:sz w:val="21"/>
                      <w:szCs w:val="21"/>
                      <w:highlight w:val="none"/>
                      <w:u w:val="none" w:color="auto"/>
                      <w:lang w:val="en-US" w:eastAsia="zh-CN"/>
                      <w14:textFill>
                        <w14:solidFill>
                          <w14:schemeClr w14:val="tx1"/>
                        </w14:solidFill>
                      </w14:textFill>
                    </w:rPr>
                    <w:t>-</w:t>
                  </w:r>
                </w:p>
              </w:tc>
              <w:tc>
                <w:tcPr>
                  <w:tcW w:w="227" w:type="pct"/>
                  <w:noWrap w:val="0"/>
                  <w:vAlign w:val="center"/>
                </w:tcPr>
                <w:p w14:paraId="51D9758A">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eastAsia"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99</w:t>
                  </w:r>
                </w:p>
              </w:tc>
              <w:tc>
                <w:tcPr>
                  <w:tcW w:w="164" w:type="pct"/>
                  <w:noWrap w:val="0"/>
                  <w:vAlign w:val="center"/>
                </w:tcPr>
                <w:p w14:paraId="0CA7B4E9">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eastAsia"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可行</w:t>
                  </w:r>
                </w:p>
              </w:tc>
              <w:tc>
                <w:tcPr>
                  <w:tcW w:w="236" w:type="pct"/>
                  <w:shd w:val="clear" w:color="auto" w:fill="auto"/>
                  <w:noWrap w:val="0"/>
                  <w:vAlign w:val="center"/>
                </w:tcPr>
                <w:p w14:paraId="28899DE1">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eastAsia" w:hAnsi="宋体"/>
                      <w:color w:val="000000" w:themeColor="text1"/>
                      <w:sz w:val="21"/>
                      <w:szCs w:val="21"/>
                      <w:u w:val="none" w:color="auto"/>
                      <w14:textFill>
                        <w14:solidFill>
                          <w14:schemeClr w14:val="tx1"/>
                        </w14:solidFill>
                      </w14:textFill>
                    </w:rPr>
                  </w:pPr>
                  <w:r>
                    <w:rPr>
                      <w:rFonts w:hint="eastAsia"/>
                      <w:color w:val="000000" w:themeColor="text1"/>
                      <w:sz w:val="21"/>
                      <w:szCs w:val="21"/>
                      <w:highlight w:val="none"/>
                      <w:u w:val="none" w:color="auto"/>
                      <w:vertAlign w:val="baseline"/>
                      <w:lang w:val="en-US" w:eastAsia="zh-CN"/>
                      <w14:textFill>
                        <w14:solidFill>
                          <w14:schemeClr w14:val="tx1"/>
                        </w14:solidFill>
                      </w14:textFill>
                    </w:rPr>
                    <w:t>颗粒物</w:t>
                  </w:r>
                </w:p>
              </w:tc>
              <w:tc>
                <w:tcPr>
                  <w:tcW w:w="899" w:type="dxa"/>
                  <w:shd w:val="clear" w:color="auto" w:fill="auto"/>
                  <w:noWrap w:val="0"/>
                  <w:vAlign w:val="center"/>
                </w:tcPr>
                <w:p w14:paraId="3156EEE6">
                  <w:pPr>
                    <w:keepNext w:val="0"/>
                    <w:keepLines w:val="0"/>
                    <w:widowControl/>
                    <w:suppressLineNumbers w:val="0"/>
                    <w:jc w:val="center"/>
                    <w:textAlignment w:val="center"/>
                    <w:rPr>
                      <w:rFonts w:hint="eastAsia" w:ascii="Times New Roman" w:hAnsi="Times New Roman" w:eastAsia="宋体" w:cs="Times New Roman"/>
                      <w:color w:val="000000" w:themeColor="text1"/>
                      <w:kern w:val="2"/>
                      <w:sz w:val="21"/>
                      <w:szCs w:val="21"/>
                      <w:highlight w:val="none"/>
                      <w:u w:val="none" w:color="auto"/>
                      <w:lang w:val="en-US" w:eastAsia="zh-CN" w:bidi="ar"/>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0.004</w:t>
                  </w:r>
                </w:p>
              </w:tc>
              <w:tc>
                <w:tcPr>
                  <w:tcW w:w="899" w:type="dxa"/>
                  <w:shd w:val="clear" w:color="auto" w:fill="auto"/>
                  <w:noWrap w:val="0"/>
                  <w:vAlign w:val="center"/>
                </w:tcPr>
                <w:p w14:paraId="53DFECA2">
                  <w:pPr>
                    <w:keepNext w:val="0"/>
                    <w:keepLines w:val="0"/>
                    <w:widowControl/>
                    <w:suppressLineNumbers w:val="0"/>
                    <w:jc w:val="center"/>
                    <w:textAlignment w:val="center"/>
                    <w:rPr>
                      <w:rFonts w:hint="eastAsia"/>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0.001</w:t>
                  </w:r>
                </w:p>
              </w:tc>
              <w:tc>
                <w:tcPr>
                  <w:tcW w:w="921" w:type="dxa"/>
                  <w:shd w:val="clear" w:color="auto" w:fill="auto"/>
                  <w:noWrap w:val="0"/>
                  <w:vAlign w:val="center"/>
                </w:tcPr>
                <w:p w14:paraId="3931972A">
                  <w:pPr>
                    <w:keepNext w:val="0"/>
                    <w:keepLines w:val="0"/>
                    <w:widowControl/>
                    <w:suppressLineNumbers w:val="0"/>
                    <w:jc w:val="center"/>
                    <w:textAlignment w:val="center"/>
                    <w:rPr>
                      <w:rFonts w:hint="eastAsia"/>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1.149</w:t>
                  </w:r>
                </w:p>
              </w:tc>
            </w:tr>
            <w:tr w14:paraId="5C72B2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8" w:type="pct"/>
                  <w:vMerge w:val="restart"/>
                  <w:noWrap w:val="0"/>
                  <w:vAlign w:val="center"/>
                </w:tcPr>
                <w:p w14:paraId="384DE0D7">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无组织废气</w:t>
                  </w:r>
                </w:p>
              </w:tc>
              <w:tc>
                <w:tcPr>
                  <w:tcW w:w="197" w:type="pct"/>
                  <w:vMerge w:val="restart"/>
                  <w:noWrap w:val="0"/>
                  <w:vAlign w:val="center"/>
                </w:tcPr>
                <w:p w14:paraId="16F3F14C">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lang w:val="en-US" w:eastAsia="zh-CN" w:bidi="ar"/>
                      <w14:textFill>
                        <w14:solidFill>
                          <w14:schemeClr w14:val="tx1"/>
                        </w14:solidFill>
                      </w14:textFill>
                    </w:rPr>
                  </w:pPr>
                  <w:r>
                    <w:rPr>
                      <w:rFonts w:hint="eastAsia" w:cs="Times New Roman"/>
                      <w:color w:val="000000" w:themeColor="text1"/>
                      <w:sz w:val="21"/>
                      <w:szCs w:val="21"/>
                      <w:highlight w:val="none"/>
                      <w:u w:val="none" w:color="auto"/>
                      <w:lang w:val="en-US" w:eastAsia="zh-CN"/>
                      <w14:textFill>
                        <w14:solidFill>
                          <w14:schemeClr w14:val="tx1"/>
                        </w14:solidFill>
                      </w14:textFill>
                    </w:rPr>
                    <w:t>机制炭</w:t>
                  </w: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生产线</w:t>
                  </w:r>
                </w:p>
              </w:tc>
              <w:tc>
                <w:tcPr>
                  <w:tcW w:w="538" w:type="pct"/>
                  <w:shd w:val="clear" w:color="auto" w:fill="auto"/>
                  <w:noWrap w:val="0"/>
                  <w:vAlign w:val="center"/>
                </w:tcPr>
                <w:p w14:paraId="25DFCEA1">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eastAsia" w:ascii="宋体" w:hAnsi="宋体" w:eastAsia="宋体" w:cs="宋体"/>
                      <w:color w:val="000000" w:themeColor="text1"/>
                      <w:kern w:val="0"/>
                      <w:sz w:val="21"/>
                      <w:szCs w:val="21"/>
                      <w:u w:val="none" w:color="auto"/>
                      <w:lang w:val="en-US" w:eastAsia="zh-CN" w:bidi="ar"/>
                      <w14:textFill>
                        <w14:solidFill>
                          <w14:schemeClr w14:val="tx1"/>
                        </w14:solidFill>
                      </w14:textFill>
                    </w:rPr>
                  </w:pPr>
                  <w:r>
                    <w:rPr>
                      <w:rFonts w:hint="eastAsia" w:ascii="宋体" w:hAnsi="宋体" w:eastAsia="宋体" w:cs="宋体"/>
                      <w:color w:val="000000" w:themeColor="text1"/>
                      <w:kern w:val="0"/>
                      <w:sz w:val="21"/>
                      <w:szCs w:val="21"/>
                      <w:u w:val="none" w:color="auto"/>
                      <w:lang w:val="en-US" w:eastAsia="zh-CN" w:bidi="ar"/>
                      <w14:textFill>
                        <w14:solidFill>
                          <w14:schemeClr w14:val="tx1"/>
                        </w14:solidFill>
                      </w14:textFill>
                    </w:rPr>
                    <w:t>原料装卸</w:t>
                  </w:r>
                  <w:r>
                    <w:rPr>
                      <w:rFonts w:hint="eastAsia" w:ascii="宋体" w:hAnsi="宋体" w:cs="宋体"/>
                      <w:color w:val="000000" w:themeColor="text1"/>
                      <w:kern w:val="0"/>
                      <w:sz w:val="21"/>
                      <w:szCs w:val="21"/>
                      <w:u w:val="none" w:color="auto"/>
                      <w:lang w:val="en-US" w:eastAsia="zh-CN" w:bidi="ar"/>
                      <w14:textFill>
                        <w14:solidFill>
                          <w14:schemeClr w14:val="tx1"/>
                        </w14:solidFill>
                      </w14:textFill>
                    </w:rPr>
                    <w:t>转运过程废气</w:t>
                  </w:r>
                </w:p>
              </w:tc>
              <w:tc>
                <w:tcPr>
                  <w:tcW w:w="266" w:type="pct"/>
                  <w:shd w:val="clear" w:color="auto" w:fill="auto"/>
                  <w:noWrap w:val="0"/>
                  <w:vAlign w:val="center"/>
                </w:tcPr>
                <w:p w14:paraId="05CA1FED">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eastAsia" w:cs="Times New Roman"/>
                      <w:color w:val="000000" w:themeColor="text1"/>
                      <w:sz w:val="21"/>
                      <w:szCs w:val="21"/>
                      <w:highlight w:val="none"/>
                      <w:u w:val="none" w:color="auto"/>
                      <w:lang w:val="en-US" w:eastAsia="zh-CN"/>
                      <w14:textFill>
                        <w14:solidFill>
                          <w14:schemeClr w14:val="tx1"/>
                        </w14:solidFill>
                      </w14:textFill>
                    </w:rPr>
                    <w:t>颗粒物</w:t>
                  </w:r>
                </w:p>
              </w:tc>
              <w:tc>
                <w:tcPr>
                  <w:tcW w:w="343" w:type="pct"/>
                  <w:shd w:val="clear" w:color="auto" w:fill="auto"/>
                  <w:noWrap w:val="0"/>
                  <w:vAlign w:val="center"/>
                </w:tcPr>
                <w:p w14:paraId="4EC38E23">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outlineLvl w:val="9"/>
                    <w:rPr>
                      <w:rFonts w:hint="default" w:cs="Times New Roman"/>
                      <w:color w:val="000000" w:themeColor="text1"/>
                      <w:sz w:val="21"/>
                      <w:szCs w:val="21"/>
                      <w:highlight w:val="none"/>
                      <w:u w:val="none" w:color="auto"/>
                      <w:lang w:val="en-US" w:eastAsia="zh-CN"/>
                      <w14:textFill>
                        <w14:solidFill>
                          <w14:schemeClr w14:val="tx1"/>
                        </w14:solidFill>
                      </w14:textFill>
                    </w:rPr>
                  </w:pPr>
                  <w:r>
                    <w:rPr>
                      <w:rFonts w:hint="default" w:cs="Times New Roman"/>
                      <w:color w:val="000000" w:themeColor="text1"/>
                      <w:sz w:val="21"/>
                      <w:szCs w:val="21"/>
                      <w:highlight w:val="none"/>
                      <w:u w:val="none" w:color="auto"/>
                      <w:lang w:val="en-US" w:eastAsia="zh-CN"/>
                      <w14:textFill>
                        <w14:solidFill>
                          <w14:schemeClr w14:val="tx1"/>
                        </w14:solidFill>
                      </w14:textFill>
                    </w:rPr>
                    <w:t>4.27</w:t>
                  </w:r>
                </w:p>
              </w:tc>
              <w:tc>
                <w:tcPr>
                  <w:tcW w:w="359" w:type="pct"/>
                  <w:shd w:val="clear" w:color="auto" w:fill="auto"/>
                  <w:noWrap w:val="0"/>
                  <w:vAlign w:val="center"/>
                </w:tcPr>
                <w:p w14:paraId="2958A7C4">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outlineLvl w:val="9"/>
                    <w:rPr>
                      <w:rFonts w:hint="default" w:cs="Times New Roman"/>
                      <w:color w:val="000000" w:themeColor="text1"/>
                      <w:sz w:val="21"/>
                      <w:szCs w:val="21"/>
                      <w:highlight w:val="none"/>
                      <w:u w:val="none" w:color="auto"/>
                      <w:lang w:val="en-US" w:eastAsia="zh-CN"/>
                      <w14:textFill>
                        <w14:solidFill>
                          <w14:schemeClr w14:val="tx1"/>
                        </w14:solidFill>
                      </w14:textFill>
                    </w:rPr>
                  </w:pPr>
                  <w:r>
                    <w:rPr>
                      <w:rFonts w:hint="default" w:cs="Times New Roman"/>
                      <w:color w:val="000000" w:themeColor="text1"/>
                      <w:sz w:val="21"/>
                      <w:szCs w:val="21"/>
                      <w:highlight w:val="none"/>
                      <w:u w:val="none" w:color="auto"/>
                      <w:lang w:val="en-US" w:eastAsia="zh-CN"/>
                      <w14:textFill>
                        <w14:solidFill>
                          <w14:schemeClr w14:val="tx1"/>
                        </w14:solidFill>
                      </w14:textFill>
                    </w:rPr>
                    <w:t>2.135</w:t>
                  </w:r>
                </w:p>
              </w:tc>
              <w:tc>
                <w:tcPr>
                  <w:tcW w:w="341" w:type="pct"/>
                  <w:shd w:val="clear" w:color="auto" w:fill="auto"/>
                  <w:noWrap w:val="0"/>
                  <w:vAlign w:val="center"/>
                </w:tcPr>
                <w:p w14:paraId="396F50CE">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p>
              </w:tc>
              <w:tc>
                <w:tcPr>
                  <w:tcW w:w="872" w:type="pct"/>
                  <w:vMerge w:val="restart"/>
                  <w:noWrap w:val="0"/>
                  <w:vAlign w:val="center"/>
                </w:tcPr>
                <w:p w14:paraId="23B2D48D">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eastAsia" w:cs="Times New Roman"/>
                      <w:color w:val="000000" w:themeColor="text1"/>
                      <w:sz w:val="21"/>
                      <w:szCs w:val="21"/>
                      <w:highlight w:val="none"/>
                      <w:u w:val="none" w:color="auto"/>
                      <w:lang w:val="en-US" w:eastAsia="zh-CN"/>
                      <w14:textFill>
                        <w14:solidFill>
                          <w14:schemeClr w14:val="tx1"/>
                        </w14:solidFill>
                      </w14:textFill>
                    </w:rPr>
                    <w:t>所在厂房</w:t>
                  </w: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封闭</w:t>
                  </w:r>
                </w:p>
              </w:tc>
              <w:tc>
                <w:tcPr>
                  <w:tcW w:w="227" w:type="pct"/>
                  <w:shd w:val="clear" w:color="auto" w:fill="auto"/>
                  <w:noWrap w:val="0"/>
                  <w:vAlign w:val="center"/>
                </w:tcPr>
                <w:p w14:paraId="3DB04DEB">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eastAsia" w:cs="Times New Roman"/>
                      <w:color w:val="000000" w:themeColor="text1"/>
                      <w:sz w:val="21"/>
                      <w:szCs w:val="21"/>
                      <w:highlight w:val="none"/>
                      <w:u w:val="none" w:color="auto"/>
                      <w:lang w:val="en-US" w:eastAsia="zh-CN"/>
                      <w14:textFill>
                        <w14:solidFill>
                          <w14:schemeClr w14:val="tx1"/>
                        </w14:solidFill>
                      </w14:textFill>
                    </w:rPr>
                    <w:t>/</w:t>
                  </w:r>
                </w:p>
              </w:tc>
              <w:tc>
                <w:tcPr>
                  <w:tcW w:w="227" w:type="pct"/>
                  <w:shd w:val="clear" w:color="auto" w:fill="auto"/>
                  <w:noWrap w:val="0"/>
                  <w:vAlign w:val="center"/>
                </w:tcPr>
                <w:p w14:paraId="20F80D06">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eastAsia"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eastAsia" w:cs="Times New Roman"/>
                      <w:color w:val="000000" w:themeColor="text1"/>
                      <w:sz w:val="21"/>
                      <w:szCs w:val="21"/>
                      <w:highlight w:val="none"/>
                      <w:u w:val="none" w:color="auto"/>
                      <w:lang w:val="en-US" w:eastAsia="zh-CN"/>
                      <w14:textFill>
                        <w14:solidFill>
                          <w14:schemeClr w14:val="tx1"/>
                        </w14:solidFill>
                      </w14:textFill>
                    </w:rPr>
                    <w:t>90%</w:t>
                  </w:r>
                </w:p>
              </w:tc>
              <w:tc>
                <w:tcPr>
                  <w:tcW w:w="164" w:type="pct"/>
                  <w:shd w:val="clear" w:color="auto" w:fill="auto"/>
                  <w:noWrap w:val="0"/>
                  <w:vAlign w:val="center"/>
                </w:tcPr>
                <w:p w14:paraId="36A64B9A">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eastAsia"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eastAsia" w:cs="Times New Roman"/>
                      <w:color w:val="000000" w:themeColor="text1"/>
                      <w:sz w:val="21"/>
                      <w:szCs w:val="21"/>
                      <w:highlight w:val="none"/>
                      <w:u w:val="none" w:color="auto"/>
                      <w:lang w:val="en-US" w:eastAsia="zh-CN"/>
                      <w14:textFill>
                        <w14:solidFill>
                          <w14:schemeClr w14:val="tx1"/>
                        </w14:solidFill>
                      </w14:textFill>
                    </w:rPr>
                    <w:t>/</w:t>
                  </w:r>
                </w:p>
              </w:tc>
              <w:tc>
                <w:tcPr>
                  <w:tcW w:w="236" w:type="pct"/>
                  <w:shd w:val="clear" w:color="auto" w:fill="auto"/>
                  <w:noWrap w:val="0"/>
                  <w:vAlign w:val="center"/>
                </w:tcPr>
                <w:p w14:paraId="31877FCC">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eastAsia" w:cs="Times New Roman"/>
                      <w:color w:val="000000" w:themeColor="text1"/>
                      <w:sz w:val="21"/>
                      <w:szCs w:val="21"/>
                      <w:highlight w:val="none"/>
                      <w:u w:val="none" w:color="auto"/>
                      <w:lang w:val="en-US" w:eastAsia="zh-CN"/>
                      <w14:textFill>
                        <w14:solidFill>
                          <w14:schemeClr w14:val="tx1"/>
                        </w14:solidFill>
                      </w14:textFill>
                    </w:rPr>
                    <w:t>颗粒物</w:t>
                  </w:r>
                </w:p>
              </w:tc>
              <w:tc>
                <w:tcPr>
                  <w:tcW w:w="340" w:type="pct"/>
                  <w:shd w:val="clear" w:color="auto" w:fill="auto"/>
                  <w:noWrap w:val="0"/>
                  <w:vAlign w:val="center"/>
                </w:tcPr>
                <w:p w14:paraId="1A21D059">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eastAsia"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t>0.427</w:t>
                  </w:r>
                </w:p>
              </w:tc>
              <w:tc>
                <w:tcPr>
                  <w:tcW w:w="340" w:type="pct"/>
                  <w:shd w:val="clear" w:color="auto" w:fill="auto"/>
                  <w:noWrap w:val="0"/>
                  <w:vAlign w:val="center"/>
                </w:tcPr>
                <w:p w14:paraId="6BF7F380">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eastAsia"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t>0.214</w:t>
                  </w:r>
                </w:p>
              </w:tc>
              <w:tc>
                <w:tcPr>
                  <w:tcW w:w="348" w:type="pct"/>
                  <w:shd w:val="clear" w:color="auto" w:fill="auto"/>
                  <w:noWrap w:val="0"/>
                  <w:vAlign w:val="center"/>
                </w:tcPr>
                <w:p w14:paraId="113102DC">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cs="Times New Roman"/>
                      <w:color w:val="000000" w:themeColor="text1"/>
                      <w:sz w:val="21"/>
                      <w:szCs w:val="21"/>
                      <w:highlight w:val="none"/>
                      <w:u w:val="none" w:color="auto"/>
                      <w:lang w:val="en-US" w:eastAsia="zh-CN"/>
                      <w14:textFill>
                        <w14:solidFill>
                          <w14:schemeClr w14:val="tx1"/>
                        </w14:solidFill>
                      </w14:textFill>
                    </w:rPr>
                  </w:pPr>
                  <w:r>
                    <w:rPr>
                      <w:rFonts w:hint="eastAsia" w:cs="Times New Roman"/>
                      <w:color w:val="000000" w:themeColor="text1"/>
                      <w:sz w:val="21"/>
                      <w:szCs w:val="21"/>
                      <w:highlight w:val="none"/>
                      <w:u w:val="none" w:color="auto"/>
                      <w:lang w:val="en-US" w:eastAsia="zh-CN"/>
                      <w14:textFill>
                        <w14:solidFill>
                          <w14:schemeClr w14:val="tx1"/>
                        </w14:solidFill>
                      </w14:textFill>
                    </w:rPr>
                    <w:t>/</w:t>
                  </w:r>
                </w:p>
              </w:tc>
            </w:tr>
            <w:tr w14:paraId="76E762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8" w:type="pct"/>
                  <w:vMerge w:val="continue"/>
                  <w:noWrap w:val="0"/>
                  <w:vAlign w:val="center"/>
                </w:tcPr>
                <w:p w14:paraId="22CC966D">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p>
              </w:tc>
              <w:tc>
                <w:tcPr>
                  <w:tcW w:w="197" w:type="pct"/>
                  <w:vMerge w:val="continue"/>
                  <w:noWrap w:val="0"/>
                  <w:vAlign w:val="center"/>
                </w:tcPr>
                <w:p w14:paraId="089D59EB">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lang w:val="en-US" w:eastAsia="zh-CN" w:bidi="ar"/>
                      <w14:textFill>
                        <w14:solidFill>
                          <w14:schemeClr w14:val="tx1"/>
                        </w14:solidFill>
                      </w14:textFill>
                    </w:rPr>
                  </w:pPr>
                </w:p>
              </w:tc>
              <w:tc>
                <w:tcPr>
                  <w:tcW w:w="538" w:type="pct"/>
                  <w:shd w:val="clear" w:color="auto" w:fill="auto"/>
                  <w:noWrap w:val="0"/>
                  <w:vAlign w:val="center"/>
                </w:tcPr>
                <w:p w14:paraId="0DA6761C">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eastAsia" w:cs="Times New Roman"/>
                      <w:color w:val="000000" w:themeColor="text1"/>
                      <w:sz w:val="21"/>
                      <w:szCs w:val="21"/>
                      <w:highlight w:val="none"/>
                      <w:u w:val="none" w:color="auto"/>
                      <w:lang w:val="en-US" w:eastAsia="zh-CN"/>
                      <w14:textFill>
                        <w14:solidFill>
                          <w14:schemeClr w14:val="tx1"/>
                        </w14:solidFill>
                      </w14:textFill>
                    </w:rPr>
                    <w:t>破碎、筛分、</w:t>
                  </w:r>
                  <w:r>
                    <w:rPr>
                      <w:rFonts w:hint="eastAsia" w:ascii="宋体" w:hAnsi="宋体" w:cs="宋体"/>
                      <w:b w:val="0"/>
                      <w:bCs/>
                      <w:color w:val="000000" w:themeColor="text1"/>
                      <w:sz w:val="21"/>
                      <w:szCs w:val="21"/>
                      <w:highlight w:val="none"/>
                      <w:u w:val="none" w:color="auto"/>
                      <w:lang w:val="en-US" w:eastAsia="zh-CN"/>
                      <w14:textFill>
                        <w14:solidFill>
                          <w14:schemeClr w14:val="tx1"/>
                        </w14:solidFill>
                      </w14:textFill>
                    </w:rPr>
                    <w:t>冷却、</w:t>
                  </w:r>
                  <w:r>
                    <w:rPr>
                      <w:rFonts w:hint="eastAsia"/>
                      <w:b w:val="0"/>
                      <w:bCs/>
                      <w:color w:val="000000" w:themeColor="text1"/>
                      <w:sz w:val="21"/>
                      <w:szCs w:val="21"/>
                      <w:highlight w:val="none"/>
                      <w:u w:val="none" w:color="auto"/>
                      <w:lang w:val="en-US" w:eastAsia="zh-CN"/>
                      <w14:textFill>
                        <w14:solidFill>
                          <w14:schemeClr w14:val="tx1"/>
                        </w14:solidFill>
                      </w14:textFill>
                    </w:rPr>
                    <w:t>锯切、包装</w:t>
                  </w:r>
                  <w:r>
                    <w:rPr>
                      <w:rFonts w:hint="eastAsia" w:cs="Times New Roman"/>
                      <w:color w:val="000000" w:themeColor="text1"/>
                      <w:sz w:val="21"/>
                      <w:szCs w:val="21"/>
                      <w:highlight w:val="none"/>
                      <w:u w:val="none" w:color="auto"/>
                      <w:lang w:val="en-US" w:eastAsia="zh-CN"/>
                      <w14:textFill>
                        <w14:solidFill>
                          <w14:schemeClr w14:val="tx1"/>
                        </w14:solidFill>
                      </w14:textFill>
                    </w:rPr>
                    <w:t>工序集气罩未收集</w:t>
                  </w:r>
                </w:p>
              </w:tc>
              <w:tc>
                <w:tcPr>
                  <w:tcW w:w="266" w:type="pct"/>
                  <w:shd w:val="clear" w:color="auto" w:fill="auto"/>
                  <w:noWrap w:val="0"/>
                  <w:vAlign w:val="center"/>
                </w:tcPr>
                <w:p w14:paraId="182AF255">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颗粒物</w:t>
                  </w:r>
                </w:p>
              </w:tc>
              <w:tc>
                <w:tcPr>
                  <w:tcW w:w="907" w:type="dxa"/>
                  <w:shd w:val="clear" w:color="auto" w:fill="auto"/>
                  <w:noWrap w:val="0"/>
                  <w:vAlign w:val="center"/>
                </w:tcPr>
                <w:p w14:paraId="2BB140F6">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0.881</w:t>
                  </w:r>
                </w:p>
              </w:tc>
              <w:tc>
                <w:tcPr>
                  <w:tcW w:w="950" w:type="dxa"/>
                  <w:shd w:val="clear" w:color="auto" w:fill="auto"/>
                  <w:noWrap w:val="0"/>
                  <w:vAlign w:val="center"/>
                </w:tcPr>
                <w:p w14:paraId="77B9120F">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0.245</w:t>
                  </w:r>
                </w:p>
              </w:tc>
              <w:tc>
                <w:tcPr>
                  <w:tcW w:w="341" w:type="pct"/>
                  <w:shd w:val="clear" w:color="auto" w:fill="auto"/>
                  <w:noWrap w:val="0"/>
                  <w:vAlign w:val="center"/>
                </w:tcPr>
                <w:p w14:paraId="4615C75D">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w:t>
                  </w:r>
                </w:p>
              </w:tc>
              <w:tc>
                <w:tcPr>
                  <w:tcW w:w="872" w:type="pct"/>
                  <w:vMerge w:val="continue"/>
                  <w:noWrap w:val="0"/>
                  <w:vAlign w:val="center"/>
                </w:tcPr>
                <w:p w14:paraId="4283C7C9">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p>
              </w:tc>
              <w:tc>
                <w:tcPr>
                  <w:tcW w:w="227" w:type="pct"/>
                  <w:noWrap w:val="0"/>
                  <w:vAlign w:val="center"/>
                </w:tcPr>
                <w:p w14:paraId="32DFC89F">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w:t>
                  </w:r>
                </w:p>
              </w:tc>
              <w:tc>
                <w:tcPr>
                  <w:tcW w:w="227" w:type="pct"/>
                  <w:noWrap w:val="0"/>
                  <w:vAlign w:val="center"/>
                </w:tcPr>
                <w:p w14:paraId="71BFF192">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w:t>
                  </w:r>
                </w:p>
              </w:tc>
              <w:tc>
                <w:tcPr>
                  <w:tcW w:w="164" w:type="pct"/>
                  <w:noWrap w:val="0"/>
                  <w:vAlign w:val="center"/>
                </w:tcPr>
                <w:p w14:paraId="630338A7">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w:t>
                  </w:r>
                </w:p>
              </w:tc>
              <w:tc>
                <w:tcPr>
                  <w:tcW w:w="236" w:type="pct"/>
                  <w:shd w:val="clear" w:color="auto" w:fill="auto"/>
                  <w:noWrap w:val="0"/>
                  <w:vAlign w:val="center"/>
                </w:tcPr>
                <w:p w14:paraId="61311D84">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eastAsia"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颗粒物</w:t>
                  </w:r>
                </w:p>
              </w:tc>
              <w:tc>
                <w:tcPr>
                  <w:tcW w:w="899" w:type="dxa"/>
                  <w:shd w:val="clear" w:color="auto" w:fill="auto"/>
                  <w:noWrap w:val="0"/>
                  <w:vAlign w:val="center"/>
                </w:tcPr>
                <w:p w14:paraId="0E979CC6">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0.881</w:t>
                  </w:r>
                </w:p>
              </w:tc>
              <w:tc>
                <w:tcPr>
                  <w:tcW w:w="899" w:type="dxa"/>
                  <w:shd w:val="clear" w:color="auto" w:fill="auto"/>
                  <w:noWrap w:val="0"/>
                  <w:vAlign w:val="center"/>
                </w:tcPr>
                <w:p w14:paraId="14230FA2">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0.245</w:t>
                  </w:r>
                </w:p>
              </w:tc>
              <w:tc>
                <w:tcPr>
                  <w:tcW w:w="348" w:type="pct"/>
                  <w:shd w:val="clear" w:color="auto" w:fill="auto"/>
                  <w:noWrap w:val="0"/>
                  <w:vAlign w:val="center"/>
                </w:tcPr>
                <w:p w14:paraId="27370484">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w:t>
                  </w:r>
                </w:p>
              </w:tc>
            </w:tr>
            <w:tr w14:paraId="0784E8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8" w:type="pct"/>
                  <w:vMerge w:val="continue"/>
                  <w:noWrap w:val="0"/>
                  <w:vAlign w:val="center"/>
                </w:tcPr>
                <w:p w14:paraId="703FA0B4">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p>
              </w:tc>
              <w:tc>
                <w:tcPr>
                  <w:tcW w:w="197" w:type="pct"/>
                  <w:vMerge w:val="continue"/>
                  <w:noWrap w:val="0"/>
                  <w:vAlign w:val="center"/>
                </w:tcPr>
                <w:p w14:paraId="4BEDA6D7">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p>
              </w:tc>
              <w:tc>
                <w:tcPr>
                  <w:tcW w:w="538" w:type="pct"/>
                  <w:shd w:val="clear" w:color="auto" w:fill="auto"/>
                  <w:noWrap w:val="0"/>
                  <w:vAlign w:val="center"/>
                </w:tcPr>
                <w:p w14:paraId="23E2645D">
                  <w:pPr>
                    <w:keepNext w:val="0"/>
                    <w:keepLines w:val="0"/>
                    <w:suppressLineNumbers w:val="0"/>
                    <w:spacing w:before="0" w:beforeAutospacing="0" w:after="0" w:afterAutospacing="0" w:line="240" w:lineRule="atLeast"/>
                    <w:ind w:left="0" w:leftChars="0" w:right="0" w:rightChars="0"/>
                    <w:jc w:val="center"/>
                    <w:rPr>
                      <w:rFonts w:hint="default" w:cs="Times New Roman"/>
                      <w:color w:val="000000" w:themeColor="text1"/>
                      <w:sz w:val="21"/>
                      <w:szCs w:val="21"/>
                      <w:highlight w:val="none"/>
                      <w:u w:val="none" w:color="auto"/>
                      <w:lang w:val="en-US" w:eastAsia="zh-CN"/>
                      <w14:textFill>
                        <w14:solidFill>
                          <w14:schemeClr w14:val="tx1"/>
                        </w14:solidFill>
                      </w14:textFill>
                    </w:rPr>
                  </w:pPr>
                  <w:r>
                    <w:rPr>
                      <w:rFonts w:hint="eastAsia"/>
                      <w:color w:val="000000" w:themeColor="text1"/>
                      <w:sz w:val="21"/>
                      <w:szCs w:val="21"/>
                      <w:u w:val="none" w:color="auto"/>
                      <w14:textFill>
                        <w14:solidFill>
                          <w14:schemeClr w14:val="tx1"/>
                        </w14:solidFill>
                      </w14:textFill>
                    </w:rPr>
                    <w:t>制棒废气</w:t>
                  </w:r>
                  <w:r>
                    <w:rPr>
                      <w:rFonts w:hint="eastAsia" w:cs="Times New Roman"/>
                      <w:color w:val="000000" w:themeColor="text1"/>
                      <w:sz w:val="21"/>
                      <w:szCs w:val="21"/>
                      <w:highlight w:val="none"/>
                      <w:u w:val="none" w:color="auto"/>
                      <w:lang w:val="en-US" w:eastAsia="zh-CN"/>
                      <w14:textFill>
                        <w14:solidFill>
                          <w14:schemeClr w14:val="tx1"/>
                        </w14:solidFill>
                      </w14:textFill>
                    </w:rPr>
                    <w:t>集气罩未收集</w:t>
                  </w:r>
                </w:p>
              </w:tc>
              <w:tc>
                <w:tcPr>
                  <w:tcW w:w="266" w:type="pct"/>
                  <w:shd w:val="clear" w:color="auto" w:fill="auto"/>
                  <w:noWrap w:val="0"/>
                  <w:vAlign w:val="center"/>
                </w:tcPr>
                <w:p w14:paraId="421F5E2E">
                  <w:pPr>
                    <w:keepNext w:val="0"/>
                    <w:keepLines w:val="0"/>
                    <w:suppressLineNumbers w:val="0"/>
                    <w:spacing w:before="0" w:beforeAutospacing="0" w:after="0" w:afterAutospacing="0" w:line="240" w:lineRule="atLeast"/>
                    <w:ind w:left="0" w:leftChars="0" w:right="0" w:rightChars="0"/>
                    <w:jc w:val="cente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eastAsia"/>
                      <w:color w:val="000000" w:themeColor="text1"/>
                      <w:sz w:val="21"/>
                      <w:szCs w:val="21"/>
                      <w:u w:val="none" w:color="auto"/>
                      <w:lang w:val="en-US" w:eastAsia="zh-CN"/>
                      <w14:textFill>
                        <w14:solidFill>
                          <w14:schemeClr w14:val="tx1"/>
                        </w14:solidFill>
                      </w14:textFill>
                    </w:rPr>
                    <w:t>颗粒物</w:t>
                  </w:r>
                </w:p>
              </w:tc>
              <w:tc>
                <w:tcPr>
                  <w:tcW w:w="907" w:type="dxa"/>
                  <w:noWrap w:val="0"/>
                  <w:vAlign w:val="center"/>
                </w:tcPr>
                <w:p w14:paraId="7DF82E0E">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eastAsia"/>
                      <w:b w:val="0"/>
                      <w:bCs w:val="0"/>
                      <w:color w:val="000000" w:themeColor="text1"/>
                      <w:sz w:val="21"/>
                      <w:szCs w:val="21"/>
                      <w:highlight w:val="none"/>
                      <w:u w:val="none" w:color="auto"/>
                      <w:lang w:val="en-US" w:eastAsia="zh-CN"/>
                      <w14:textFill>
                        <w14:solidFill>
                          <w14:schemeClr w14:val="tx1"/>
                        </w14:solidFill>
                      </w14:textFill>
                    </w:rPr>
                    <w:t>0.1</w:t>
                  </w:r>
                </w:p>
              </w:tc>
              <w:tc>
                <w:tcPr>
                  <w:tcW w:w="950" w:type="dxa"/>
                  <w:noWrap w:val="0"/>
                  <w:vAlign w:val="center"/>
                </w:tcPr>
                <w:p w14:paraId="735B4626">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eastAsia"/>
                      <w:b w:val="0"/>
                      <w:bCs w:val="0"/>
                      <w:color w:val="000000" w:themeColor="text1"/>
                      <w:sz w:val="21"/>
                      <w:szCs w:val="21"/>
                      <w:highlight w:val="none"/>
                      <w:u w:val="none" w:color="auto"/>
                      <w:lang w:val="en-US" w:eastAsia="zh-CN"/>
                      <w14:textFill>
                        <w14:solidFill>
                          <w14:schemeClr w14:val="tx1"/>
                        </w14:solidFill>
                      </w14:textFill>
                    </w:rPr>
                    <w:t>0.028</w:t>
                  </w:r>
                </w:p>
              </w:tc>
              <w:tc>
                <w:tcPr>
                  <w:tcW w:w="341" w:type="pct"/>
                  <w:noWrap w:val="0"/>
                  <w:vAlign w:val="center"/>
                </w:tcPr>
                <w:p w14:paraId="24967607">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w:t>
                  </w:r>
                </w:p>
              </w:tc>
              <w:tc>
                <w:tcPr>
                  <w:tcW w:w="872" w:type="pct"/>
                  <w:vMerge w:val="continue"/>
                  <w:noWrap w:val="0"/>
                  <w:vAlign w:val="center"/>
                </w:tcPr>
                <w:p w14:paraId="4E7BC535">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p>
              </w:tc>
              <w:tc>
                <w:tcPr>
                  <w:tcW w:w="227" w:type="pct"/>
                  <w:noWrap w:val="0"/>
                  <w:vAlign w:val="center"/>
                </w:tcPr>
                <w:p w14:paraId="2A96F8C3">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w:t>
                  </w:r>
                </w:p>
              </w:tc>
              <w:tc>
                <w:tcPr>
                  <w:tcW w:w="227" w:type="pct"/>
                  <w:noWrap w:val="0"/>
                  <w:vAlign w:val="center"/>
                </w:tcPr>
                <w:p w14:paraId="79C5AF8D">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w:t>
                  </w:r>
                </w:p>
              </w:tc>
              <w:tc>
                <w:tcPr>
                  <w:tcW w:w="164" w:type="pct"/>
                  <w:noWrap w:val="0"/>
                  <w:vAlign w:val="center"/>
                </w:tcPr>
                <w:p w14:paraId="48D097EF">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w:t>
                  </w:r>
                </w:p>
              </w:tc>
              <w:tc>
                <w:tcPr>
                  <w:tcW w:w="236" w:type="pct"/>
                  <w:shd w:val="clear" w:color="auto" w:fill="auto"/>
                  <w:noWrap w:val="0"/>
                  <w:vAlign w:val="center"/>
                </w:tcPr>
                <w:p w14:paraId="69FBDF62">
                  <w:pPr>
                    <w:keepNext w:val="0"/>
                    <w:keepLines w:val="0"/>
                    <w:suppressLineNumbers w:val="0"/>
                    <w:spacing w:before="0" w:beforeAutospacing="0" w:after="0" w:afterAutospacing="0" w:line="240" w:lineRule="atLeast"/>
                    <w:ind w:left="0" w:leftChars="0" w:right="0" w:rightChars="0"/>
                    <w:jc w:val="center"/>
                    <w:rPr>
                      <w:rFonts w:hint="eastAsia"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eastAsia"/>
                      <w:color w:val="000000" w:themeColor="text1"/>
                      <w:sz w:val="21"/>
                      <w:szCs w:val="21"/>
                      <w:u w:val="none" w:color="auto"/>
                      <w:lang w:val="en-US" w:eastAsia="zh-CN"/>
                      <w14:textFill>
                        <w14:solidFill>
                          <w14:schemeClr w14:val="tx1"/>
                        </w14:solidFill>
                      </w14:textFill>
                    </w:rPr>
                    <w:t>颗粒物</w:t>
                  </w:r>
                </w:p>
              </w:tc>
              <w:tc>
                <w:tcPr>
                  <w:tcW w:w="899" w:type="dxa"/>
                  <w:noWrap w:val="0"/>
                  <w:vAlign w:val="center"/>
                </w:tcPr>
                <w:p w14:paraId="34B56E34">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eastAsia"/>
                      <w:b w:val="0"/>
                      <w:bCs w:val="0"/>
                      <w:color w:val="000000" w:themeColor="text1"/>
                      <w:sz w:val="21"/>
                      <w:szCs w:val="21"/>
                      <w:highlight w:val="none"/>
                      <w:u w:val="none" w:color="auto"/>
                      <w:lang w:val="en-US" w:eastAsia="zh-CN"/>
                      <w14:textFill>
                        <w14:solidFill>
                          <w14:schemeClr w14:val="tx1"/>
                        </w14:solidFill>
                      </w14:textFill>
                    </w:rPr>
                    <w:t>0.1</w:t>
                  </w:r>
                </w:p>
              </w:tc>
              <w:tc>
                <w:tcPr>
                  <w:tcW w:w="899" w:type="dxa"/>
                  <w:noWrap w:val="0"/>
                  <w:vAlign w:val="center"/>
                </w:tcPr>
                <w:p w14:paraId="651829F5">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eastAsia"/>
                      <w:b w:val="0"/>
                      <w:bCs w:val="0"/>
                      <w:color w:val="000000" w:themeColor="text1"/>
                      <w:sz w:val="21"/>
                      <w:szCs w:val="21"/>
                      <w:highlight w:val="none"/>
                      <w:u w:val="none" w:color="auto"/>
                      <w:lang w:val="en-US" w:eastAsia="zh-CN"/>
                      <w14:textFill>
                        <w14:solidFill>
                          <w14:schemeClr w14:val="tx1"/>
                        </w14:solidFill>
                      </w14:textFill>
                    </w:rPr>
                    <w:t>0.028</w:t>
                  </w:r>
                </w:p>
              </w:tc>
              <w:tc>
                <w:tcPr>
                  <w:tcW w:w="348" w:type="pct"/>
                  <w:shd w:val="clear" w:color="auto" w:fill="auto"/>
                  <w:noWrap w:val="0"/>
                  <w:vAlign w:val="center"/>
                </w:tcPr>
                <w:p w14:paraId="1BEC5C2A">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w:t>
                  </w:r>
                </w:p>
              </w:tc>
            </w:tr>
            <w:tr w14:paraId="022306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8" w:type="pct"/>
                  <w:vMerge w:val="continue"/>
                  <w:noWrap w:val="0"/>
                  <w:vAlign w:val="center"/>
                </w:tcPr>
                <w:p w14:paraId="100EA40A">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p>
              </w:tc>
              <w:tc>
                <w:tcPr>
                  <w:tcW w:w="197" w:type="pct"/>
                  <w:vMerge w:val="restart"/>
                  <w:noWrap w:val="0"/>
                  <w:vAlign w:val="center"/>
                </w:tcPr>
                <w:p w14:paraId="3B3A0C9A">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eastAsia" w:cs="Times New Roman"/>
                      <w:color w:val="000000" w:themeColor="text1"/>
                      <w:sz w:val="21"/>
                      <w:szCs w:val="21"/>
                      <w:highlight w:val="none"/>
                      <w:u w:val="none" w:color="auto"/>
                      <w:lang w:val="en-US" w:eastAsia="zh-CN" w:bidi="ar"/>
                      <w14:textFill>
                        <w14:solidFill>
                          <w14:schemeClr w14:val="tx1"/>
                        </w14:solidFill>
                      </w14:textFill>
                    </w:rPr>
                    <w:t>生物质颗粒</w:t>
                  </w:r>
                  <w:r>
                    <w:rPr>
                      <w:rFonts w:hint="default" w:ascii="Times New Roman" w:hAnsi="Times New Roman" w:eastAsia="宋体" w:cs="Times New Roman"/>
                      <w:color w:val="000000" w:themeColor="text1"/>
                      <w:sz w:val="21"/>
                      <w:szCs w:val="21"/>
                      <w:highlight w:val="none"/>
                      <w:u w:val="none" w:color="auto"/>
                      <w:lang w:val="en-US" w:eastAsia="zh-CN" w:bidi="ar"/>
                      <w14:textFill>
                        <w14:solidFill>
                          <w14:schemeClr w14:val="tx1"/>
                        </w14:solidFill>
                      </w14:textFill>
                    </w:rPr>
                    <w:t>生产线</w:t>
                  </w:r>
                </w:p>
              </w:tc>
              <w:tc>
                <w:tcPr>
                  <w:tcW w:w="538" w:type="pct"/>
                  <w:shd w:val="clear" w:color="auto" w:fill="auto"/>
                  <w:noWrap w:val="0"/>
                  <w:vAlign w:val="center"/>
                </w:tcPr>
                <w:p w14:paraId="27C9F776">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eastAsia"/>
                      <w:color w:val="000000" w:themeColor="text1"/>
                      <w:sz w:val="21"/>
                      <w:szCs w:val="21"/>
                      <w:u w:val="none" w:color="auto"/>
                      <w14:textFill>
                        <w14:solidFill>
                          <w14:schemeClr w14:val="tx1"/>
                        </w14:solidFill>
                      </w14:textFill>
                    </w:rPr>
                  </w:pPr>
                  <w:r>
                    <w:rPr>
                      <w:rFonts w:hint="eastAsia" w:ascii="宋体" w:hAnsi="宋体" w:eastAsia="宋体" w:cs="宋体"/>
                      <w:color w:val="000000" w:themeColor="text1"/>
                      <w:kern w:val="0"/>
                      <w:sz w:val="21"/>
                      <w:szCs w:val="21"/>
                      <w:u w:val="none" w:color="auto"/>
                      <w:lang w:val="en-US" w:eastAsia="zh-CN" w:bidi="ar"/>
                      <w14:textFill>
                        <w14:solidFill>
                          <w14:schemeClr w14:val="tx1"/>
                        </w14:solidFill>
                      </w14:textFill>
                    </w:rPr>
                    <w:t>原料装卸</w:t>
                  </w:r>
                  <w:r>
                    <w:rPr>
                      <w:rFonts w:hint="eastAsia" w:ascii="宋体" w:hAnsi="宋体" w:cs="宋体"/>
                      <w:color w:val="000000" w:themeColor="text1"/>
                      <w:kern w:val="0"/>
                      <w:sz w:val="21"/>
                      <w:szCs w:val="21"/>
                      <w:u w:val="none" w:color="auto"/>
                      <w:lang w:val="en-US" w:eastAsia="zh-CN" w:bidi="ar"/>
                      <w14:textFill>
                        <w14:solidFill>
                          <w14:schemeClr w14:val="tx1"/>
                        </w14:solidFill>
                      </w14:textFill>
                    </w:rPr>
                    <w:t>转运过程废气</w:t>
                  </w:r>
                </w:p>
              </w:tc>
              <w:tc>
                <w:tcPr>
                  <w:tcW w:w="266" w:type="pct"/>
                  <w:shd w:val="clear" w:color="auto" w:fill="auto"/>
                  <w:noWrap w:val="0"/>
                  <w:vAlign w:val="center"/>
                </w:tcPr>
                <w:p w14:paraId="000B5DA5">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eastAsia"/>
                      <w:color w:val="000000" w:themeColor="text1"/>
                      <w:sz w:val="21"/>
                      <w:szCs w:val="21"/>
                      <w:u w:val="none" w:color="auto"/>
                      <w:lang w:val="en-US" w:eastAsia="zh-CN"/>
                      <w14:textFill>
                        <w14:solidFill>
                          <w14:schemeClr w14:val="tx1"/>
                        </w14:solidFill>
                      </w14:textFill>
                    </w:rPr>
                  </w:pPr>
                  <w:r>
                    <w:rPr>
                      <w:rFonts w:hint="eastAsia" w:cs="Times New Roman"/>
                      <w:color w:val="000000" w:themeColor="text1"/>
                      <w:sz w:val="21"/>
                      <w:szCs w:val="21"/>
                      <w:highlight w:val="none"/>
                      <w:u w:val="none" w:color="auto"/>
                      <w:lang w:val="en-US" w:eastAsia="zh-CN"/>
                      <w14:textFill>
                        <w14:solidFill>
                          <w14:schemeClr w14:val="tx1"/>
                        </w14:solidFill>
                      </w14:textFill>
                    </w:rPr>
                    <w:t>颗粒物</w:t>
                  </w:r>
                </w:p>
              </w:tc>
              <w:tc>
                <w:tcPr>
                  <w:tcW w:w="907" w:type="dxa"/>
                  <w:noWrap w:val="0"/>
                  <w:vAlign w:val="center"/>
                </w:tcPr>
                <w:p w14:paraId="0E17C46D">
                  <w:pPr>
                    <w:keepNext w:val="0"/>
                    <w:keepLines w:val="0"/>
                    <w:widowControl/>
                    <w:suppressLineNumbers w:val="0"/>
                    <w:jc w:val="center"/>
                    <w:textAlignment w:val="center"/>
                    <w:rPr>
                      <w:rFonts w:hint="eastAsia"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等线" w:cs="Times New Roman"/>
                      <w:color w:val="000000" w:themeColor="text1"/>
                      <w:kern w:val="0"/>
                      <w:sz w:val="21"/>
                      <w:szCs w:val="21"/>
                      <w:u w:val="none"/>
                      <w:lang w:val="en-US" w:eastAsia="zh-CN" w:bidi="ar-SA"/>
                      <w14:textFill>
                        <w14:solidFill>
                          <w14:schemeClr w14:val="tx1"/>
                        </w14:solidFill>
                      </w14:textFill>
                    </w:rPr>
                    <w:t>0.25</w:t>
                  </w:r>
                </w:p>
              </w:tc>
              <w:tc>
                <w:tcPr>
                  <w:tcW w:w="950" w:type="dxa"/>
                  <w:noWrap w:val="0"/>
                  <w:vAlign w:val="center"/>
                </w:tcPr>
                <w:p w14:paraId="4D3D632F">
                  <w:pPr>
                    <w:keepNext w:val="0"/>
                    <w:keepLines w:val="0"/>
                    <w:widowControl/>
                    <w:suppressLineNumbers w:val="0"/>
                    <w:jc w:val="center"/>
                    <w:textAlignment w:val="center"/>
                    <w:rPr>
                      <w:rFonts w:hint="eastAsia"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0.5</w:t>
                  </w:r>
                </w:p>
              </w:tc>
              <w:tc>
                <w:tcPr>
                  <w:tcW w:w="341" w:type="pct"/>
                  <w:noWrap w:val="0"/>
                  <w:vAlign w:val="center"/>
                </w:tcPr>
                <w:p w14:paraId="1A4DBBDC">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eastAsia" w:cs="Times New Roman"/>
                      <w:color w:val="000000" w:themeColor="text1"/>
                      <w:sz w:val="21"/>
                      <w:szCs w:val="21"/>
                      <w:highlight w:val="none"/>
                      <w:u w:val="none" w:color="auto"/>
                      <w:lang w:val="en-US" w:eastAsia="zh-CN"/>
                      <w14:textFill>
                        <w14:solidFill>
                          <w14:schemeClr w14:val="tx1"/>
                        </w14:solidFill>
                      </w14:textFill>
                    </w:rPr>
                    <w:t>/</w:t>
                  </w:r>
                </w:p>
              </w:tc>
              <w:tc>
                <w:tcPr>
                  <w:tcW w:w="872" w:type="pct"/>
                  <w:vMerge w:val="restart"/>
                  <w:noWrap w:val="0"/>
                  <w:vAlign w:val="center"/>
                </w:tcPr>
                <w:p w14:paraId="01DBE792">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eastAsia" w:cs="Times New Roman"/>
                      <w:color w:val="000000" w:themeColor="text1"/>
                      <w:sz w:val="21"/>
                      <w:szCs w:val="21"/>
                      <w:highlight w:val="none"/>
                      <w:u w:val="none" w:color="auto"/>
                      <w:lang w:val="en-US" w:eastAsia="zh-CN"/>
                      <w14:textFill>
                        <w14:solidFill>
                          <w14:schemeClr w14:val="tx1"/>
                        </w14:solidFill>
                      </w14:textFill>
                    </w:rPr>
                    <w:t>所在厂房</w:t>
                  </w: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封闭</w:t>
                  </w:r>
                </w:p>
              </w:tc>
              <w:tc>
                <w:tcPr>
                  <w:tcW w:w="227" w:type="pct"/>
                  <w:noWrap w:val="0"/>
                  <w:vAlign w:val="center"/>
                </w:tcPr>
                <w:p w14:paraId="60C9DB66">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w:t>
                  </w:r>
                </w:p>
              </w:tc>
              <w:tc>
                <w:tcPr>
                  <w:tcW w:w="227" w:type="pct"/>
                  <w:noWrap w:val="0"/>
                  <w:vAlign w:val="center"/>
                </w:tcPr>
                <w:p w14:paraId="39B271E8">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eastAsia" w:cs="Times New Roman"/>
                      <w:color w:val="000000" w:themeColor="text1"/>
                      <w:sz w:val="21"/>
                      <w:szCs w:val="21"/>
                      <w:highlight w:val="none"/>
                      <w:u w:val="none" w:color="auto"/>
                      <w:lang w:val="en-US" w:eastAsia="zh-CN"/>
                      <w14:textFill>
                        <w14:solidFill>
                          <w14:schemeClr w14:val="tx1"/>
                        </w14:solidFill>
                      </w14:textFill>
                    </w:rPr>
                    <w:t>90%</w:t>
                  </w:r>
                </w:p>
              </w:tc>
              <w:tc>
                <w:tcPr>
                  <w:tcW w:w="164" w:type="pct"/>
                  <w:noWrap w:val="0"/>
                  <w:vAlign w:val="center"/>
                </w:tcPr>
                <w:p w14:paraId="424CB6A5">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eastAsia" w:cs="Times New Roman"/>
                      <w:color w:val="000000" w:themeColor="text1"/>
                      <w:sz w:val="21"/>
                      <w:szCs w:val="21"/>
                      <w:highlight w:val="none"/>
                      <w:u w:val="none" w:color="auto"/>
                      <w:lang w:val="en-US" w:eastAsia="zh-CN"/>
                      <w14:textFill>
                        <w14:solidFill>
                          <w14:schemeClr w14:val="tx1"/>
                        </w14:solidFill>
                      </w14:textFill>
                    </w:rPr>
                    <w:t>/</w:t>
                  </w:r>
                </w:p>
              </w:tc>
              <w:tc>
                <w:tcPr>
                  <w:tcW w:w="236" w:type="pct"/>
                  <w:shd w:val="clear" w:color="auto" w:fill="auto"/>
                  <w:noWrap w:val="0"/>
                  <w:vAlign w:val="center"/>
                </w:tcPr>
                <w:p w14:paraId="65FAA290">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eastAsia"/>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颗粒物</w:t>
                  </w:r>
                </w:p>
              </w:tc>
              <w:tc>
                <w:tcPr>
                  <w:tcW w:w="899" w:type="dxa"/>
                  <w:noWrap w:val="0"/>
                  <w:vAlign w:val="center"/>
                </w:tcPr>
                <w:p w14:paraId="19E7C163">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0.025</w:t>
                  </w:r>
                </w:p>
              </w:tc>
              <w:tc>
                <w:tcPr>
                  <w:tcW w:w="899" w:type="dxa"/>
                  <w:noWrap w:val="0"/>
                  <w:vAlign w:val="center"/>
                </w:tcPr>
                <w:p w14:paraId="0E27350B">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0.05</w:t>
                  </w:r>
                </w:p>
              </w:tc>
              <w:tc>
                <w:tcPr>
                  <w:tcW w:w="348" w:type="pct"/>
                  <w:shd w:val="clear" w:color="auto" w:fill="auto"/>
                  <w:noWrap w:val="0"/>
                  <w:vAlign w:val="center"/>
                </w:tcPr>
                <w:p w14:paraId="5BEFB90E">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eastAsia" w:cs="Times New Roman"/>
                      <w:color w:val="000000" w:themeColor="text1"/>
                      <w:sz w:val="21"/>
                      <w:szCs w:val="21"/>
                      <w:highlight w:val="none"/>
                      <w:u w:val="none" w:color="auto"/>
                      <w:lang w:val="en-US" w:eastAsia="zh-CN"/>
                      <w14:textFill>
                        <w14:solidFill>
                          <w14:schemeClr w14:val="tx1"/>
                        </w14:solidFill>
                      </w14:textFill>
                    </w:rPr>
                    <w:t>/</w:t>
                  </w:r>
                </w:p>
              </w:tc>
            </w:tr>
            <w:tr w14:paraId="73F3B1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8" w:type="pct"/>
                  <w:vMerge w:val="continue"/>
                  <w:noWrap w:val="0"/>
                  <w:vAlign w:val="center"/>
                </w:tcPr>
                <w:p w14:paraId="3A13F84D">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p>
              </w:tc>
              <w:tc>
                <w:tcPr>
                  <w:tcW w:w="197" w:type="pct"/>
                  <w:vMerge w:val="continue"/>
                  <w:noWrap w:val="0"/>
                  <w:vAlign w:val="center"/>
                </w:tcPr>
                <w:p w14:paraId="04042781">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p>
              </w:tc>
              <w:tc>
                <w:tcPr>
                  <w:tcW w:w="538" w:type="pct"/>
                  <w:shd w:val="clear" w:color="auto" w:fill="auto"/>
                  <w:noWrap w:val="0"/>
                  <w:vAlign w:val="center"/>
                </w:tcPr>
                <w:p w14:paraId="239BEE46">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eastAsia"/>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破碎</w:t>
                  </w:r>
                  <w:r>
                    <w:rPr>
                      <w:rFonts w:hint="eastAsia" w:cs="Times New Roman"/>
                      <w:color w:val="000000" w:themeColor="text1"/>
                      <w:sz w:val="21"/>
                      <w:szCs w:val="21"/>
                      <w:highlight w:val="none"/>
                      <w:u w:val="none" w:color="auto"/>
                      <w:lang w:val="en-US" w:eastAsia="zh-CN"/>
                      <w14:textFill>
                        <w14:solidFill>
                          <w14:schemeClr w14:val="tx1"/>
                        </w14:solidFill>
                      </w14:textFill>
                    </w:rPr>
                    <w:t>和包装</w:t>
                  </w: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工序未收集</w:t>
                  </w:r>
                </w:p>
              </w:tc>
              <w:tc>
                <w:tcPr>
                  <w:tcW w:w="266" w:type="pct"/>
                  <w:shd w:val="clear" w:color="auto" w:fill="auto"/>
                  <w:noWrap w:val="0"/>
                  <w:vAlign w:val="center"/>
                </w:tcPr>
                <w:p w14:paraId="6A87D0B7">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eastAsia"/>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颗粒物</w:t>
                  </w:r>
                </w:p>
              </w:tc>
              <w:tc>
                <w:tcPr>
                  <w:tcW w:w="907" w:type="dxa"/>
                  <w:noWrap w:val="0"/>
                  <w:vAlign w:val="center"/>
                </w:tcPr>
                <w:p w14:paraId="5E3B7863">
                  <w:pPr>
                    <w:keepNext w:val="0"/>
                    <w:keepLines w:val="0"/>
                    <w:widowControl/>
                    <w:suppressLineNumbers w:val="0"/>
                    <w:jc w:val="center"/>
                    <w:textAlignment w:val="center"/>
                    <w:rPr>
                      <w:rFonts w:hint="default" w:ascii="Times New Roman" w:hAnsi="Times New Roman"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0.038</w:t>
                  </w:r>
                </w:p>
              </w:tc>
              <w:tc>
                <w:tcPr>
                  <w:tcW w:w="950" w:type="dxa"/>
                  <w:noWrap w:val="0"/>
                  <w:vAlign w:val="center"/>
                </w:tcPr>
                <w:p w14:paraId="691531B7">
                  <w:pPr>
                    <w:keepNext w:val="0"/>
                    <w:keepLines w:val="0"/>
                    <w:widowControl/>
                    <w:suppressLineNumbers w:val="0"/>
                    <w:jc w:val="center"/>
                    <w:textAlignment w:val="center"/>
                    <w:rPr>
                      <w:rFonts w:hint="default" w:ascii="Times New Roman" w:hAnsi="Times New Roman"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0.391</w:t>
                  </w:r>
                </w:p>
              </w:tc>
              <w:tc>
                <w:tcPr>
                  <w:tcW w:w="341" w:type="pct"/>
                  <w:noWrap w:val="0"/>
                  <w:vAlign w:val="center"/>
                </w:tcPr>
                <w:p w14:paraId="4FA8D6BE">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w:t>
                  </w:r>
                </w:p>
              </w:tc>
              <w:tc>
                <w:tcPr>
                  <w:tcW w:w="872" w:type="pct"/>
                  <w:vMerge w:val="continue"/>
                  <w:noWrap w:val="0"/>
                  <w:vAlign w:val="center"/>
                </w:tcPr>
                <w:p w14:paraId="20F8FAB8">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p>
              </w:tc>
              <w:tc>
                <w:tcPr>
                  <w:tcW w:w="227" w:type="pct"/>
                  <w:noWrap w:val="0"/>
                  <w:vAlign w:val="center"/>
                </w:tcPr>
                <w:p w14:paraId="33014E40">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w:t>
                  </w:r>
                </w:p>
              </w:tc>
              <w:tc>
                <w:tcPr>
                  <w:tcW w:w="227" w:type="pct"/>
                  <w:noWrap w:val="0"/>
                  <w:vAlign w:val="center"/>
                </w:tcPr>
                <w:p w14:paraId="335D1F0D">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en-US" w:eastAsia="zh-CN"/>
                      <w14:textFill>
                        <w14:solidFill>
                          <w14:schemeClr w14:val="tx1"/>
                        </w14:solidFill>
                      </w14:textFill>
                    </w:rPr>
                    <w:t>/</w:t>
                  </w:r>
                </w:p>
              </w:tc>
              <w:tc>
                <w:tcPr>
                  <w:tcW w:w="164" w:type="pct"/>
                  <w:noWrap w:val="0"/>
                  <w:vAlign w:val="center"/>
                </w:tcPr>
                <w:p w14:paraId="7F5A8250">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en-US" w:eastAsia="zh-CN"/>
                      <w14:textFill>
                        <w14:solidFill>
                          <w14:schemeClr w14:val="tx1"/>
                        </w14:solidFill>
                      </w14:textFill>
                    </w:rPr>
                    <w:t>/</w:t>
                  </w:r>
                </w:p>
              </w:tc>
              <w:tc>
                <w:tcPr>
                  <w:tcW w:w="236" w:type="pct"/>
                  <w:shd w:val="clear" w:color="auto" w:fill="auto"/>
                  <w:noWrap w:val="0"/>
                  <w:vAlign w:val="center"/>
                </w:tcPr>
                <w:p w14:paraId="2891B51F">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颗粒物</w:t>
                  </w:r>
                </w:p>
              </w:tc>
              <w:tc>
                <w:tcPr>
                  <w:tcW w:w="899" w:type="dxa"/>
                  <w:noWrap w:val="0"/>
                  <w:vAlign w:val="center"/>
                </w:tcPr>
                <w:p w14:paraId="617B2D02">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0.038</w:t>
                  </w:r>
                </w:p>
              </w:tc>
              <w:tc>
                <w:tcPr>
                  <w:tcW w:w="899" w:type="dxa"/>
                  <w:noWrap w:val="0"/>
                  <w:vAlign w:val="center"/>
                </w:tcPr>
                <w:p w14:paraId="31C1D39E">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0.391</w:t>
                  </w:r>
                </w:p>
              </w:tc>
              <w:tc>
                <w:tcPr>
                  <w:tcW w:w="348" w:type="pct"/>
                  <w:shd w:val="clear" w:color="auto" w:fill="auto"/>
                  <w:noWrap w:val="0"/>
                  <w:vAlign w:val="center"/>
                </w:tcPr>
                <w:p w14:paraId="78206D38">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eastAsia" w:cs="Times New Roman"/>
                      <w:color w:val="000000" w:themeColor="text1"/>
                      <w:sz w:val="21"/>
                      <w:szCs w:val="21"/>
                      <w:highlight w:val="none"/>
                      <w:u w:val="none" w:color="auto"/>
                      <w:lang w:val="en-US" w:eastAsia="zh-CN"/>
                      <w14:textFill>
                        <w14:solidFill>
                          <w14:schemeClr w14:val="tx1"/>
                        </w14:solidFill>
                      </w14:textFill>
                    </w:rPr>
                    <w:t>/</w:t>
                  </w:r>
                </w:p>
              </w:tc>
            </w:tr>
          </w:tbl>
          <w:p w14:paraId="18C37BDE">
            <w:pPr>
              <w:pStyle w:val="58"/>
              <w:keepNext w:val="0"/>
              <w:keepLines w:val="0"/>
              <w:suppressLineNumbers w:val="0"/>
              <w:bidi w:val="0"/>
              <w:spacing w:before="0" w:beforeAutospacing="0" w:after="0" w:afterAutospacing="0"/>
              <w:ind w:left="0" w:leftChars="0" w:right="0" w:firstLine="0" w:firstLineChars="0"/>
              <w:jc w:val="both"/>
              <w:rPr>
                <w:rFonts w:hint="eastAsia" w:ascii="Times New Roman" w:hAnsi="Times New Roman" w:cs="Times New Roman"/>
              </w:rPr>
            </w:pPr>
          </w:p>
        </w:tc>
      </w:tr>
    </w:tbl>
    <w:p w14:paraId="6512699F">
      <w:pPr>
        <w:sectPr>
          <w:pgSz w:w="16838" w:h="11905" w:orient="landscape"/>
          <w:pgMar w:top="1083" w:right="1440" w:bottom="1083" w:left="1440" w:header="851" w:footer="992" w:gutter="0"/>
          <w:pgNumType w:fmt="decimal"/>
          <w:cols w:space="720" w:num="1"/>
          <w:docGrid w:type="lines" w:linePitch="312" w:charSpace="0"/>
        </w:sectPr>
      </w:pPr>
    </w:p>
    <w:tbl>
      <w:tblPr>
        <w:tblStyle w:val="29"/>
        <w:tblW w:w="5080"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433"/>
        <w:gridCol w:w="9600"/>
      </w:tblGrid>
      <w:tr w14:paraId="3813946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16" w:type="pct"/>
            <w:noWrap w:val="0"/>
            <w:tcMar>
              <w:left w:w="28" w:type="dxa"/>
              <w:right w:w="28" w:type="dxa"/>
            </w:tcMar>
            <w:vAlign w:val="center"/>
          </w:tcPr>
          <w:p w14:paraId="43A1BD1C">
            <w:pPr>
              <w:adjustRightInd w:val="0"/>
              <w:snapToGrid w:val="0"/>
              <w:jc w:val="center"/>
              <w:rPr>
                <w:bCs/>
                <w:color w:val="000000"/>
                <w:sz w:val="24"/>
              </w:rPr>
            </w:pPr>
          </w:p>
        </w:tc>
        <w:tc>
          <w:tcPr>
            <w:tcW w:w="4783" w:type="pct"/>
            <w:noWrap w:val="0"/>
            <w:vAlign w:val="top"/>
          </w:tcPr>
          <w:p w14:paraId="7DF6B927">
            <w:pPr>
              <w:keepNext w:val="0"/>
              <w:keepLines w:val="0"/>
              <w:pageBreakBefore w:val="0"/>
              <w:widowControl w:val="0"/>
              <w:suppressLineNumbers w:val="0"/>
              <w:tabs>
                <w:tab w:val="left" w:pos="1081"/>
              </w:tabs>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pPr>
            <w:r>
              <w:rPr>
                <w:rFonts w:hint="eastAsia" w:ascii="Times New Roman" w:hAnsi="Times New Roman" w:eastAsia="宋体" w:cs="Times New Roman"/>
                <w:color w:val="000000" w:themeColor="text1"/>
                <w:sz w:val="24"/>
                <w:szCs w:val="24"/>
                <w:highlight w:val="none"/>
                <w:u w:val="none" w:color="auto"/>
                <w:lang w:val="en-US" w:eastAsia="zh-CN"/>
                <w14:textFill>
                  <w14:solidFill>
                    <w14:schemeClr w14:val="tx1"/>
                  </w14:solidFill>
                </w14:textFill>
              </w:rPr>
              <w:t>1</w:t>
            </w: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.3本项目废气污染物排放量核算</w:t>
            </w:r>
          </w:p>
          <w:p w14:paraId="07E3B667">
            <w:pPr>
              <w:keepNext w:val="0"/>
              <w:keepLines w:val="0"/>
              <w:pageBreakBefore w:val="0"/>
              <w:widowControl w:val="0"/>
              <w:suppressLineNumbers w:val="0"/>
              <w:tabs>
                <w:tab w:val="left" w:pos="1081"/>
              </w:tabs>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pP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本项目废气污染物排放量核算见</w:t>
            </w:r>
            <w:r>
              <w:rPr>
                <w:rFonts w:hint="default" w:ascii="Times New Roman" w:hAnsi="Times New Roman" w:eastAsia="宋体" w:cs="Times New Roman"/>
                <w:color w:val="000000" w:themeColor="text1"/>
                <w:sz w:val="24"/>
                <w:szCs w:val="24"/>
                <w:highlight w:val="none"/>
                <w:u w:val="none" w:color="auto"/>
                <w:lang w:val="en-US" w:eastAsia="zh-CN"/>
                <w14:textFill>
                  <w14:solidFill>
                    <w14:schemeClr w14:val="tx1"/>
                  </w14:solidFill>
                </w14:textFill>
              </w:rPr>
              <w:t>下表</w:t>
            </w: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w:t>
            </w:r>
          </w:p>
          <w:p w14:paraId="54DEECA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jc w:val="center"/>
              <w:textAlignment w:val="auto"/>
              <w:rPr>
                <w:rFonts w:hint="default" w:ascii="Times New Roman" w:hAnsi="Times New Roman" w:eastAsia="宋体" w:cs="Times New Roman"/>
                <w:b/>
                <w:color w:val="000000" w:themeColor="text1"/>
                <w:kern w:val="2"/>
                <w:sz w:val="24"/>
                <w:szCs w:val="24"/>
                <w:highlight w:val="none"/>
                <w:u w:val="none" w:color="auto"/>
                <w:lang w:val="en-US" w:eastAsia="zh-CN" w:bidi="ar-SA"/>
                <w14:textFill>
                  <w14:solidFill>
                    <w14:schemeClr w14:val="tx1"/>
                  </w14:solidFill>
                </w14:textFill>
              </w:rPr>
            </w:pPr>
            <w:r>
              <w:rPr>
                <w:rFonts w:hint="default" w:ascii="Times New Roman" w:hAnsi="Times New Roman" w:eastAsia="宋体" w:cs="Times New Roman"/>
                <w:b/>
                <w:color w:val="000000" w:themeColor="text1"/>
                <w:kern w:val="2"/>
                <w:sz w:val="24"/>
                <w:szCs w:val="24"/>
                <w:highlight w:val="none"/>
                <w:u w:val="none" w:color="auto"/>
                <w:lang w:val="en-US" w:eastAsia="zh-CN" w:bidi="ar-SA"/>
                <w14:textFill>
                  <w14:solidFill>
                    <w14:schemeClr w14:val="tx1"/>
                  </w14:solidFill>
                </w14:textFill>
              </w:rPr>
              <w:t>表4-</w:t>
            </w:r>
            <w:r>
              <w:rPr>
                <w:rFonts w:hint="eastAsia" w:cs="Times New Roman"/>
                <w:b/>
                <w:color w:val="000000" w:themeColor="text1"/>
                <w:kern w:val="2"/>
                <w:sz w:val="24"/>
                <w:szCs w:val="24"/>
                <w:highlight w:val="none"/>
                <w:u w:val="none" w:color="auto"/>
                <w:lang w:val="en-US" w:eastAsia="zh-CN" w:bidi="ar-SA"/>
                <w14:textFill>
                  <w14:solidFill>
                    <w14:schemeClr w14:val="tx1"/>
                  </w14:solidFill>
                </w14:textFill>
              </w:rPr>
              <w:t>9</w:t>
            </w:r>
            <w:r>
              <w:rPr>
                <w:rFonts w:hint="default" w:ascii="Times New Roman" w:hAnsi="Times New Roman" w:eastAsia="宋体" w:cs="Times New Roman"/>
                <w:b/>
                <w:color w:val="000000" w:themeColor="text1"/>
                <w:kern w:val="2"/>
                <w:sz w:val="24"/>
                <w:szCs w:val="24"/>
                <w:highlight w:val="none"/>
                <w:u w:val="none" w:color="auto"/>
                <w:lang w:val="en-US" w:eastAsia="zh-CN" w:bidi="ar-SA"/>
                <w14:textFill>
                  <w14:solidFill>
                    <w14:schemeClr w14:val="tx1"/>
                  </w14:solidFill>
                </w14:textFill>
              </w:rPr>
              <w:t xml:space="preserve"> 工程大气污染物有组织排放量核算表</w:t>
            </w:r>
          </w:p>
          <w:tbl>
            <w:tblPr>
              <w:tblStyle w:val="29"/>
              <w:tblW w:w="4962" w:type="pct"/>
              <w:jc w:val="center"/>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
            <w:tblGrid>
              <w:gridCol w:w="462"/>
              <w:gridCol w:w="1279"/>
              <w:gridCol w:w="705"/>
              <w:gridCol w:w="831"/>
              <w:gridCol w:w="961"/>
              <w:gridCol w:w="1087"/>
              <w:gridCol w:w="2922"/>
              <w:gridCol w:w="1051"/>
            </w:tblGrid>
            <w:tr w14:paraId="30418B43">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48" w:type="pct"/>
                  <w:vMerge w:val="restart"/>
                  <w:noWrap w:val="0"/>
                  <w:vAlign w:val="center"/>
                </w:tcPr>
                <w:p w14:paraId="5A49C5E6">
                  <w:pPr>
                    <w:pStyle w:val="56"/>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序号</w:t>
                  </w:r>
                </w:p>
              </w:tc>
              <w:tc>
                <w:tcPr>
                  <w:tcW w:w="687" w:type="pct"/>
                  <w:vMerge w:val="restart"/>
                  <w:noWrap w:val="0"/>
                  <w:vAlign w:val="center"/>
                </w:tcPr>
                <w:p w14:paraId="53EC76B4">
                  <w:pPr>
                    <w:pStyle w:val="56"/>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排放口编号</w:t>
                  </w:r>
                </w:p>
              </w:tc>
              <w:tc>
                <w:tcPr>
                  <w:tcW w:w="379" w:type="pct"/>
                  <w:vMerge w:val="restart"/>
                  <w:noWrap w:val="0"/>
                  <w:vAlign w:val="center"/>
                </w:tcPr>
                <w:p w14:paraId="17012C60">
                  <w:pPr>
                    <w:pStyle w:val="56"/>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污染物</w:t>
                  </w:r>
                </w:p>
              </w:tc>
              <w:tc>
                <w:tcPr>
                  <w:tcW w:w="446" w:type="pct"/>
                  <w:vMerge w:val="restart"/>
                  <w:noWrap w:val="0"/>
                  <w:vAlign w:val="center"/>
                </w:tcPr>
                <w:p w14:paraId="775642EA">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排放量t/a</w:t>
                  </w:r>
                </w:p>
              </w:tc>
              <w:tc>
                <w:tcPr>
                  <w:tcW w:w="516" w:type="pct"/>
                  <w:vMerge w:val="restart"/>
                  <w:noWrap w:val="0"/>
                  <w:vAlign w:val="center"/>
                </w:tcPr>
                <w:p w14:paraId="1D61BDF3">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排放速率kg/h</w:t>
                  </w:r>
                </w:p>
              </w:tc>
              <w:tc>
                <w:tcPr>
                  <w:tcW w:w="584" w:type="pct"/>
                  <w:vMerge w:val="restart"/>
                  <w:noWrap w:val="0"/>
                  <w:vAlign w:val="center"/>
                </w:tcPr>
                <w:p w14:paraId="18413641">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lang w:val="en-GB" w:eastAsia="zh-TW"/>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排放</w:t>
                  </w: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浓度</w:t>
                  </w:r>
                </w:p>
                <w:p w14:paraId="71E7B025">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mg/m</w:t>
                  </w:r>
                  <w:r>
                    <w:rPr>
                      <w:rFonts w:hint="default" w:ascii="Times New Roman" w:hAnsi="Times New Roman" w:eastAsia="宋体" w:cs="Times New Roman"/>
                      <w:color w:val="000000" w:themeColor="text1"/>
                      <w:sz w:val="21"/>
                      <w:szCs w:val="21"/>
                      <w:highlight w:val="none"/>
                      <w:u w:val="none" w:color="auto"/>
                      <w:vertAlign w:val="superscript"/>
                      <w14:textFill>
                        <w14:solidFill>
                          <w14:schemeClr w14:val="tx1"/>
                        </w14:solidFill>
                      </w14:textFill>
                    </w:rPr>
                    <w:t>3</w:t>
                  </w:r>
                </w:p>
              </w:tc>
              <w:tc>
                <w:tcPr>
                  <w:tcW w:w="2137" w:type="pct"/>
                  <w:gridSpan w:val="2"/>
                  <w:noWrap w:val="0"/>
                  <w:vAlign w:val="center"/>
                </w:tcPr>
                <w:p w14:paraId="6F60C19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排放标准mg/m</w:t>
                  </w:r>
                  <w:r>
                    <w:rPr>
                      <w:rFonts w:hint="default" w:ascii="Times New Roman" w:hAnsi="Times New Roman" w:eastAsia="宋体" w:cs="Times New Roman"/>
                      <w:color w:val="000000" w:themeColor="text1"/>
                      <w:sz w:val="21"/>
                      <w:szCs w:val="21"/>
                      <w:highlight w:val="none"/>
                      <w:u w:val="none" w:color="auto"/>
                      <w:vertAlign w:val="superscript"/>
                      <w14:textFill>
                        <w14:solidFill>
                          <w14:schemeClr w14:val="tx1"/>
                        </w14:solidFill>
                      </w14:textFill>
                    </w:rPr>
                    <w:t>3</w:t>
                  </w:r>
                </w:p>
              </w:tc>
            </w:tr>
            <w:tr w14:paraId="5793AE46">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48" w:type="pct"/>
                  <w:vMerge w:val="continue"/>
                  <w:noWrap w:val="0"/>
                  <w:vAlign w:val="center"/>
                </w:tcPr>
                <w:p w14:paraId="65439EB1">
                  <w:pPr>
                    <w:pStyle w:val="56"/>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687" w:type="pct"/>
                  <w:vMerge w:val="continue"/>
                  <w:noWrap w:val="0"/>
                  <w:vAlign w:val="center"/>
                </w:tcPr>
                <w:p w14:paraId="03DBC039">
                  <w:pPr>
                    <w:pStyle w:val="56"/>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379" w:type="pct"/>
                  <w:vMerge w:val="continue"/>
                  <w:noWrap w:val="0"/>
                  <w:vAlign w:val="center"/>
                </w:tcPr>
                <w:p w14:paraId="1147E6FF">
                  <w:pPr>
                    <w:pStyle w:val="56"/>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446" w:type="pct"/>
                  <w:vMerge w:val="continue"/>
                  <w:noWrap w:val="0"/>
                  <w:vAlign w:val="center"/>
                </w:tcPr>
                <w:p w14:paraId="0DFAFF23">
                  <w:pPr>
                    <w:pStyle w:val="56"/>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516" w:type="pct"/>
                  <w:vMerge w:val="continue"/>
                  <w:noWrap w:val="0"/>
                  <w:vAlign w:val="center"/>
                </w:tcPr>
                <w:p w14:paraId="18BE69CF">
                  <w:pPr>
                    <w:pStyle w:val="56"/>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584" w:type="pct"/>
                  <w:vMerge w:val="continue"/>
                  <w:noWrap w:val="0"/>
                  <w:vAlign w:val="center"/>
                </w:tcPr>
                <w:p w14:paraId="3E293806">
                  <w:pPr>
                    <w:pStyle w:val="56"/>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1572" w:type="pct"/>
                  <w:noWrap w:val="0"/>
                  <w:vAlign w:val="center"/>
                </w:tcPr>
                <w:p w14:paraId="38DEF420">
                  <w:pPr>
                    <w:pStyle w:val="56"/>
                    <w:keepNext w:val="0"/>
                    <w:keepLines w:val="0"/>
                    <w:pageBreakBefore w:val="0"/>
                    <w:widowControl w:val="0"/>
                    <w:suppressLineNumbers w:val="0"/>
                    <w:kinsoku/>
                    <w:wordWrap/>
                    <w:overflowPunct/>
                    <w:topLinePunct w:val="0"/>
                    <w:autoSpaceDE/>
                    <w:autoSpaceDN/>
                    <w:bidi w:val="0"/>
                    <w:spacing w:before="0" w:beforeAutospacing="0" w:after="0" w:afterAutospacing="0"/>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标准名称</w:t>
                  </w:r>
                </w:p>
              </w:tc>
              <w:tc>
                <w:tcPr>
                  <w:tcW w:w="565" w:type="pct"/>
                  <w:noWrap w:val="0"/>
                  <w:vAlign w:val="center"/>
                </w:tcPr>
                <w:p w14:paraId="5C894625">
                  <w:pPr>
                    <w:pStyle w:val="56"/>
                    <w:keepNext w:val="0"/>
                    <w:keepLines w:val="0"/>
                    <w:pageBreakBefore w:val="0"/>
                    <w:widowControl w:val="0"/>
                    <w:suppressLineNumbers w:val="0"/>
                    <w:kinsoku/>
                    <w:wordWrap/>
                    <w:overflowPunct/>
                    <w:topLinePunct w:val="0"/>
                    <w:autoSpaceDE/>
                    <w:autoSpaceDN/>
                    <w:bidi w:val="0"/>
                    <w:spacing w:before="0" w:beforeAutospacing="0" w:after="0" w:afterAutospacing="0"/>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浓度限值mg/m</w:t>
                  </w:r>
                  <w:r>
                    <w:rPr>
                      <w:rFonts w:hint="default" w:ascii="Times New Roman" w:hAnsi="Times New Roman" w:eastAsia="宋体" w:cs="Times New Roman"/>
                      <w:color w:val="000000" w:themeColor="text1"/>
                      <w:sz w:val="21"/>
                      <w:szCs w:val="21"/>
                      <w:highlight w:val="none"/>
                      <w:u w:val="none" w:color="auto"/>
                      <w:vertAlign w:val="superscript"/>
                      <w14:textFill>
                        <w14:solidFill>
                          <w14:schemeClr w14:val="tx1"/>
                        </w14:solidFill>
                      </w14:textFill>
                    </w:rPr>
                    <w:t>3</w:t>
                  </w:r>
                </w:p>
              </w:tc>
            </w:tr>
            <w:tr w14:paraId="25F1FA1C">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48" w:type="pct"/>
                  <w:vMerge w:val="restart"/>
                  <w:noWrap w:val="0"/>
                  <w:vAlign w:val="center"/>
                </w:tcPr>
                <w:p w14:paraId="29B60B4C">
                  <w:pPr>
                    <w:pStyle w:val="56"/>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1</w:t>
                  </w:r>
                </w:p>
              </w:tc>
              <w:tc>
                <w:tcPr>
                  <w:tcW w:w="687" w:type="pct"/>
                  <w:vMerge w:val="restart"/>
                  <w:noWrap w:val="0"/>
                  <w:vAlign w:val="center"/>
                </w:tcPr>
                <w:p w14:paraId="6BC1BA4D">
                  <w:pPr>
                    <w:keepNext w:val="0"/>
                    <w:keepLines w:val="0"/>
                    <w:pageBreakBefore w:val="0"/>
                    <w:widowControl/>
                    <w:suppressLineNumbers w:val="0"/>
                    <w:kinsoku/>
                    <w:wordWrap/>
                    <w:overflowPunct/>
                    <w:topLinePunct w:val="0"/>
                    <w:autoSpaceDE/>
                    <w:autoSpaceDN/>
                    <w:bidi w:val="0"/>
                    <w:spacing w:before="0" w:beforeAutospacing="0" w:after="0" w:afterAutospacing="0"/>
                    <w:ind w:left="0" w:right="0"/>
                    <w:jc w:val="center"/>
                    <w:textAlignment w:val="center"/>
                    <w:outlineLvl w:val="9"/>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color="auto"/>
                      <w:lang w:val="en-US" w:eastAsia="zh-CN" w:bidi="ar"/>
                      <w14:textFill>
                        <w14:solidFill>
                          <w14:schemeClr w14:val="tx1"/>
                        </w14:solidFill>
                      </w14:textFill>
                    </w:rPr>
                    <w:t>DA001</w:t>
                  </w:r>
                </w:p>
              </w:tc>
              <w:tc>
                <w:tcPr>
                  <w:tcW w:w="379" w:type="pct"/>
                  <w:vMerge w:val="restart"/>
                  <w:noWrap w:val="0"/>
                  <w:vAlign w:val="center"/>
                </w:tcPr>
                <w:p w14:paraId="4A2EC8BC">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颗粒物</w:t>
                  </w:r>
                </w:p>
              </w:tc>
              <w:tc>
                <w:tcPr>
                  <w:tcW w:w="446" w:type="pct"/>
                  <w:vMerge w:val="restart"/>
                  <w:noWrap w:val="0"/>
                  <w:vAlign w:val="center"/>
                </w:tcPr>
                <w:p w14:paraId="31D1CF74">
                  <w:pPr>
                    <w:pStyle w:val="61"/>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等线" w:cs="Times New Roman"/>
                      <w:color w:val="000000" w:themeColor="text1"/>
                      <w:kern w:val="0"/>
                      <w:sz w:val="21"/>
                      <w:szCs w:val="21"/>
                      <w:u w:val="none" w:color="auto"/>
                      <w:lang w:val="en-US" w:eastAsia="zh-CN" w:bidi="ar-SA"/>
                      <w14:textFill>
                        <w14:solidFill>
                          <w14:schemeClr w14:val="tx1"/>
                        </w14:solidFill>
                      </w14:textFill>
                    </w:rPr>
                    <w:t>0.167</w:t>
                  </w:r>
                </w:p>
              </w:tc>
              <w:tc>
                <w:tcPr>
                  <w:tcW w:w="516" w:type="pct"/>
                  <w:vMerge w:val="restart"/>
                  <w:noWrap w:val="0"/>
                  <w:vAlign w:val="center"/>
                </w:tcPr>
                <w:p w14:paraId="1FE218CF">
                  <w:pPr>
                    <w:pStyle w:val="61"/>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等线" w:cs="Times New Roman"/>
                      <w:color w:val="000000" w:themeColor="text1"/>
                      <w:kern w:val="0"/>
                      <w:sz w:val="21"/>
                      <w:szCs w:val="21"/>
                      <w:u w:val="none" w:color="auto"/>
                      <w:lang w:val="en-US" w:eastAsia="zh-CN" w:bidi="ar-SA"/>
                      <w14:textFill>
                        <w14:solidFill>
                          <w14:schemeClr w14:val="tx1"/>
                        </w14:solidFill>
                      </w14:textFill>
                    </w:rPr>
                    <w:t>0.047</w:t>
                  </w:r>
                </w:p>
              </w:tc>
              <w:tc>
                <w:tcPr>
                  <w:tcW w:w="584" w:type="pct"/>
                  <w:vMerge w:val="restart"/>
                  <w:noWrap w:val="0"/>
                  <w:vAlign w:val="center"/>
                </w:tcPr>
                <w:p w14:paraId="74A48D14">
                  <w:pPr>
                    <w:pStyle w:val="61"/>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等线" w:cs="Times New Roman"/>
                      <w:color w:val="000000" w:themeColor="text1"/>
                      <w:kern w:val="0"/>
                      <w:sz w:val="21"/>
                      <w:szCs w:val="21"/>
                      <w:u w:val="none" w:color="auto"/>
                      <w:lang w:val="en-US" w:eastAsia="zh-CN" w:bidi="ar-SA"/>
                      <w14:textFill>
                        <w14:solidFill>
                          <w14:schemeClr w14:val="tx1"/>
                        </w14:solidFill>
                      </w14:textFill>
                    </w:rPr>
                    <w:t>7.75</w:t>
                  </w:r>
                </w:p>
              </w:tc>
              <w:tc>
                <w:tcPr>
                  <w:tcW w:w="1572" w:type="pct"/>
                  <w:noWrap w:val="0"/>
                  <w:vAlign w:val="center"/>
                </w:tcPr>
                <w:p w14:paraId="058C40B6">
                  <w:pPr>
                    <w:keepNext w:val="0"/>
                    <w:keepLines w:val="0"/>
                    <w:pageBreakBefore w:val="0"/>
                    <w:widowControl w:val="0"/>
                    <w:suppressLineNumbers w:val="0"/>
                    <w:kinsoku/>
                    <w:wordWrap/>
                    <w:overflowPunct/>
                    <w:topLinePunct w:val="0"/>
                    <w:autoSpaceDE/>
                    <w:autoSpaceDN/>
                    <w:bidi w:val="0"/>
                    <w:spacing w:before="0" w:beforeAutospacing="0" w:after="0" w:afterAutospacing="0"/>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《大气污染物综合排放标准》（GB16297-1996）表2中二级标准</w:t>
                  </w:r>
                </w:p>
              </w:tc>
              <w:tc>
                <w:tcPr>
                  <w:tcW w:w="565" w:type="pct"/>
                  <w:noWrap w:val="0"/>
                  <w:vAlign w:val="center"/>
                </w:tcPr>
                <w:p w14:paraId="604CB689">
                  <w:pPr>
                    <w:keepNext w:val="0"/>
                    <w:keepLines w:val="0"/>
                    <w:pageBreakBefore w:val="0"/>
                    <w:widowControl w:val="0"/>
                    <w:suppressLineNumbers w:val="0"/>
                    <w:kinsoku/>
                    <w:wordWrap/>
                    <w:overflowPunct/>
                    <w:topLinePunct w:val="0"/>
                    <w:autoSpaceDE/>
                    <w:autoSpaceDN/>
                    <w:bidi w:val="0"/>
                    <w:spacing w:before="0" w:beforeAutospacing="0" w:after="0" w:afterAutospacing="0"/>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120</w:t>
                  </w:r>
                </w:p>
              </w:tc>
            </w:tr>
            <w:tr w14:paraId="563AD552">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48" w:type="pct"/>
                  <w:vMerge w:val="continue"/>
                  <w:noWrap w:val="0"/>
                  <w:vAlign w:val="center"/>
                </w:tcPr>
                <w:p w14:paraId="4A533110">
                  <w:pPr>
                    <w:keepNext w:val="0"/>
                    <w:keepLines w:val="0"/>
                    <w:pageBreakBefore w:val="0"/>
                    <w:widowControl w:val="0"/>
                    <w:suppressLineNumbers w:val="0"/>
                    <w:kinsoku/>
                    <w:wordWrap/>
                    <w:overflowPunct/>
                    <w:topLinePunct w:val="0"/>
                    <w:autoSpaceDE/>
                    <w:autoSpaceDN/>
                    <w:bidi w:val="0"/>
                    <w:spacing w:before="0" w:beforeAutospacing="0" w:after="0" w:afterAutospacing="0"/>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687" w:type="pct"/>
                  <w:vMerge w:val="continue"/>
                  <w:noWrap w:val="0"/>
                  <w:vAlign w:val="center"/>
                </w:tcPr>
                <w:p w14:paraId="24EBC881">
                  <w:pPr>
                    <w:keepNext w:val="0"/>
                    <w:keepLines w:val="0"/>
                    <w:pageBreakBefore w:val="0"/>
                    <w:widowControl w:val="0"/>
                    <w:suppressLineNumbers w:val="0"/>
                    <w:kinsoku/>
                    <w:wordWrap/>
                    <w:overflowPunct/>
                    <w:topLinePunct w:val="0"/>
                    <w:autoSpaceDE/>
                    <w:autoSpaceDN/>
                    <w:bidi w:val="0"/>
                    <w:spacing w:before="0" w:beforeAutospacing="0" w:after="0" w:afterAutospacing="0"/>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379" w:type="pct"/>
                  <w:vMerge w:val="continue"/>
                  <w:noWrap w:val="0"/>
                  <w:vAlign w:val="center"/>
                </w:tcPr>
                <w:p w14:paraId="3AF0FC3C">
                  <w:pPr>
                    <w:keepNext w:val="0"/>
                    <w:keepLines w:val="0"/>
                    <w:pageBreakBefore w:val="0"/>
                    <w:widowControl w:val="0"/>
                    <w:suppressLineNumbers w:val="0"/>
                    <w:kinsoku/>
                    <w:wordWrap/>
                    <w:overflowPunct/>
                    <w:topLinePunct w:val="0"/>
                    <w:autoSpaceDE/>
                    <w:autoSpaceDN/>
                    <w:bidi w:val="0"/>
                    <w:spacing w:before="0" w:beforeAutospacing="0" w:after="0" w:afterAutospacing="0"/>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446" w:type="pct"/>
                  <w:vMerge w:val="continue"/>
                  <w:noWrap w:val="0"/>
                  <w:vAlign w:val="center"/>
                </w:tcPr>
                <w:p w14:paraId="2E317BCC">
                  <w:pPr>
                    <w:keepNext w:val="0"/>
                    <w:keepLines w:val="0"/>
                    <w:pageBreakBefore w:val="0"/>
                    <w:widowControl w:val="0"/>
                    <w:suppressLineNumbers w:val="0"/>
                    <w:kinsoku/>
                    <w:wordWrap/>
                    <w:overflowPunct/>
                    <w:topLinePunct w:val="0"/>
                    <w:autoSpaceDE/>
                    <w:autoSpaceDN/>
                    <w:bidi w:val="0"/>
                    <w:spacing w:before="0" w:beforeAutospacing="0" w:after="0" w:afterAutospacing="0"/>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516" w:type="pct"/>
                  <w:vMerge w:val="continue"/>
                  <w:noWrap w:val="0"/>
                  <w:vAlign w:val="center"/>
                </w:tcPr>
                <w:p w14:paraId="35BFFDD6">
                  <w:pPr>
                    <w:keepNext w:val="0"/>
                    <w:keepLines w:val="0"/>
                    <w:pageBreakBefore w:val="0"/>
                    <w:widowControl w:val="0"/>
                    <w:suppressLineNumbers w:val="0"/>
                    <w:kinsoku/>
                    <w:wordWrap/>
                    <w:overflowPunct/>
                    <w:topLinePunct w:val="0"/>
                    <w:autoSpaceDE/>
                    <w:autoSpaceDN/>
                    <w:bidi w:val="0"/>
                    <w:spacing w:before="0" w:beforeAutospacing="0" w:after="0" w:afterAutospacing="0"/>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584" w:type="pct"/>
                  <w:vMerge w:val="continue"/>
                  <w:noWrap w:val="0"/>
                  <w:vAlign w:val="center"/>
                </w:tcPr>
                <w:p w14:paraId="6E1A5668">
                  <w:pPr>
                    <w:keepNext w:val="0"/>
                    <w:keepLines w:val="0"/>
                    <w:pageBreakBefore w:val="0"/>
                    <w:widowControl w:val="0"/>
                    <w:suppressLineNumbers w:val="0"/>
                    <w:kinsoku/>
                    <w:wordWrap/>
                    <w:overflowPunct/>
                    <w:topLinePunct w:val="0"/>
                    <w:autoSpaceDE/>
                    <w:autoSpaceDN/>
                    <w:bidi w:val="0"/>
                    <w:spacing w:before="0" w:beforeAutospacing="0" w:after="0" w:afterAutospacing="0"/>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1572" w:type="pct"/>
                  <w:noWrap w:val="0"/>
                  <w:vAlign w:val="center"/>
                </w:tcPr>
                <w:p w14:paraId="7F7907B7">
                  <w:pPr>
                    <w:keepNext w:val="0"/>
                    <w:keepLines w:val="0"/>
                    <w:pageBreakBefore w:val="0"/>
                    <w:widowControl w:val="0"/>
                    <w:suppressLineNumbers w:val="0"/>
                    <w:kinsoku/>
                    <w:wordWrap/>
                    <w:overflowPunct/>
                    <w:topLinePunct w:val="0"/>
                    <w:autoSpaceDE/>
                    <w:autoSpaceDN/>
                    <w:bidi w:val="0"/>
                    <w:spacing w:before="0" w:beforeAutospacing="0" w:after="0" w:afterAutospacing="0"/>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《河南省重污染天气重点行业应急减排措施制定技术指南》（202</w:t>
                  </w:r>
                  <w:r>
                    <w:rPr>
                      <w:rFonts w:hint="eastAsia" w:cs="Times New Roman"/>
                      <w:color w:val="000000" w:themeColor="text1"/>
                      <w:sz w:val="21"/>
                      <w:szCs w:val="21"/>
                      <w:highlight w:val="none"/>
                      <w:u w:val="none" w:color="auto"/>
                      <w:lang w:val="en-US" w:eastAsia="zh-CN"/>
                      <w14:textFill>
                        <w14:solidFill>
                          <w14:schemeClr w14:val="tx1"/>
                        </w14:solidFill>
                      </w14:textFill>
                    </w:rPr>
                    <w:t>4</w:t>
                  </w: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年修订版）</w:t>
                  </w:r>
                  <w:r>
                    <w:rPr>
                      <w:rFonts w:hint="eastAsia"/>
                      <w:b w:val="0"/>
                      <w:bCs w:val="0"/>
                      <w:color w:val="000000" w:themeColor="text1"/>
                      <w:sz w:val="21"/>
                      <w:szCs w:val="21"/>
                      <w:u w:val="none" w:color="auto"/>
                      <w:lang w:val="en-US" w:eastAsia="zh-CN"/>
                      <w14:textFill>
                        <w14:solidFill>
                          <w14:schemeClr w14:val="tx1"/>
                        </w14:solidFill>
                      </w14:textFill>
                    </w:rPr>
                    <w:t>通用</w:t>
                  </w:r>
                  <w:r>
                    <w:rPr>
                      <w:rFonts w:hint="default"/>
                      <w:b w:val="0"/>
                      <w:bCs w:val="0"/>
                      <w:color w:val="000000" w:themeColor="text1"/>
                      <w:sz w:val="21"/>
                      <w:szCs w:val="21"/>
                      <w:u w:val="none" w:color="auto"/>
                      <w14:textFill>
                        <w14:solidFill>
                          <w14:schemeClr w14:val="tx1"/>
                        </w14:solidFill>
                      </w14:textFill>
                    </w:rPr>
                    <w:t>涉</w:t>
                  </w:r>
                  <w:r>
                    <w:rPr>
                      <w:rFonts w:hint="eastAsia"/>
                      <w:b w:val="0"/>
                      <w:bCs w:val="0"/>
                      <w:color w:val="000000" w:themeColor="text1"/>
                      <w:sz w:val="21"/>
                      <w:szCs w:val="21"/>
                      <w:u w:val="none" w:color="auto"/>
                      <w:lang w:val="en-US" w:eastAsia="zh-CN"/>
                      <w14:textFill>
                        <w14:solidFill>
                          <w14:schemeClr w14:val="tx1"/>
                        </w14:solidFill>
                      </w14:textFill>
                    </w:rPr>
                    <w:t>PM</w:t>
                  </w:r>
                  <w:r>
                    <w:rPr>
                      <w:rFonts w:hint="default"/>
                      <w:b w:val="0"/>
                      <w:bCs w:val="0"/>
                      <w:color w:val="000000" w:themeColor="text1"/>
                      <w:sz w:val="21"/>
                      <w:szCs w:val="21"/>
                      <w:u w:val="none" w:color="auto"/>
                      <w14:textFill>
                        <w14:solidFill>
                          <w14:schemeClr w14:val="tx1"/>
                        </w14:solidFill>
                      </w14:textFill>
                    </w:rPr>
                    <w:t>企业</w:t>
                  </w: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排放限值</w:t>
                  </w:r>
                </w:p>
              </w:tc>
              <w:tc>
                <w:tcPr>
                  <w:tcW w:w="565" w:type="pct"/>
                  <w:noWrap w:val="0"/>
                  <w:vAlign w:val="center"/>
                </w:tcPr>
                <w:p w14:paraId="62D97EB3">
                  <w:pPr>
                    <w:keepNext w:val="0"/>
                    <w:keepLines w:val="0"/>
                    <w:pageBreakBefore w:val="0"/>
                    <w:widowControl w:val="0"/>
                    <w:suppressLineNumbers w:val="0"/>
                    <w:kinsoku/>
                    <w:wordWrap/>
                    <w:overflowPunct/>
                    <w:topLinePunct w:val="0"/>
                    <w:autoSpaceDE/>
                    <w:autoSpaceDN/>
                    <w:bidi w:val="0"/>
                    <w:spacing w:before="0" w:beforeAutospacing="0" w:after="0" w:afterAutospacing="0"/>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10</w:t>
                  </w:r>
                </w:p>
              </w:tc>
            </w:tr>
            <w:tr w14:paraId="57FB3FF6">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48" w:type="pct"/>
                  <w:vMerge w:val="restart"/>
                  <w:noWrap w:val="0"/>
                  <w:vAlign w:val="center"/>
                </w:tcPr>
                <w:p w14:paraId="02715B69">
                  <w:pPr>
                    <w:pStyle w:val="56"/>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2</w:t>
                  </w:r>
                </w:p>
              </w:tc>
              <w:tc>
                <w:tcPr>
                  <w:tcW w:w="687" w:type="pct"/>
                  <w:vMerge w:val="restart"/>
                  <w:noWrap w:val="0"/>
                  <w:vAlign w:val="center"/>
                </w:tcPr>
                <w:p w14:paraId="5A5E5E8D">
                  <w:pPr>
                    <w:keepNext w:val="0"/>
                    <w:keepLines w:val="0"/>
                    <w:pageBreakBefore w:val="0"/>
                    <w:widowControl/>
                    <w:suppressLineNumbers w:val="0"/>
                    <w:kinsoku/>
                    <w:wordWrap/>
                    <w:overflowPunct/>
                    <w:topLinePunct w:val="0"/>
                    <w:autoSpaceDE/>
                    <w:autoSpaceDN/>
                    <w:bidi w:val="0"/>
                    <w:spacing w:before="0" w:beforeAutospacing="0" w:after="0" w:afterAutospacing="0"/>
                    <w:ind w:left="0" w:right="0"/>
                    <w:jc w:val="center"/>
                    <w:textAlignment w:val="center"/>
                    <w:outlineLvl w:val="9"/>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color="auto"/>
                      <w:lang w:val="en-US" w:eastAsia="zh-CN" w:bidi="ar"/>
                      <w14:textFill>
                        <w14:solidFill>
                          <w14:schemeClr w14:val="tx1"/>
                        </w14:solidFill>
                      </w14:textFill>
                    </w:rPr>
                    <w:t>DA00</w:t>
                  </w:r>
                  <w:r>
                    <w:rPr>
                      <w:rFonts w:hint="eastAsia" w:ascii="Times New Roman" w:hAnsi="Times New Roman" w:eastAsia="宋体" w:cs="Times New Roman"/>
                      <w:i w:val="0"/>
                      <w:iCs w:val="0"/>
                      <w:color w:val="000000" w:themeColor="text1"/>
                      <w:kern w:val="0"/>
                      <w:sz w:val="21"/>
                      <w:szCs w:val="21"/>
                      <w:highlight w:val="none"/>
                      <w:u w:val="none" w:color="auto"/>
                      <w:lang w:val="en-US" w:eastAsia="zh-CN" w:bidi="ar"/>
                      <w14:textFill>
                        <w14:solidFill>
                          <w14:schemeClr w14:val="tx1"/>
                        </w14:solidFill>
                      </w14:textFill>
                    </w:rPr>
                    <w:t>2</w:t>
                  </w:r>
                </w:p>
              </w:tc>
              <w:tc>
                <w:tcPr>
                  <w:tcW w:w="379" w:type="pct"/>
                  <w:vMerge w:val="restart"/>
                  <w:noWrap w:val="0"/>
                  <w:vAlign w:val="center"/>
                </w:tcPr>
                <w:p w14:paraId="3DC3DF07">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颗粒物</w:t>
                  </w:r>
                </w:p>
              </w:tc>
              <w:tc>
                <w:tcPr>
                  <w:tcW w:w="446" w:type="pct"/>
                  <w:vMerge w:val="restart"/>
                  <w:shd w:val="clear" w:color="auto" w:fill="auto"/>
                  <w:noWrap w:val="0"/>
                  <w:vAlign w:val="center"/>
                </w:tcPr>
                <w:p w14:paraId="0B528C20">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0.482</w:t>
                  </w:r>
                </w:p>
              </w:tc>
              <w:tc>
                <w:tcPr>
                  <w:tcW w:w="516" w:type="pct"/>
                  <w:vMerge w:val="restart"/>
                  <w:shd w:val="clear" w:color="auto" w:fill="auto"/>
                  <w:noWrap w:val="0"/>
                  <w:vAlign w:val="center"/>
                </w:tcPr>
                <w:p w14:paraId="7C394FDF">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0.086</w:t>
                  </w:r>
                </w:p>
              </w:tc>
              <w:tc>
                <w:tcPr>
                  <w:tcW w:w="584" w:type="pct"/>
                  <w:vMerge w:val="restart"/>
                  <w:shd w:val="clear" w:color="auto" w:fill="auto"/>
                  <w:noWrap w:val="0"/>
                  <w:vAlign w:val="center"/>
                </w:tcPr>
                <w:p w14:paraId="6E715598">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4.316</w:t>
                  </w:r>
                </w:p>
              </w:tc>
              <w:tc>
                <w:tcPr>
                  <w:tcW w:w="1572" w:type="pct"/>
                  <w:noWrap w:val="0"/>
                  <w:vAlign w:val="center"/>
                </w:tcPr>
                <w:p w14:paraId="6A678168">
                  <w:pPr>
                    <w:keepNext w:val="0"/>
                    <w:keepLines w:val="0"/>
                    <w:pageBreakBefore w:val="0"/>
                    <w:widowControl w:val="0"/>
                    <w:suppressLineNumbers w:val="0"/>
                    <w:kinsoku/>
                    <w:wordWrap/>
                    <w:overflowPunct/>
                    <w:topLinePunct w:val="0"/>
                    <w:autoSpaceDE/>
                    <w:autoSpaceDN/>
                    <w:bidi w:val="0"/>
                    <w:spacing w:before="0" w:beforeAutospacing="0" w:after="0" w:afterAutospacing="0"/>
                    <w:ind w:left="0" w:right="0"/>
                    <w:jc w:val="center"/>
                    <w:textAlignment w:val="auto"/>
                    <w:outlineLvl w:val="9"/>
                    <w:rPr>
                      <w:rFonts w:hint="eastAsia"/>
                      <w:b w:val="0"/>
                      <w:bCs/>
                      <w:color w:val="000000" w:themeColor="text1"/>
                      <w:sz w:val="21"/>
                      <w:szCs w:val="21"/>
                      <w:highlight w:val="none"/>
                      <w:u w:val="none" w:color="auto"/>
                      <w:lang w:val="en-US" w:eastAsia="zh-CN"/>
                      <w14:textFill>
                        <w14:solidFill>
                          <w14:schemeClr w14:val="tx1"/>
                        </w14:solidFill>
                      </w14:textFill>
                    </w:rPr>
                  </w:pPr>
                  <w:r>
                    <w:rPr>
                      <w:rFonts w:hint="eastAsia" w:ascii="Times New Roman" w:hAnsi="Times New Roman" w:eastAsia="宋体" w:cs="Times New Roman"/>
                      <w:b w:val="0"/>
                      <w:bCs/>
                      <w:sz w:val="21"/>
                      <w:szCs w:val="21"/>
                      <w:highlight w:val="none"/>
                      <w:u w:val="none" w:color="auto"/>
                      <w:lang w:val="en-US" w:eastAsia="zh-CN"/>
                    </w:rPr>
                    <w:t>《大气污染物综合排放标准》(GB16297-1996)表2中二级</w:t>
                  </w:r>
                </w:p>
              </w:tc>
              <w:tc>
                <w:tcPr>
                  <w:tcW w:w="565" w:type="pct"/>
                  <w:noWrap w:val="0"/>
                  <w:vAlign w:val="center"/>
                </w:tcPr>
                <w:p w14:paraId="6BA7D7B6">
                  <w:pPr>
                    <w:keepNext w:val="0"/>
                    <w:keepLines w:val="0"/>
                    <w:pageBreakBefore w:val="0"/>
                    <w:widowControl w:val="0"/>
                    <w:suppressLineNumbers w:val="0"/>
                    <w:kinsoku/>
                    <w:wordWrap/>
                    <w:overflowPunct/>
                    <w:topLinePunct w:val="0"/>
                    <w:autoSpaceDE/>
                    <w:autoSpaceDN/>
                    <w:bidi w:val="0"/>
                    <w:spacing w:before="0" w:beforeAutospacing="0" w:after="0" w:afterAutospacing="0"/>
                    <w:ind w:left="0" w:right="0"/>
                    <w:jc w:val="center"/>
                    <w:textAlignment w:val="auto"/>
                    <w:outlineLvl w:val="9"/>
                    <w:rPr>
                      <w:rFonts w:hint="default" w:cs="Times New Roman"/>
                      <w:color w:val="000000" w:themeColor="text1"/>
                      <w:sz w:val="21"/>
                      <w:szCs w:val="21"/>
                      <w:highlight w:val="none"/>
                      <w:u w:val="none" w:color="auto"/>
                      <w:lang w:val="en-US" w:eastAsia="zh-CN"/>
                      <w14:textFill>
                        <w14:solidFill>
                          <w14:schemeClr w14:val="tx1"/>
                        </w14:solidFill>
                      </w14:textFill>
                    </w:rPr>
                  </w:pPr>
                  <w:r>
                    <w:rPr>
                      <w:rFonts w:hint="eastAsia" w:cs="Times New Roman"/>
                      <w:color w:val="000000" w:themeColor="text1"/>
                      <w:sz w:val="21"/>
                      <w:szCs w:val="21"/>
                      <w:highlight w:val="none"/>
                      <w:u w:val="none" w:color="auto"/>
                      <w:lang w:val="en-US" w:eastAsia="zh-CN"/>
                      <w14:textFill>
                        <w14:solidFill>
                          <w14:schemeClr w14:val="tx1"/>
                        </w14:solidFill>
                      </w14:textFill>
                    </w:rPr>
                    <w:t>120</w:t>
                  </w:r>
                </w:p>
              </w:tc>
            </w:tr>
            <w:tr w14:paraId="73A9A149">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48" w:type="pct"/>
                  <w:vMerge w:val="continue"/>
                  <w:noWrap w:val="0"/>
                  <w:vAlign w:val="center"/>
                </w:tcPr>
                <w:p w14:paraId="27EFA8A7">
                  <w:pPr>
                    <w:pStyle w:val="56"/>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p>
              </w:tc>
              <w:tc>
                <w:tcPr>
                  <w:tcW w:w="687" w:type="pct"/>
                  <w:vMerge w:val="continue"/>
                  <w:noWrap w:val="0"/>
                  <w:vAlign w:val="center"/>
                </w:tcPr>
                <w:p w14:paraId="5FC3F860">
                  <w:pPr>
                    <w:keepNext w:val="0"/>
                    <w:keepLines w:val="0"/>
                    <w:pageBreakBefore w:val="0"/>
                    <w:widowControl/>
                    <w:suppressLineNumbers w:val="0"/>
                    <w:kinsoku/>
                    <w:wordWrap/>
                    <w:overflowPunct/>
                    <w:topLinePunct w:val="0"/>
                    <w:autoSpaceDE/>
                    <w:autoSpaceDN/>
                    <w:bidi w:val="0"/>
                    <w:spacing w:before="0" w:beforeAutospacing="0" w:after="0" w:afterAutospacing="0"/>
                    <w:ind w:left="0" w:right="0"/>
                    <w:jc w:val="center"/>
                    <w:textAlignment w:val="center"/>
                    <w:outlineLvl w:val="9"/>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p>
              </w:tc>
              <w:tc>
                <w:tcPr>
                  <w:tcW w:w="379" w:type="pct"/>
                  <w:vMerge w:val="continue"/>
                  <w:noWrap w:val="0"/>
                  <w:vAlign w:val="center"/>
                </w:tcPr>
                <w:p w14:paraId="65A860AF">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p>
              </w:tc>
              <w:tc>
                <w:tcPr>
                  <w:tcW w:w="446" w:type="pct"/>
                  <w:vMerge w:val="continue"/>
                  <w:shd w:val="clear" w:color="auto" w:fill="auto"/>
                  <w:noWrap w:val="0"/>
                  <w:vAlign w:val="center"/>
                </w:tcPr>
                <w:p w14:paraId="5DAB1C63">
                  <w:pPr>
                    <w:pStyle w:val="27"/>
                    <w:keepNext w:val="0"/>
                    <w:keepLines w:val="0"/>
                    <w:widowControl/>
                    <w:suppressLineNumbers w:val="0"/>
                    <w:autoSpaceDE w:val="0"/>
                    <w:autoSpaceDN/>
                    <w:spacing w:before="0" w:beforeAutospacing="0" w:after="0" w:afterAutospacing="0"/>
                    <w:ind w:left="0" w:leftChars="0" w:right="0" w:rightChars="0"/>
                    <w:jc w:val="cente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p>
              </w:tc>
              <w:tc>
                <w:tcPr>
                  <w:tcW w:w="516" w:type="pct"/>
                  <w:vMerge w:val="continue"/>
                  <w:shd w:val="clear" w:color="auto" w:fill="auto"/>
                  <w:noWrap w:val="0"/>
                  <w:vAlign w:val="center"/>
                </w:tcPr>
                <w:p w14:paraId="0E18A7B1">
                  <w:pPr>
                    <w:pStyle w:val="27"/>
                    <w:keepNext w:val="0"/>
                    <w:keepLines w:val="0"/>
                    <w:widowControl/>
                    <w:suppressLineNumbers w:val="0"/>
                    <w:autoSpaceDE w:val="0"/>
                    <w:autoSpaceDN/>
                    <w:spacing w:before="0" w:beforeAutospacing="0" w:after="0" w:afterAutospacing="0"/>
                    <w:ind w:left="0" w:leftChars="0" w:right="0" w:rightChars="0"/>
                    <w:jc w:val="cente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p>
              </w:tc>
              <w:tc>
                <w:tcPr>
                  <w:tcW w:w="584" w:type="pct"/>
                  <w:vMerge w:val="continue"/>
                  <w:shd w:val="clear" w:color="auto" w:fill="auto"/>
                  <w:noWrap w:val="0"/>
                  <w:vAlign w:val="center"/>
                </w:tcPr>
                <w:p w14:paraId="5FB007C0">
                  <w:pPr>
                    <w:pStyle w:val="27"/>
                    <w:keepNext w:val="0"/>
                    <w:keepLines w:val="0"/>
                    <w:widowControl/>
                    <w:suppressLineNumbers w:val="0"/>
                    <w:autoSpaceDE w:val="0"/>
                    <w:autoSpaceDN/>
                    <w:spacing w:before="0" w:beforeAutospacing="0" w:after="0" w:afterAutospacing="0"/>
                    <w:ind w:left="0" w:leftChars="0" w:right="0" w:rightChars="0"/>
                    <w:jc w:val="cente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p>
              </w:tc>
              <w:tc>
                <w:tcPr>
                  <w:tcW w:w="1572" w:type="pct"/>
                  <w:noWrap w:val="0"/>
                  <w:vAlign w:val="center"/>
                </w:tcPr>
                <w:p w14:paraId="533B3459">
                  <w:pPr>
                    <w:keepNext w:val="0"/>
                    <w:keepLines w:val="0"/>
                    <w:pageBreakBefore w:val="0"/>
                    <w:widowControl w:val="0"/>
                    <w:suppressLineNumbers w:val="0"/>
                    <w:kinsoku/>
                    <w:wordWrap/>
                    <w:overflowPunct/>
                    <w:topLinePunct w:val="0"/>
                    <w:autoSpaceDE/>
                    <w:autoSpaceDN/>
                    <w:bidi w:val="0"/>
                    <w:spacing w:before="0" w:beforeAutospacing="0" w:after="0" w:afterAutospacing="0"/>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eastAsia"/>
                      <w:b w:val="0"/>
                      <w:bCs/>
                      <w:color w:val="000000" w:themeColor="text1"/>
                      <w:sz w:val="21"/>
                      <w:szCs w:val="21"/>
                      <w:highlight w:val="none"/>
                      <w:u w:val="none" w:color="auto"/>
                      <w:lang w:val="en-US" w:eastAsia="zh-CN"/>
                      <w14:textFill>
                        <w14:solidFill>
                          <w14:schemeClr w14:val="tx1"/>
                        </w14:solidFill>
                      </w14:textFill>
                    </w:rPr>
                    <w:t>《河南省工业炉窑大气污染物排放标准》(DB41/1066-2020)排放限值</w:t>
                  </w:r>
                </w:p>
              </w:tc>
              <w:tc>
                <w:tcPr>
                  <w:tcW w:w="565" w:type="pct"/>
                  <w:noWrap w:val="0"/>
                  <w:vAlign w:val="center"/>
                </w:tcPr>
                <w:p w14:paraId="16058EF9">
                  <w:pPr>
                    <w:keepNext w:val="0"/>
                    <w:keepLines w:val="0"/>
                    <w:pageBreakBefore w:val="0"/>
                    <w:widowControl w:val="0"/>
                    <w:suppressLineNumbers w:val="0"/>
                    <w:kinsoku/>
                    <w:wordWrap/>
                    <w:overflowPunct/>
                    <w:topLinePunct w:val="0"/>
                    <w:autoSpaceDE/>
                    <w:autoSpaceDN/>
                    <w:bidi w:val="0"/>
                    <w:spacing w:before="0" w:beforeAutospacing="0" w:after="0" w:afterAutospacing="0"/>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eastAsia" w:cs="Times New Roman"/>
                      <w:color w:val="000000" w:themeColor="text1"/>
                      <w:sz w:val="21"/>
                      <w:szCs w:val="21"/>
                      <w:highlight w:val="none"/>
                      <w:u w:val="none" w:color="auto"/>
                      <w:lang w:val="en-US" w:eastAsia="zh-CN"/>
                      <w14:textFill>
                        <w14:solidFill>
                          <w14:schemeClr w14:val="tx1"/>
                        </w14:solidFill>
                      </w14:textFill>
                    </w:rPr>
                    <w:t>30</w:t>
                  </w:r>
                </w:p>
              </w:tc>
            </w:tr>
            <w:tr w14:paraId="0A68F4D7">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48" w:type="pct"/>
                  <w:vMerge w:val="continue"/>
                  <w:noWrap w:val="0"/>
                  <w:vAlign w:val="center"/>
                </w:tcPr>
                <w:p w14:paraId="4FD4DA44">
                  <w:pPr>
                    <w:keepNext w:val="0"/>
                    <w:keepLines w:val="0"/>
                    <w:pageBreakBefore w:val="0"/>
                    <w:widowControl w:val="0"/>
                    <w:suppressLineNumbers w:val="0"/>
                    <w:kinsoku/>
                    <w:wordWrap/>
                    <w:overflowPunct/>
                    <w:topLinePunct w:val="0"/>
                    <w:autoSpaceDE/>
                    <w:autoSpaceDN/>
                    <w:bidi w:val="0"/>
                    <w:spacing w:before="0" w:beforeAutospacing="0" w:after="0" w:afterAutospacing="0"/>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687" w:type="pct"/>
                  <w:vMerge w:val="continue"/>
                  <w:noWrap w:val="0"/>
                  <w:vAlign w:val="center"/>
                </w:tcPr>
                <w:p w14:paraId="329BA8E4">
                  <w:pPr>
                    <w:keepNext w:val="0"/>
                    <w:keepLines w:val="0"/>
                    <w:pageBreakBefore w:val="0"/>
                    <w:widowControl w:val="0"/>
                    <w:suppressLineNumbers w:val="0"/>
                    <w:kinsoku/>
                    <w:wordWrap/>
                    <w:overflowPunct/>
                    <w:topLinePunct w:val="0"/>
                    <w:autoSpaceDE/>
                    <w:autoSpaceDN/>
                    <w:bidi w:val="0"/>
                    <w:spacing w:before="0" w:beforeAutospacing="0" w:after="0" w:afterAutospacing="0"/>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379" w:type="pct"/>
                  <w:vMerge w:val="continue"/>
                  <w:noWrap w:val="0"/>
                  <w:vAlign w:val="center"/>
                </w:tcPr>
                <w:p w14:paraId="1E316AA3">
                  <w:pPr>
                    <w:keepNext w:val="0"/>
                    <w:keepLines w:val="0"/>
                    <w:pageBreakBefore w:val="0"/>
                    <w:widowControl w:val="0"/>
                    <w:suppressLineNumbers w:val="0"/>
                    <w:kinsoku/>
                    <w:wordWrap/>
                    <w:overflowPunct/>
                    <w:topLinePunct w:val="0"/>
                    <w:autoSpaceDE/>
                    <w:autoSpaceDN/>
                    <w:bidi w:val="0"/>
                    <w:spacing w:before="0" w:beforeAutospacing="0" w:after="0" w:afterAutospacing="0"/>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446" w:type="pct"/>
                  <w:vMerge w:val="continue"/>
                  <w:shd w:val="clear" w:color="auto" w:fill="auto"/>
                  <w:noWrap w:val="0"/>
                  <w:vAlign w:val="center"/>
                </w:tcPr>
                <w:p w14:paraId="28AAC234">
                  <w:pPr>
                    <w:pStyle w:val="27"/>
                    <w:keepNext w:val="0"/>
                    <w:keepLines w:val="0"/>
                    <w:widowControl/>
                    <w:suppressLineNumbers w:val="0"/>
                    <w:autoSpaceDE w:val="0"/>
                    <w:autoSpaceDN/>
                    <w:spacing w:before="0" w:beforeAutospacing="0" w:after="0" w:afterAutospacing="0"/>
                    <w:ind w:left="0" w:leftChars="0" w:right="0" w:rightChars="0"/>
                    <w:jc w:val="center"/>
                    <w:rPr>
                      <w:rFonts w:hint="default" w:ascii="Times New Roman" w:hAnsi="Times New Roman" w:eastAsia="宋体" w:cs="Times New Roman"/>
                      <w:color w:val="000000" w:themeColor="text1"/>
                      <w:kern w:val="0"/>
                      <w:sz w:val="21"/>
                      <w:szCs w:val="21"/>
                      <w:u w:val="none" w:color="auto"/>
                      <w:lang w:val="en-US" w:eastAsia="zh-CN" w:bidi="ar-SA"/>
                      <w14:textFill>
                        <w14:solidFill>
                          <w14:schemeClr w14:val="tx1"/>
                        </w14:solidFill>
                      </w14:textFill>
                    </w:rPr>
                  </w:pPr>
                </w:p>
              </w:tc>
              <w:tc>
                <w:tcPr>
                  <w:tcW w:w="516" w:type="pct"/>
                  <w:vMerge w:val="continue"/>
                  <w:shd w:val="clear" w:color="auto" w:fill="auto"/>
                  <w:noWrap w:val="0"/>
                  <w:vAlign w:val="center"/>
                </w:tcPr>
                <w:p w14:paraId="119FE576">
                  <w:pPr>
                    <w:pStyle w:val="27"/>
                    <w:keepNext w:val="0"/>
                    <w:keepLines w:val="0"/>
                    <w:widowControl/>
                    <w:suppressLineNumbers w:val="0"/>
                    <w:autoSpaceDE w:val="0"/>
                    <w:autoSpaceDN/>
                    <w:spacing w:before="0" w:beforeAutospacing="0" w:after="0" w:afterAutospacing="0"/>
                    <w:ind w:left="0" w:leftChars="0" w:right="0" w:rightChars="0"/>
                    <w:jc w:val="center"/>
                    <w:rPr>
                      <w:rFonts w:hint="default" w:ascii="Times New Roman" w:hAnsi="Times New Roman" w:eastAsia="宋体" w:cs="Times New Roman"/>
                      <w:color w:val="000000" w:themeColor="text1"/>
                      <w:kern w:val="0"/>
                      <w:sz w:val="21"/>
                      <w:szCs w:val="21"/>
                      <w:u w:val="none" w:color="auto"/>
                      <w:lang w:val="en-US" w:eastAsia="zh-CN" w:bidi="ar-SA"/>
                      <w14:textFill>
                        <w14:solidFill>
                          <w14:schemeClr w14:val="tx1"/>
                        </w14:solidFill>
                      </w14:textFill>
                    </w:rPr>
                  </w:pPr>
                </w:p>
              </w:tc>
              <w:tc>
                <w:tcPr>
                  <w:tcW w:w="584" w:type="pct"/>
                  <w:vMerge w:val="continue"/>
                  <w:shd w:val="clear" w:color="auto" w:fill="auto"/>
                  <w:noWrap w:val="0"/>
                  <w:vAlign w:val="center"/>
                </w:tcPr>
                <w:p w14:paraId="0788ABFC">
                  <w:pPr>
                    <w:pStyle w:val="27"/>
                    <w:keepNext w:val="0"/>
                    <w:keepLines w:val="0"/>
                    <w:widowControl/>
                    <w:suppressLineNumbers w:val="0"/>
                    <w:autoSpaceDE w:val="0"/>
                    <w:autoSpaceDN/>
                    <w:spacing w:before="0" w:beforeAutospacing="0" w:after="0" w:afterAutospacing="0"/>
                    <w:ind w:left="0" w:leftChars="0" w:right="0" w:rightChars="0"/>
                    <w:jc w:val="center"/>
                    <w:rPr>
                      <w:rFonts w:hint="default" w:ascii="Times New Roman" w:hAnsi="Times New Roman" w:eastAsia="宋体" w:cs="Times New Roman"/>
                      <w:color w:val="000000" w:themeColor="text1"/>
                      <w:kern w:val="0"/>
                      <w:sz w:val="21"/>
                      <w:szCs w:val="21"/>
                      <w:u w:val="none" w:color="auto"/>
                      <w:lang w:val="en-US" w:eastAsia="zh-CN" w:bidi="ar-SA"/>
                      <w14:textFill>
                        <w14:solidFill>
                          <w14:schemeClr w14:val="tx1"/>
                        </w14:solidFill>
                      </w14:textFill>
                    </w:rPr>
                  </w:pPr>
                </w:p>
              </w:tc>
              <w:tc>
                <w:tcPr>
                  <w:tcW w:w="1572" w:type="pct"/>
                  <w:noWrap w:val="0"/>
                  <w:vAlign w:val="center"/>
                </w:tcPr>
                <w:p w14:paraId="21820092">
                  <w:pPr>
                    <w:keepNext w:val="0"/>
                    <w:keepLines w:val="0"/>
                    <w:pageBreakBefore w:val="0"/>
                    <w:widowControl w:val="0"/>
                    <w:suppressLineNumbers w:val="0"/>
                    <w:kinsoku/>
                    <w:wordWrap/>
                    <w:overflowPunct/>
                    <w:topLinePunct w:val="0"/>
                    <w:autoSpaceDE/>
                    <w:autoSpaceDN/>
                    <w:bidi w:val="0"/>
                    <w:spacing w:before="0" w:beforeAutospacing="0" w:after="0" w:afterAutospacing="0"/>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《河南省重污染天气重点行业应急减排措施制定技术指南》（202</w:t>
                  </w:r>
                  <w:r>
                    <w:rPr>
                      <w:rFonts w:hint="eastAsia" w:cs="Times New Roman"/>
                      <w:color w:val="000000" w:themeColor="text1"/>
                      <w:sz w:val="21"/>
                      <w:szCs w:val="21"/>
                      <w:highlight w:val="none"/>
                      <w:u w:val="none" w:color="auto"/>
                      <w:lang w:val="en-US" w:eastAsia="zh-CN"/>
                      <w14:textFill>
                        <w14:solidFill>
                          <w14:schemeClr w14:val="tx1"/>
                        </w14:solidFill>
                      </w14:textFill>
                    </w:rPr>
                    <w:t>4</w:t>
                  </w: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年修订版）</w:t>
                  </w:r>
                  <w:r>
                    <w:rPr>
                      <w:rFonts w:hint="eastAsia"/>
                      <w:b w:val="0"/>
                      <w:bCs/>
                      <w:color w:val="000000" w:themeColor="text1"/>
                      <w:sz w:val="21"/>
                      <w:szCs w:val="21"/>
                      <w:highlight w:val="none"/>
                      <w:u w:val="none" w:color="auto"/>
                      <w:lang w:val="en-US" w:eastAsia="zh-CN"/>
                      <w14:textFill>
                        <w14:solidFill>
                          <w14:schemeClr w14:val="tx1"/>
                        </w14:solidFill>
                      </w14:textFill>
                    </w:rPr>
                    <w:t>涉锅炉/炉窑企业绩效分级</w:t>
                  </w: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排放限值</w:t>
                  </w:r>
                  <w:r>
                    <w:rPr>
                      <w:rFonts w:hint="eastAsia" w:cs="Times New Roman"/>
                      <w:color w:val="000000" w:themeColor="text1"/>
                      <w:sz w:val="21"/>
                      <w:szCs w:val="21"/>
                      <w:highlight w:val="none"/>
                      <w:u w:val="none" w:color="auto"/>
                      <w:lang w:val="en-US" w:eastAsia="zh-CN"/>
                      <w14:textFill>
                        <w14:solidFill>
                          <w14:schemeClr w14:val="tx1"/>
                        </w14:solidFill>
                      </w14:textFill>
                    </w:rPr>
                    <w:t>及</w:t>
                  </w:r>
                  <w:r>
                    <w:rPr>
                      <w:rFonts w:hint="eastAsia" w:ascii="Times New Roman" w:hAnsi="Times New Roman" w:eastAsia="宋体" w:cs="Times New Roman"/>
                      <w:b w:val="0"/>
                      <w:bCs/>
                      <w:sz w:val="21"/>
                      <w:szCs w:val="21"/>
                      <w:highlight w:val="none"/>
                      <w:u w:val="none" w:color="auto"/>
                      <w:lang w:val="en-US" w:eastAsia="zh-CN"/>
                    </w:rPr>
                    <w:t>涉PM企业</w:t>
                  </w:r>
                </w:p>
              </w:tc>
              <w:tc>
                <w:tcPr>
                  <w:tcW w:w="565" w:type="pct"/>
                  <w:noWrap w:val="0"/>
                  <w:vAlign w:val="center"/>
                </w:tcPr>
                <w:p w14:paraId="218330AC">
                  <w:pPr>
                    <w:keepNext w:val="0"/>
                    <w:keepLines w:val="0"/>
                    <w:pageBreakBefore w:val="0"/>
                    <w:widowControl w:val="0"/>
                    <w:suppressLineNumbers w:val="0"/>
                    <w:kinsoku/>
                    <w:wordWrap/>
                    <w:overflowPunct/>
                    <w:topLinePunct w:val="0"/>
                    <w:autoSpaceDE/>
                    <w:autoSpaceDN/>
                    <w:bidi w:val="0"/>
                    <w:spacing w:before="0" w:beforeAutospacing="0" w:after="0" w:afterAutospacing="0"/>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10</w:t>
                  </w:r>
                </w:p>
              </w:tc>
            </w:tr>
            <w:tr w14:paraId="3121D1A2">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48" w:type="pct"/>
                  <w:vMerge w:val="continue"/>
                  <w:noWrap w:val="0"/>
                  <w:vAlign w:val="center"/>
                </w:tcPr>
                <w:p w14:paraId="1AC11F49">
                  <w:pPr>
                    <w:keepNext w:val="0"/>
                    <w:keepLines w:val="0"/>
                    <w:pageBreakBefore w:val="0"/>
                    <w:widowControl w:val="0"/>
                    <w:suppressLineNumbers w:val="0"/>
                    <w:kinsoku/>
                    <w:wordWrap/>
                    <w:overflowPunct/>
                    <w:topLinePunct w:val="0"/>
                    <w:autoSpaceDE/>
                    <w:autoSpaceDN/>
                    <w:bidi w:val="0"/>
                    <w:spacing w:before="0" w:beforeAutospacing="0" w:after="0" w:afterAutospacing="0"/>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687" w:type="pct"/>
                  <w:vMerge w:val="continue"/>
                  <w:noWrap w:val="0"/>
                  <w:vAlign w:val="center"/>
                </w:tcPr>
                <w:p w14:paraId="2E2D20D2">
                  <w:pPr>
                    <w:keepNext w:val="0"/>
                    <w:keepLines w:val="0"/>
                    <w:pageBreakBefore w:val="0"/>
                    <w:widowControl w:val="0"/>
                    <w:suppressLineNumbers w:val="0"/>
                    <w:kinsoku/>
                    <w:wordWrap/>
                    <w:overflowPunct/>
                    <w:topLinePunct w:val="0"/>
                    <w:autoSpaceDE/>
                    <w:autoSpaceDN/>
                    <w:bidi w:val="0"/>
                    <w:spacing w:before="0" w:beforeAutospacing="0" w:after="0" w:afterAutospacing="0"/>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379" w:type="pct"/>
                  <w:vMerge w:val="restart"/>
                  <w:shd w:val="clear" w:color="auto" w:fill="auto"/>
                  <w:noWrap w:val="0"/>
                  <w:vAlign w:val="center"/>
                </w:tcPr>
                <w:p w14:paraId="1ED3A9C8">
                  <w:pPr>
                    <w:keepNext w:val="0"/>
                    <w:keepLines w:val="0"/>
                    <w:suppressLineNumbers w:val="0"/>
                    <w:spacing w:before="0" w:beforeAutospacing="0" w:after="0" w:afterAutospacing="0" w:line="240" w:lineRule="atLeast"/>
                    <w:ind w:left="0" w:leftChars="0" w:right="0" w:rightChars="0"/>
                    <w:jc w:val="center"/>
                    <w:rPr>
                      <w:rFonts w:hint="default" w:ascii="Times New Roman" w:hAnsi="Times New Roman" w:eastAsia="宋体" w:cs="Times New Roman"/>
                      <w:b w:val="0"/>
                      <w:bCs w:val="0"/>
                      <w:color w:val="000000" w:themeColor="text1"/>
                      <w:kern w:val="2"/>
                      <w:sz w:val="21"/>
                      <w:szCs w:val="21"/>
                      <w:u w:val="none" w:color="auto"/>
                      <w:lang w:val="en-US" w:eastAsia="zh-CN" w:bidi="ar-SA"/>
                      <w14:textFill>
                        <w14:solidFill>
                          <w14:schemeClr w14:val="tx1"/>
                        </w14:solidFill>
                      </w14:textFill>
                    </w:rPr>
                  </w:pPr>
                  <w:r>
                    <w:rPr>
                      <w:rFonts w:hint="eastAsia" w:hAnsi="宋体"/>
                      <w:b w:val="0"/>
                      <w:bCs w:val="0"/>
                      <w:color w:val="000000" w:themeColor="text1"/>
                      <w:sz w:val="21"/>
                      <w:szCs w:val="21"/>
                      <w:u w:val="none" w:color="auto"/>
                      <w14:textFill>
                        <w14:solidFill>
                          <w14:schemeClr w14:val="tx1"/>
                        </w14:solidFill>
                      </w14:textFill>
                    </w:rPr>
                    <w:t>SO</w:t>
                  </w:r>
                  <w:r>
                    <w:rPr>
                      <w:rFonts w:hint="eastAsia" w:hAnsi="宋体"/>
                      <w:b w:val="0"/>
                      <w:bCs w:val="0"/>
                      <w:color w:val="000000" w:themeColor="text1"/>
                      <w:sz w:val="21"/>
                      <w:szCs w:val="21"/>
                      <w:u w:val="none" w:color="auto"/>
                      <w:vertAlign w:val="subscript"/>
                      <w14:textFill>
                        <w14:solidFill>
                          <w14:schemeClr w14:val="tx1"/>
                        </w14:solidFill>
                      </w14:textFill>
                    </w:rPr>
                    <w:t>2</w:t>
                  </w:r>
                </w:p>
              </w:tc>
              <w:tc>
                <w:tcPr>
                  <w:tcW w:w="446" w:type="pct"/>
                  <w:vMerge w:val="restart"/>
                  <w:shd w:val="clear" w:color="auto" w:fill="auto"/>
                  <w:noWrap w:val="0"/>
                  <w:vAlign w:val="center"/>
                </w:tcPr>
                <w:p w14:paraId="6B95641E">
                  <w:pPr>
                    <w:keepNext w:val="0"/>
                    <w:keepLines w:val="0"/>
                    <w:widowControl/>
                    <w:suppressLineNumbers w:val="0"/>
                    <w:jc w:val="center"/>
                    <w:textAlignment w:val="center"/>
                    <w:rPr>
                      <w:rFonts w:hint="default" w:ascii="Times New Roman" w:hAnsi="Times New Roman" w:eastAsia="宋体" w:cs="Times New Roman"/>
                      <w:color w:val="000000" w:themeColor="text1"/>
                      <w:kern w:val="0"/>
                      <w:sz w:val="21"/>
                      <w:szCs w:val="21"/>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1.419</w:t>
                  </w:r>
                </w:p>
              </w:tc>
              <w:tc>
                <w:tcPr>
                  <w:tcW w:w="516" w:type="pct"/>
                  <w:vMerge w:val="restart"/>
                  <w:shd w:val="clear" w:color="auto" w:fill="auto"/>
                  <w:noWrap w:val="0"/>
                  <w:vAlign w:val="center"/>
                </w:tcPr>
                <w:p w14:paraId="533B6EE9">
                  <w:pPr>
                    <w:keepNext w:val="0"/>
                    <w:keepLines w:val="0"/>
                    <w:widowControl/>
                    <w:suppressLineNumbers w:val="0"/>
                    <w:jc w:val="center"/>
                    <w:textAlignment w:val="center"/>
                    <w:rPr>
                      <w:rFonts w:hint="default" w:ascii="Times New Roman" w:hAnsi="Times New Roman" w:eastAsia="宋体" w:cs="Times New Roman"/>
                      <w:color w:val="000000" w:themeColor="text1"/>
                      <w:kern w:val="0"/>
                      <w:sz w:val="21"/>
                      <w:szCs w:val="21"/>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0.200</w:t>
                  </w:r>
                </w:p>
              </w:tc>
              <w:tc>
                <w:tcPr>
                  <w:tcW w:w="584" w:type="pct"/>
                  <w:vMerge w:val="restart"/>
                  <w:shd w:val="clear" w:color="auto" w:fill="auto"/>
                  <w:noWrap w:val="0"/>
                  <w:vAlign w:val="center"/>
                </w:tcPr>
                <w:p w14:paraId="4CE042E2">
                  <w:pPr>
                    <w:keepNext w:val="0"/>
                    <w:keepLines w:val="0"/>
                    <w:widowControl/>
                    <w:suppressLineNumbers w:val="0"/>
                    <w:jc w:val="center"/>
                    <w:textAlignment w:val="center"/>
                    <w:rPr>
                      <w:rFonts w:hint="default" w:ascii="Times New Roman" w:hAnsi="Times New Roman" w:eastAsia="宋体" w:cs="Times New Roman"/>
                      <w:color w:val="000000" w:themeColor="text1"/>
                      <w:kern w:val="0"/>
                      <w:sz w:val="21"/>
                      <w:szCs w:val="21"/>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9.980</w:t>
                  </w:r>
                </w:p>
              </w:tc>
              <w:tc>
                <w:tcPr>
                  <w:tcW w:w="1572" w:type="pct"/>
                  <w:shd w:val="clear" w:color="auto" w:fill="auto"/>
                  <w:noWrap w:val="0"/>
                  <w:vAlign w:val="center"/>
                </w:tcPr>
                <w:p w14:paraId="259B20C5">
                  <w:pPr>
                    <w:keepNext w:val="0"/>
                    <w:keepLines w:val="0"/>
                    <w:pageBreakBefore w:val="0"/>
                    <w:widowControl w:val="0"/>
                    <w:suppressLineNumbers w:val="0"/>
                    <w:kinsoku/>
                    <w:wordWrap/>
                    <w:overflowPunct/>
                    <w:topLinePunct w:val="0"/>
                    <w:autoSpaceDE/>
                    <w:autoSpaceDN/>
                    <w:bidi w:val="0"/>
                    <w:spacing w:before="0" w:beforeAutospacing="0" w:after="0" w:afterAutospacing="0"/>
                    <w:ind w:left="0" w:leftChars="0" w:right="0" w:rightChars="0"/>
                    <w:jc w:val="center"/>
                    <w:textAlignment w:val="auto"/>
                    <w:outlineLvl w:val="9"/>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eastAsia"/>
                      <w:b w:val="0"/>
                      <w:bCs/>
                      <w:color w:val="000000" w:themeColor="text1"/>
                      <w:sz w:val="21"/>
                      <w:szCs w:val="21"/>
                      <w:highlight w:val="none"/>
                      <w:u w:val="none" w:color="auto"/>
                      <w:lang w:val="en-US" w:eastAsia="zh-CN"/>
                      <w14:textFill>
                        <w14:solidFill>
                          <w14:schemeClr w14:val="tx1"/>
                        </w14:solidFill>
                      </w14:textFill>
                    </w:rPr>
                    <w:t>《河南省工业炉窑大气污染物排放标准》(DB41/1066-2020)排放限值</w:t>
                  </w:r>
                </w:p>
              </w:tc>
              <w:tc>
                <w:tcPr>
                  <w:tcW w:w="565" w:type="pct"/>
                  <w:noWrap w:val="0"/>
                  <w:vAlign w:val="center"/>
                </w:tcPr>
                <w:p w14:paraId="36A3FE03">
                  <w:pPr>
                    <w:keepNext w:val="0"/>
                    <w:keepLines w:val="0"/>
                    <w:pageBreakBefore w:val="0"/>
                    <w:widowControl w:val="0"/>
                    <w:suppressLineNumbers w:val="0"/>
                    <w:kinsoku/>
                    <w:wordWrap/>
                    <w:overflowPunct/>
                    <w:topLinePunct w:val="0"/>
                    <w:autoSpaceDE/>
                    <w:autoSpaceDN/>
                    <w:bidi w:val="0"/>
                    <w:spacing w:before="0" w:beforeAutospacing="0" w:after="0" w:afterAutospacing="0"/>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eastAsia" w:cs="Times New Roman"/>
                      <w:color w:val="000000" w:themeColor="text1"/>
                      <w:sz w:val="21"/>
                      <w:szCs w:val="21"/>
                      <w:highlight w:val="none"/>
                      <w:u w:val="none" w:color="auto"/>
                      <w:lang w:val="en-US" w:eastAsia="zh-CN"/>
                      <w14:textFill>
                        <w14:solidFill>
                          <w14:schemeClr w14:val="tx1"/>
                        </w14:solidFill>
                      </w14:textFill>
                    </w:rPr>
                    <w:t>200</w:t>
                  </w:r>
                </w:p>
              </w:tc>
            </w:tr>
            <w:tr w14:paraId="4646C197">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48" w:type="pct"/>
                  <w:vMerge w:val="continue"/>
                  <w:noWrap w:val="0"/>
                  <w:vAlign w:val="center"/>
                </w:tcPr>
                <w:p w14:paraId="0B9D56E9">
                  <w:pPr>
                    <w:keepNext w:val="0"/>
                    <w:keepLines w:val="0"/>
                    <w:pageBreakBefore w:val="0"/>
                    <w:widowControl w:val="0"/>
                    <w:suppressLineNumbers w:val="0"/>
                    <w:kinsoku/>
                    <w:wordWrap/>
                    <w:overflowPunct/>
                    <w:topLinePunct w:val="0"/>
                    <w:autoSpaceDE/>
                    <w:autoSpaceDN/>
                    <w:bidi w:val="0"/>
                    <w:spacing w:before="0" w:beforeAutospacing="0" w:after="0" w:afterAutospacing="0"/>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687" w:type="pct"/>
                  <w:vMerge w:val="continue"/>
                  <w:noWrap w:val="0"/>
                  <w:vAlign w:val="center"/>
                </w:tcPr>
                <w:p w14:paraId="2BADE76A">
                  <w:pPr>
                    <w:keepNext w:val="0"/>
                    <w:keepLines w:val="0"/>
                    <w:pageBreakBefore w:val="0"/>
                    <w:widowControl w:val="0"/>
                    <w:suppressLineNumbers w:val="0"/>
                    <w:kinsoku/>
                    <w:wordWrap/>
                    <w:overflowPunct/>
                    <w:topLinePunct w:val="0"/>
                    <w:autoSpaceDE/>
                    <w:autoSpaceDN/>
                    <w:bidi w:val="0"/>
                    <w:spacing w:before="0" w:beforeAutospacing="0" w:after="0" w:afterAutospacing="0"/>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379" w:type="pct"/>
                  <w:vMerge w:val="continue"/>
                  <w:shd w:val="clear" w:color="auto" w:fill="auto"/>
                  <w:noWrap w:val="0"/>
                  <w:vAlign w:val="center"/>
                </w:tcPr>
                <w:p w14:paraId="3519284C">
                  <w:pPr>
                    <w:keepNext w:val="0"/>
                    <w:keepLines w:val="0"/>
                    <w:suppressLineNumbers w:val="0"/>
                    <w:spacing w:before="0" w:beforeAutospacing="0" w:after="0" w:afterAutospacing="0" w:line="240" w:lineRule="atLeast"/>
                    <w:ind w:left="0" w:leftChars="0" w:right="0" w:rightChars="0"/>
                    <w:jc w:val="center"/>
                    <w:rPr>
                      <w:rFonts w:hint="eastAsia" w:hAnsi="宋体"/>
                      <w:b w:val="0"/>
                      <w:bCs w:val="0"/>
                      <w:color w:val="000000" w:themeColor="text1"/>
                      <w:sz w:val="21"/>
                      <w:szCs w:val="21"/>
                      <w:u w:val="none" w:color="auto"/>
                      <w14:textFill>
                        <w14:solidFill>
                          <w14:schemeClr w14:val="tx1"/>
                        </w14:solidFill>
                      </w14:textFill>
                    </w:rPr>
                  </w:pPr>
                </w:p>
              </w:tc>
              <w:tc>
                <w:tcPr>
                  <w:tcW w:w="446" w:type="pct"/>
                  <w:vMerge w:val="continue"/>
                  <w:shd w:val="clear" w:color="auto" w:fill="auto"/>
                  <w:noWrap w:val="0"/>
                  <w:vAlign w:val="center"/>
                </w:tcPr>
                <w:p w14:paraId="6334299A">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eastAsia" w:cs="Times New Roman"/>
                      <w:color w:val="000000" w:themeColor="text1"/>
                      <w:sz w:val="21"/>
                      <w:szCs w:val="21"/>
                      <w:highlight w:val="none"/>
                      <w:u w:val="none" w:color="auto"/>
                      <w:lang w:val="en-US" w:eastAsia="zh-CN"/>
                      <w14:textFill>
                        <w14:solidFill>
                          <w14:schemeClr w14:val="tx1"/>
                        </w14:solidFill>
                      </w14:textFill>
                    </w:rPr>
                  </w:pPr>
                </w:p>
              </w:tc>
              <w:tc>
                <w:tcPr>
                  <w:tcW w:w="516" w:type="pct"/>
                  <w:vMerge w:val="continue"/>
                  <w:shd w:val="clear" w:color="auto" w:fill="auto"/>
                  <w:noWrap w:val="0"/>
                  <w:vAlign w:val="center"/>
                </w:tcPr>
                <w:p w14:paraId="033DB9BF">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eastAsia" w:cs="Times New Roman"/>
                      <w:color w:val="000000" w:themeColor="text1"/>
                      <w:sz w:val="21"/>
                      <w:szCs w:val="21"/>
                      <w:highlight w:val="none"/>
                      <w:u w:val="none" w:color="auto"/>
                      <w:lang w:val="en-US" w:eastAsia="zh-CN"/>
                      <w14:textFill>
                        <w14:solidFill>
                          <w14:schemeClr w14:val="tx1"/>
                        </w14:solidFill>
                      </w14:textFill>
                    </w:rPr>
                  </w:pPr>
                </w:p>
              </w:tc>
              <w:tc>
                <w:tcPr>
                  <w:tcW w:w="584" w:type="pct"/>
                  <w:vMerge w:val="continue"/>
                  <w:shd w:val="clear" w:color="auto" w:fill="auto"/>
                  <w:noWrap w:val="0"/>
                  <w:vAlign w:val="center"/>
                </w:tcPr>
                <w:p w14:paraId="4B7293FF">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eastAsia" w:cs="Times New Roman"/>
                      <w:color w:val="000000" w:themeColor="text1"/>
                      <w:sz w:val="21"/>
                      <w:szCs w:val="21"/>
                      <w:highlight w:val="none"/>
                      <w:u w:val="none" w:color="auto"/>
                      <w:lang w:val="en-US" w:eastAsia="zh-CN"/>
                      <w14:textFill>
                        <w14:solidFill>
                          <w14:schemeClr w14:val="tx1"/>
                        </w14:solidFill>
                      </w14:textFill>
                    </w:rPr>
                  </w:pPr>
                </w:p>
              </w:tc>
              <w:tc>
                <w:tcPr>
                  <w:tcW w:w="1572" w:type="pct"/>
                  <w:shd w:val="clear" w:color="auto" w:fill="auto"/>
                  <w:noWrap w:val="0"/>
                  <w:vAlign w:val="center"/>
                </w:tcPr>
                <w:p w14:paraId="68D88CA6">
                  <w:pPr>
                    <w:keepNext w:val="0"/>
                    <w:keepLines w:val="0"/>
                    <w:pageBreakBefore w:val="0"/>
                    <w:widowControl w:val="0"/>
                    <w:suppressLineNumbers w:val="0"/>
                    <w:kinsoku/>
                    <w:wordWrap/>
                    <w:overflowPunct/>
                    <w:topLinePunct w:val="0"/>
                    <w:autoSpaceDE/>
                    <w:autoSpaceDN/>
                    <w:bidi w:val="0"/>
                    <w:spacing w:before="0" w:beforeAutospacing="0" w:after="0" w:afterAutospacing="0"/>
                    <w:ind w:left="0" w:leftChars="0" w:right="0" w:rightChars="0"/>
                    <w:jc w:val="center"/>
                    <w:textAlignment w:val="auto"/>
                    <w:outlineLvl w:val="9"/>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《河南省重污染天气重点行业应急减排措施制定技术指南》（202</w:t>
                  </w:r>
                  <w:r>
                    <w:rPr>
                      <w:rFonts w:hint="eastAsia" w:cs="Times New Roman"/>
                      <w:color w:val="000000" w:themeColor="text1"/>
                      <w:sz w:val="21"/>
                      <w:szCs w:val="21"/>
                      <w:highlight w:val="none"/>
                      <w:u w:val="none" w:color="auto"/>
                      <w:lang w:val="en-US" w:eastAsia="zh-CN"/>
                      <w14:textFill>
                        <w14:solidFill>
                          <w14:schemeClr w14:val="tx1"/>
                        </w14:solidFill>
                      </w14:textFill>
                    </w:rPr>
                    <w:t>4</w:t>
                  </w: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年修订版）</w:t>
                  </w:r>
                  <w:r>
                    <w:rPr>
                      <w:rFonts w:hint="eastAsia"/>
                      <w:b w:val="0"/>
                      <w:bCs/>
                      <w:color w:val="000000" w:themeColor="text1"/>
                      <w:sz w:val="21"/>
                      <w:szCs w:val="21"/>
                      <w:highlight w:val="none"/>
                      <w:u w:val="none" w:color="auto"/>
                      <w:lang w:val="en-US" w:eastAsia="zh-CN"/>
                      <w14:textFill>
                        <w14:solidFill>
                          <w14:schemeClr w14:val="tx1"/>
                        </w14:solidFill>
                      </w14:textFill>
                    </w:rPr>
                    <w:t>涉锅炉/炉窑企业绩效分级</w:t>
                  </w: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排放限值</w:t>
                  </w:r>
                </w:p>
              </w:tc>
              <w:tc>
                <w:tcPr>
                  <w:tcW w:w="565" w:type="pct"/>
                  <w:noWrap w:val="0"/>
                  <w:vAlign w:val="center"/>
                </w:tcPr>
                <w:p w14:paraId="72246736">
                  <w:pPr>
                    <w:keepNext w:val="0"/>
                    <w:keepLines w:val="0"/>
                    <w:pageBreakBefore w:val="0"/>
                    <w:widowControl w:val="0"/>
                    <w:suppressLineNumbers w:val="0"/>
                    <w:kinsoku/>
                    <w:wordWrap/>
                    <w:overflowPunct/>
                    <w:topLinePunct w:val="0"/>
                    <w:autoSpaceDE/>
                    <w:autoSpaceDN/>
                    <w:bidi w:val="0"/>
                    <w:spacing w:before="0" w:beforeAutospacing="0" w:after="0" w:afterAutospacing="0"/>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eastAsia" w:cs="Times New Roman"/>
                      <w:color w:val="000000" w:themeColor="text1"/>
                      <w:sz w:val="21"/>
                      <w:szCs w:val="21"/>
                      <w:highlight w:val="none"/>
                      <w:u w:val="none" w:color="auto"/>
                      <w:lang w:val="en-US" w:eastAsia="zh-CN"/>
                      <w14:textFill>
                        <w14:solidFill>
                          <w14:schemeClr w14:val="tx1"/>
                        </w14:solidFill>
                      </w14:textFill>
                    </w:rPr>
                    <w:t>35</w:t>
                  </w:r>
                </w:p>
              </w:tc>
            </w:tr>
            <w:tr w14:paraId="6EB88F41">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48" w:type="pct"/>
                  <w:vMerge w:val="continue"/>
                  <w:noWrap w:val="0"/>
                  <w:vAlign w:val="center"/>
                </w:tcPr>
                <w:p w14:paraId="2820F71E">
                  <w:pPr>
                    <w:keepNext w:val="0"/>
                    <w:keepLines w:val="0"/>
                    <w:pageBreakBefore w:val="0"/>
                    <w:widowControl w:val="0"/>
                    <w:suppressLineNumbers w:val="0"/>
                    <w:kinsoku/>
                    <w:wordWrap/>
                    <w:overflowPunct/>
                    <w:topLinePunct w:val="0"/>
                    <w:autoSpaceDE/>
                    <w:autoSpaceDN/>
                    <w:bidi w:val="0"/>
                    <w:spacing w:before="0" w:beforeAutospacing="0" w:after="0" w:afterAutospacing="0"/>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687" w:type="pct"/>
                  <w:vMerge w:val="continue"/>
                  <w:noWrap w:val="0"/>
                  <w:vAlign w:val="center"/>
                </w:tcPr>
                <w:p w14:paraId="71359EE2">
                  <w:pPr>
                    <w:keepNext w:val="0"/>
                    <w:keepLines w:val="0"/>
                    <w:pageBreakBefore w:val="0"/>
                    <w:widowControl w:val="0"/>
                    <w:suppressLineNumbers w:val="0"/>
                    <w:kinsoku/>
                    <w:wordWrap/>
                    <w:overflowPunct/>
                    <w:topLinePunct w:val="0"/>
                    <w:autoSpaceDE/>
                    <w:autoSpaceDN/>
                    <w:bidi w:val="0"/>
                    <w:spacing w:before="0" w:beforeAutospacing="0" w:after="0" w:afterAutospacing="0"/>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379" w:type="pct"/>
                  <w:vMerge w:val="restart"/>
                  <w:shd w:val="clear" w:color="auto" w:fill="auto"/>
                  <w:noWrap w:val="0"/>
                  <w:vAlign w:val="center"/>
                </w:tcPr>
                <w:p w14:paraId="67A9EB60">
                  <w:pPr>
                    <w:keepNext w:val="0"/>
                    <w:keepLines w:val="0"/>
                    <w:suppressLineNumbers w:val="0"/>
                    <w:spacing w:before="0" w:beforeAutospacing="0" w:after="0" w:afterAutospacing="0" w:line="240" w:lineRule="atLeast"/>
                    <w:ind w:left="0" w:leftChars="0" w:right="0" w:rightChars="0"/>
                    <w:jc w:val="center"/>
                    <w:rPr>
                      <w:rFonts w:hint="default" w:ascii="Times New Roman" w:hAnsi="Times New Roman" w:eastAsia="宋体" w:cs="Times New Roman"/>
                      <w:b w:val="0"/>
                      <w:bCs w:val="0"/>
                      <w:color w:val="000000" w:themeColor="text1"/>
                      <w:kern w:val="2"/>
                      <w:sz w:val="21"/>
                      <w:szCs w:val="21"/>
                      <w:u w:val="none" w:color="auto"/>
                      <w:lang w:val="en-US" w:eastAsia="zh-CN" w:bidi="ar-SA"/>
                      <w14:textFill>
                        <w14:solidFill>
                          <w14:schemeClr w14:val="tx1"/>
                        </w14:solidFill>
                      </w14:textFill>
                    </w:rPr>
                  </w:pPr>
                  <w:r>
                    <w:rPr>
                      <w:rFonts w:hint="eastAsia" w:hAnsi="宋体"/>
                      <w:b w:val="0"/>
                      <w:bCs w:val="0"/>
                      <w:color w:val="000000" w:themeColor="text1"/>
                      <w:sz w:val="21"/>
                      <w:szCs w:val="21"/>
                      <w:u w:val="none" w:color="auto"/>
                      <w14:textFill>
                        <w14:solidFill>
                          <w14:schemeClr w14:val="tx1"/>
                        </w14:solidFill>
                      </w14:textFill>
                    </w:rPr>
                    <w:t>NOx</w:t>
                  </w:r>
                </w:p>
              </w:tc>
              <w:tc>
                <w:tcPr>
                  <w:tcW w:w="446" w:type="pct"/>
                  <w:vMerge w:val="restart"/>
                  <w:shd w:val="clear" w:color="auto" w:fill="auto"/>
                  <w:noWrap w:val="0"/>
                  <w:vAlign w:val="center"/>
                </w:tcPr>
                <w:p w14:paraId="1E5E03C3">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5.362</w:t>
                  </w:r>
                </w:p>
              </w:tc>
              <w:tc>
                <w:tcPr>
                  <w:tcW w:w="516" w:type="pct"/>
                  <w:vMerge w:val="restart"/>
                  <w:shd w:val="clear" w:color="auto" w:fill="auto"/>
                  <w:noWrap w:val="0"/>
                  <w:vAlign w:val="center"/>
                </w:tcPr>
                <w:p w14:paraId="0D964FF4">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0.908</w:t>
                  </w:r>
                </w:p>
              </w:tc>
              <w:tc>
                <w:tcPr>
                  <w:tcW w:w="584" w:type="pct"/>
                  <w:vMerge w:val="restart"/>
                  <w:shd w:val="clear" w:color="auto" w:fill="auto"/>
                  <w:noWrap w:val="0"/>
                  <w:vAlign w:val="center"/>
                </w:tcPr>
                <w:p w14:paraId="7D13AF3B">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45.400</w:t>
                  </w:r>
                </w:p>
              </w:tc>
              <w:tc>
                <w:tcPr>
                  <w:tcW w:w="1572" w:type="pct"/>
                  <w:shd w:val="clear" w:color="auto" w:fill="auto"/>
                  <w:noWrap w:val="0"/>
                  <w:vAlign w:val="center"/>
                </w:tcPr>
                <w:p w14:paraId="12076D5C">
                  <w:pPr>
                    <w:keepNext w:val="0"/>
                    <w:keepLines w:val="0"/>
                    <w:pageBreakBefore w:val="0"/>
                    <w:widowControl w:val="0"/>
                    <w:suppressLineNumbers w:val="0"/>
                    <w:kinsoku/>
                    <w:wordWrap/>
                    <w:overflowPunct/>
                    <w:topLinePunct w:val="0"/>
                    <w:autoSpaceDE/>
                    <w:autoSpaceDN/>
                    <w:bidi w:val="0"/>
                    <w:spacing w:before="0" w:beforeAutospacing="0" w:after="0" w:afterAutospacing="0"/>
                    <w:ind w:left="0" w:leftChars="0" w:right="0" w:rightChars="0"/>
                    <w:jc w:val="center"/>
                    <w:textAlignment w:val="auto"/>
                    <w:outlineLvl w:val="9"/>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eastAsia"/>
                      <w:b w:val="0"/>
                      <w:bCs/>
                      <w:color w:val="000000" w:themeColor="text1"/>
                      <w:sz w:val="21"/>
                      <w:szCs w:val="21"/>
                      <w:highlight w:val="none"/>
                      <w:u w:val="none" w:color="auto"/>
                      <w:lang w:val="en-US" w:eastAsia="zh-CN"/>
                      <w14:textFill>
                        <w14:solidFill>
                          <w14:schemeClr w14:val="tx1"/>
                        </w14:solidFill>
                      </w14:textFill>
                    </w:rPr>
                    <w:t>《河南省工业炉窑大气污染物排放标准》(DB41/1066-2020)排放限值</w:t>
                  </w:r>
                </w:p>
              </w:tc>
              <w:tc>
                <w:tcPr>
                  <w:tcW w:w="565" w:type="pct"/>
                  <w:noWrap w:val="0"/>
                  <w:vAlign w:val="center"/>
                </w:tcPr>
                <w:p w14:paraId="0865CF68">
                  <w:pPr>
                    <w:keepNext w:val="0"/>
                    <w:keepLines w:val="0"/>
                    <w:pageBreakBefore w:val="0"/>
                    <w:widowControl w:val="0"/>
                    <w:suppressLineNumbers w:val="0"/>
                    <w:kinsoku/>
                    <w:wordWrap/>
                    <w:overflowPunct/>
                    <w:topLinePunct w:val="0"/>
                    <w:autoSpaceDE/>
                    <w:autoSpaceDN/>
                    <w:bidi w:val="0"/>
                    <w:spacing w:before="0" w:beforeAutospacing="0" w:after="0" w:afterAutospacing="0"/>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eastAsia" w:cs="Times New Roman"/>
                      <w:color w:val="000000" w:themeColor="text1"/>
                      <w:sz w:val="21"/>
                      <w:szCs w:val="21"/>
                      <w:highlight w:val="none"/>
                      <w:u w:val="none" w:color="auto"/>
                      <w:lang w:val="en-US" w:eastAsia="zh-CN"/>
                      <w14:textFill>
                        <w14:solidFill>
                          <w14:schemeClr w14:val="tx1"/>
                        </w14:solidFill>
                      </w14:textFill>
                    </w:rPr>
                    <w:t>300</w:t>
                  </w:r>
                </w:p>
              </w:tc>
            </w:tr>
            <w:tr w14:paraId="09113E61">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48" w:type="pct"/>
                  <w:vMerge w:val="continue"/>
                  <w:noWrap w:val="0"/>
                  <w:vAlign w:val="center"/>
                </w:tcPr>
                <w:p w14:paraId="54D2F94D">
                  <w:pPr>
                    <w:keepNext w:val="0"/>
                    <w:keepLines w:val="0"/>
                    <w:pageBreakBefore w:val="0"/>
                    <w:widowControl w:val="0"/>
                    <w:suppressLineNumbers w:val="0"/>
                    <w:kinsoku/>
                    <w:wordWrap/>
                    <w:overflowPunct/>
                    <w:topLinePunct w:val="0"/>
                    <w:autoSpaceDE/>
                    <w:autoSpaceDN/>
                    <w:bidi w:val="0"/>
                    <w:spacing w:before="0" w:beforeAutospacing="0" w:after="0" w:afterAutospacing="0"/>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687" w:type="pct"/>
                  <w:vMerge w:val="continue"/>
                  <w:noWrap w:val="0"/>
                  <w:vAlign w:val="center"/>
                </w:tcPr>
                <w:p w14:paraId="6767E4CB">
                  <w:pPr>
                    <w:keepNext w:val="0"/>
                    <w:keepLines w:val="0"/>
                    <w:pageBreakBefore w:val="0"/>
                    <w:widowControl w:val="0"/>
                    <w:suppressLineNumbers w:val="0"/>
                    <w:kinsoku/>
                    <w:wordWrap/>
                    <w:overflowPunct/>
                    <w:topLinePunct w:val="0"/>
                    <w:autoSpaceDE/>
                    <w:autoSpaceDN/>
                    <w:bidi w:val="0"/>
                    <w:spacing w:before="0" w:beforeAutospacing="0" w:after="0" w:afterAutospacing="0"/>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379" w:type="pct"/>
                  <w:vMerge w:val="continue"/>
                  <w:noWrap w:val="0"/>
                  <w:vAlign w:val="center"/>
                </w:tcPr>
                <w:p w14:paraId="2230239B">
                  <w:pPr>
                    <w:keepNext w:val="0"/>
                    <w:keepLines w:val="0"/>
                    <w:pageBreakBefore w:val="0"/>
                    <w:widowControl w:val="0"/>
                    <w:suppressLineNumbers w:val="0"/>
                    <w:kinsoku/>
                    <w:wordWrap/>
                    <w:overflowPunct/>
                    <w:topLinePunct w:val="0"/>
                    <w:autoSpaceDE/>
                    <w:autoSpaceDN/>
                    <w:bidi w:val="0"/>
                    <w:spacing w:before="0" w:beforeAutospacing="0" w:after="0" w:afterAutospacing="0"/>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446" w:type="pct"/>
                  <w:vMerge w:val="continue"/>
                  <w:noWrap w:val="0"/>
                  <w:vAlign w:val="center"/>
                </w:tcPr>
                <w:p w14:paraId="12809DB5">
                  <w:pPr>
                    <w:keepNext w:val="0"/>
                    <w:keepLines w:val="0"/>
                    <w:pageBreakBefore w:val="0"/>
                    <w:widowControl w:val="0"/>
                    <w:suppressLineNumbers w:val="0"/>
                    <w:kinsoku/>
                    <w:wordWrap/>
                    <w:overflowPunct/>
                    <w:topLinePunct w:val="0"/>
                    <w:autoSpaceDE/>
                    <w:autoSpaceDN/>
                    <w:bidi w:val="0"/>
                    <w:spacing w:before="0" w:beforeAutospacing="0" w:after="0" w:afterAutospacing="0"/>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516" w:type="pct"/>
                  <w:vMerge w:val="continue"/>
                  <w:noWrap w:val="0"/>
                  <w:vAlign w:val="center"/>
                </w:tcPr>
                <w:p w14:paraId="29B22D48">
                  <w:pPr>
                    <w:keepNext w:val="0"/>
                    <w:keepLines w:val="0"/>
                    <w:pageBreakBefore w:val="0"/>
                    <w:widowControl w:val="0"/>
                    <w:suppressLineNumbers w:val="0"/>
                    <w:kinsoku/>
                    <w:wordWrap/>
                    <w:overflowPunct/>
                    <w:topLinePunct w:val="0"/>
                    <w:autoSpaceDE/>
                    <w:autoSpaceDN/>
                    <w:bidi w:val="0"/>
                    <w:spacing w:before="0" w:beforeAutospacing="0" w:after="0" w:afterAutospacing="0"/>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584" w:type="pct"/>
                  <w:vMerge w:val="continue"/>
                  <w:noWrap w:val="0"/>
                  <w:vAlign w:val="center"/>
                </w:tcPr>
                <w:p w14:paraId="1EE8C070">
                  <w:pPr>
                    <w:keepNext w:val="0"/>
                    <w:keepLines w:val="0"/>
                    <w:pageBreakBefore w:val="0"/>
                    <w:widowControl w:val="0"/>
                    <w:suppressLineNumbers w:val="0"/>
                    <w:kinsoku/>
                    <w:wordWrap/>
                    <w:overflowPunct/>
                    <w:topLinePunct w:val="0"/>
                    <w:autoSpaceDE/>
                    <w:autoSpaceDN/>
                    <w:bidi w:val="0"/>
                    <w:spacing w:before="0" w:beforeAutospacing="0" w:after="0" w:afterAutospacing="0"/>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1572" w:type="pct"/>
                  <w:shd w:val="clear" w:color="auto" w:fill="auto"/>
                  <w:noWrap w:val="0"/>
                  <w:vAlign w:val="center"/>
                </w:tcPr>
                <w:p w14:paraId="6860CA16">
                  <w:pPr>
                    <w:keepNext w:val="0"/>
                    <w:keepLines w:val="0"/>
                    <w:pageBreakBefore w:val="0"/>
                    <w:widowControl w:val="0"/>
                    <w:suppressLineNumbers w:val="0"/>
                    <w:kinsoku/>
                    <w:wordWrap/>
                    <w:overflowPunct/>
                    <w:topLinePunct w:val="0"/>
                    <w:autoSpaceDE/>
                    <w:autoSpaceDN/>
                    <w:bidi w:val="0"/>
                    <w:spacing w:before="0" w:beforeAutospacing="0" w:after="0" w:afterAutospacing="0"/>
                    <w:ind w:left="0" w:leftChars="0" w:right="0" w:rightChars="0"/>
                    <w:jc w:val="center"/>
                    <w:textAlignment w:val="auto"/>
                    <w:outlineLvl w:val="9"/>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《河南省重污染天气重点行业应急减排措施制定技术指南》（202</w:t>
                  </w:r>
                  <w:r>
                    <w:rPr>
                      <w:rFonts w:hint="eastAsia" w:cs="Times New Roman"/>
                      <w:color w:val="000000" w:themeColor="text1"/>
                      <w:sz w:val="21"/>
                      <w:szCs w:val="21"/>
                      <w:highlight w:val="none"/>
                      <w:u w:val="none" w:color="auto"/>
                      <w:lang w:val="en-US" w:eastAsia="zh-CN"/>
                      <w14:textFill>
                        <w14:solidFill>
                          <w14:schemeClr w14:val="tx1"/>
                        </w14:solidFill>
                      </w14:textFill>
                    </w:rPr>
                    <w:t>4</w:t>
                  </w: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年修订版）</w:t>
                  </w:r>
                  <w:r>
                    <w:rPr>
                      <w:rFonts w:hint="eastAsia"/>
                      <w:b w:val="0"/>
                      <w:bCs/>
                      <w:color w:val="000000" w:themeColor="text1"/>
                      <w:sz w:val="21"/>
                      <w:szCs w:val="21"/>
                      <w:highlight w:val="none"/>
                      <w:u w:val="none" w:color="auto"/>
                      <w:lang w:val="en-US" w:eastAsia="zh-CN"/>
                      <w14:textFill>
                        <w14:solidFill>
                          <w14:schemeClr w14:val="tx1"/>
                        </w14:solidFill>
                      </w14:textFill>
                    </w:rPr>
                    <w:t>涉锅炉/炉窑企业绩效分级</w:t>
                  </w: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排放限值</w:t>
                  </w:r>
                </w:p>
              </w:tc>
              <w:tc>
                <w:tcPr>
                  <w:tcW w:w="565" w:type="pct"/>
                  <w:noWrap w:val="0"/>
                  <w:vAlign w:val="center"/>
                </w:tcPr>
                <w:p w14:paraId="65A4DAE1">
                  <w:pPr>
                    <w:keepNext w:val="0"/>
                    <w:keepLines w:val="0"/>
                    <w:pageBreakBefore w:val="0"/>
                    <w:widowControl w:val="0"/>
                    <w:suppressLineNumbers w:val="0"/>
                    <w:kinsoku/>
                    <w:wordWrap/>
                    <w:overflowPunct/>
                    <w:topLinePunct w:val="0"/>
                    <w:autoSpaceDE/>
                    <w:autoSpaceDN/>
                    <w:bidi w:val="0"/>
                    <w:spacing w:before="0" w:beforeAutospacing="0" w:after="0" w:afterAutospacing="0"/>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eastAsia" w:cs="Times New Roman"/>
                      <w:color w:val="000000" w:themeColor="text1"/>
                      <w:sz w:val="21"/>
                      <w:szCs w:val="21"/>
                      <w:highlight w:val="none"/>
                      <w:u w:val="none" w:color="auto"/>
                      <w:lang w:val="en-US" w:eastAsia="zh-CN"/>
                      <w14:textFill>
                        <w14:solidFill>
                          <w14:schemeClr w14:val="tx1"/>
                        </w14:solidFill>
                      </w14:textFill>
                    </w:rPr>
                    <w:t>50</w:t>
                  </w:r>
                </w:p>
              </w:tc>
            </w:tr>
            <w:tr w14:paraId="63B6C33B">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48" w:type="pct"/>
                  <w:vMerge w:val="restart"/>
                  <w:noWrap w:val="0"/>
                  <w:vAlign w:val="center"/>
                </w:tcPr>
                <w:p w14:paraId="28503FEF">
                  <w:pPr>
                    <w:pStyle w:val="56"/>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2</w:t>
                  </w:r>
                </w:p>
              </w:tc>
              <w:tc>
                <w:tcPr>
                  <w:tcW w:w="687" w:type="pct"/>
                  <w:vMerge w:val="restart"/>
                  <w:noWrap w:val="0"/>
                  <w:vAlign w:val="center"/>
                </w:tcPr>
                <w:p w14:paraId="233B7D5F">
                  <w:pPr>
                    <w:keepNext w:val="0"/>
                    <w:keepLines w:val="0"/>
                    <w:pageBreakBefore w:val="0"/>
                    <w:widowControl/>
                    <w:suppressLineNumbers w:val="0"/>
                    <w:kinsoku/>
                    <w:wordWrap/>
                    <w:overflowPunct/>
                    <w:topLinePunct w:val="0"/>
                    <w:autoSpaceDE/>
                    <w:autoSpaceDN/>
                    <w:bidi w:val="0"/>
                    <w:spacing w:before="0" w:beforeAutospacing="0" w:after="0" w:afterAutospacing="0"/>
                    <w:ind w:left="0" w:leftChars="0" w:right="0" w:rightChars="0"/>
                    <w:jc w:val="center"/>
                    <w:textAlignment w:val="center"/>
                    <w:outlineLvl w:val="9"/>
                    <w:rPr>
                      <w:rFonts w:hint="default" w:ascii="Times New Roman" w:hAnsi="Times New Roman" w:eastAsia="宋体" w:cs="Times New Roman"/>
                      <w:color w:val="000000" w:themeColor="text1"/>
                      <w:sz w:val="21"/>
                      <w:szCs w:val="21"/>
                      <w:highlight w:val="none"/>
                      <w:u w:val="none" w:color="auto"/>
                      <w:lang w:val="en-US"/>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color="auto"/>
                      <w:lang w:val="en-US" w:eastAsia="zh-CN" w:bidi="ar"/>
                      <w14:textFill>
                        <w14:solidFill>
                          <w14:schemeClr w14:val="tx1"/>
                        </w14:solidFill>
                      </w14:textFill>
                    </w:rPr>
                    <w:t>DA00</w:t>
                  </w:r>
                  <w:r>
                    <w:rPr>
                      <w:rFonts w:hint="eastAsia" w:ascii="Times New Roman" w:hAnsi="Times New Roman" w:eastAsia="宋体" w:cs="Times New Roman"/>
                      <w:i w:val="0"/>
                      <w:iCs w:val="0"/>
                      <w:color w:val="000000" w:themeColor="text1"/>
                      <w:kern w:val="0"/>
                      <w:sz w:val="21"/>
                      <w:szCs w:val="21"/>
                      <w:highlight w:val="none"/>
                      <w:u w:val="none" w:color="auto"/>
                      <w:lang w:val="en-US" w:eastAsia="zh-CN" w:bidi="ar"/>
                      <w14:textFill>
                        <w14:solidFill>
                          <w14:schemeClr w14:val="tx1"/>
                        </w14:solidFill>
                      </w14:textFill>
                    </w:rPr>
                    <w:t>3</w:t>
                  </w:r>
                </w:p>
              </w:tc>
              <w:tc>
                <w:tcPr>
                  <w:tcW w:w="379" w:type="pct"/>
                  <w:vMerge w:val="restart"/>
                  <w:noWrap w:val="0"/>
                  <w:vAlign w:val="center"/>
                </w:tcPr>
                <w:p w14:paraId="2DE0D5DB">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颗粒物</w:t>
                  </w:r>
                </w:p>
              </w:tc>
              <w:tc>
                <w:tcPr>
                  <w:tcW w:w="446" w:type="pct"/>
                  <w:vMerge w:val="restart"/>
                  <w:noWrap w:val="0"/>
                  <w:vAlign w:val="center"/>
                </w:tcPr>
                <w:p w14:paraId="7224F624">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0.004</w:t>
                  </w:r>
                </w:p>
              </w:tc>
              <w:tc>
                <w:tcPr>
                  <w:tcW w:w="516" w:type="pct"/>
                  <w:vMerge w:val="restart"/>
                  <w:noWrap w:val="0"/>
                  <w:vAlign w:val="center"/>
                </w:tcPr>
                <w:p w14:paraId="4C5316B3">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0.001</w:t>
                  </w:r>
                </w:p>
              </w:tc>
              <w:tc>
                <w:tcPr>
                  <w:tcW w:w="584" w:type="pct"/>
                  <w:vMerge w:val="restart"/>
                  <w:noWrap w:val="0"/>
                  <w:vAlign w:val="center"/>
                </w:tcPr>
                <w:p w14:paraId="6DFC3411">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1.149</w:t>
                  </w:r>
                </w:p>
              </w:tc>
              <w:tc>
                <w:tcPr>
                  <w:tcW w:w="1572" w:type="pct"/>
                  <w:shd w:val="clear" w:color="auto" w:fill="auto"/>
                  <w:noWrap w:val="0"/>
                  <w:vAlign w:val="center"/>
                </w:tcPr>
                <w:p w14:paraId="56680D12">
                  <w:pPr>
                    <w:keepNext w:val="0"/>
                    <w:keepLines w:val="0"/>
                    <w:pageBreakBefore w:val="0"/>
                    <w:widowControl w:val="0"/>
                    <w:suppressLineNumbers w:val="0"/>
                    <w:kinsoku/>
                    <w:wordWrap/>
                    <w:overflowPunct/>
                    <w:topLinePunct w:val="0"/>
                    <w:autoSpaceDE/>
                    <w:autoSpaceDN/>
                    <w:bidi w:val="0"/>
                    <w:spacing w:before="0" w:beforeAutospacing="0" w:after="0" w:afterAutospacing="0"/>
                    <w:ind w:left="0" w:leftChars="0" w:right="0" w:rightChars="0"/>
                    <w:jc w:val="center"/>
                    <w:textAlignment w:val="auto"/>
                    <w:outlineLvl w:val="9"/>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《大气污染物综合排放标准》（GB16297-1996）表2中二级标准</w:t>
                  </w:r>
                </w:p>
              </w:tc>
              <w:tc>
                <w:tcPr>
                  <w:tcW w:w="565" w:type="pct"/>
                  <w:noWrap w:val="0"/>
                  <w:vAlign w:val="center"/>
                </w:tcPr>
                <w:p w14:paraId="314A6A58">
                  <w:pPr>
                    <w:keepNext w:val="0"/>
                    <w:keepLines w:val="0"/>
                    <w:pageBreakBefore w:val="0"/>
                    <w:widowControl w:val="0"/>
                    <w:suppressLineNumbers w:val="0"/>
                    <w:kinsoku/>
                    <w:wordWrap/>
                    <w:overflowPunct/>
                    <w:topLinePunct w:val="0"/>
                    <w:autoSpaceDE/>
                    <w:autoSpaceDN/>
                    <w:bidi w:val="0"/>
                    <w:spacing w:before="0" w:beforeAutospacing="0" w:after="0" w:afterAutospacing="0"/>
                    <w:ind w:left="0" w:leftChars="0" w:right="0" w:rightChars="0"/>
                    <w:jc w:val="center"/>
                    <w:textAlignment w:val="auto"/>
                    <w:outlineLvl w:val="9"/>
                    <w:rPr>
                      <w:rFonts w:hint="eastAsia"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120</w:t>
                  </w:r>
                </w:p>
              </w:tc>
            </w:tr>
            <w:tr w14:paraId="681EE435">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48" w:type="pct"/>
                  <w:vMerge w:val="continue"/>
                  <w:noWrap w:val="0"/>
                  <w:vAlign w:val="center"/>
                </w:tcPr>
                <w:p w14:paraId="56816E08">
                  <w:pPr>
                    <w:keepNext w:val="0"/>
                    <w:keepLines w:val="0"/>
                    <w:pageBreakBefore w:val="0"/>
                    <w:widowControl w:val="0"/>
                    <w:suppressLineNumbers w:val="0"/>
                    <w:kinsoku/>
                    <w:wordWrap/>
                    <w:overflowPunct/>
                    <w:topLinePunct w:val="0"/>
                    <w:autoSpaceDE/>
                    <w:autoSpaceDN/>
                    <w:bidi w:val="0"/>
                    <w:spacing w:before="0" w:beforeAutospacing="0" w:after="0" w:afterAutospacing="0"/>
                    <w:ind w:left="0" w:leftChars="0" w:right="0" w:rightChars="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687" w:type="pct"/>
                  <w:vMerge w:val="continue"/>
                  <w:noWrap w:val="0"/>
                  <w:vAlign w:val="center"/>
                </w:tcPr>
                <w:p w14:paraId="137E5F6F">
                  <w:pPr>
                    <w:keepNext w:val="0"/>
                    <w:keepLines w:val="0"/>
                    <w:pageBreakBefore w:val="0"/>
                    <w:widowControl w:val="0"/>
                    <w:suppressLineNumbers w:val="0"/>
                    <w:kinsoku/>
                    <w:wordWrap/>
                    <w:overflowPunct/>
                    <w:topLinePunct w:val="0"/>
                    <w:autoSpaceDE/>
                    <w:autoSpaceDN/>
                    <w:bidi w:val="0"/>
                    <w:spacing w:before="0" w:beforeAutospacing="0" w:after="0" w:afterAutospacing="0"/>
                    <w:ind w:left="0" w:leftChars="0" w:right="0" w:rightChars="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379" w:type="pct"/>
                  <w:vMerge w:val="continue"/>
                  <w:noWrap w:val="0"/>
                  <w:vAlign w:val="center"/>
                </w:tcPr>
                <w:p w14:paraId="34C2F913">
                  <w:pPr>
                    <w:keepNext w:val="0"/>
                    <w:keepLines w:val="0"/>
                    <w:pageBreakBefore w:val="0"/>
                    <w:widowControl w:val="0"/>
                    <w:suppressLineNumbers w:val="0"/>
                    <w:kinsoku/>
                    <w:wordWrap/>
                    <w:overflowPunct/>
                    <w:topLinePunct w:val="0"/>
                    <w:autoSpaceDE/>
                    <w:autoSpaceDN/>
                    <w:bidi w:val="0"/>
                    <w:spacing w:before="0" w:beforeAutospacing="0" w:after="0" w:afterAutospacing="0"/>
                    <w:ind w:left="0" w:leftChars="0" w:right="0" w:rightChars="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446" w:type="pct"/>
                  <w:vMerge w:val="continue"/>
                  <w:noWrap w:val="0"/>
                  <w:vAlign w:val="center"/>
                </w:tcPr>
                <w:p w14:paraId="50AEDC42">
                  <w:pPr>
                    <w:keepNext w:val="0"/>
                    <w:keepLines w:val="0"/>
                    <w:pageBreakBefore w:val="0"/>
                    <w:widowControl w:val="0"/>
                    <w:suppressLineNumbers w:val="0"/>
                    <w:kinsoku/>
                    <w:wordWrap/>
                    <w:overflowPunct/>
                    <w:topLinePunct w:val="0"/>
                    <w:autoSpaceDE/>
                    <w:autoSpaceDN/>
                    <w:bidi w:val="0"/>
                    <w:spacing w:before="0" w:beforeAutospacing="0" w:after="0" w:afterAutospacing="0"/>
                    <w:ind w:left="0" w:leftChars="0" w:right="0" w:rightChars="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516" w:type="pct"/>
                  <w:vMerge w:val="continue"/>
                  <w:noWrap w:val="0"/>
                  <w:vAlign w:val="center"/>
                </w:tcPr>
                <w:p w14:paraId="2EE809AA">
                  <w:pPr>
                    <w:keepNext w:val="0"/>
                    <w:keepLines w:val="0"/>
                    <w:pageBreakBefore w:val="0"/>
                    <w:widowControl w:val="0"/>
                    <w:suppressLineNumbers w:val="0"/>
                    <w:kinsoku/>
                    <w:wordWrap/>
                    <w:overflowPunct/>
                    <w:topLinePunct w:val="0"/>
                    <w:autoSpaceDE/>
                    <w:autoSpaceDN/>
                    <w:bidi w:val="0"/>
                    <w:spacing w:before="0" w:beforeAutospacing="0" w:after="0" w:afterAutospacing="0"/>
                    <w:ind w:left="0" w:leftChars="0" w:right="0" w:rightChars="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584" w:type="pct"/>
                  <w:vMerge w:val="continue"/>
                  <w:noWrap w:val="0"/>
                  <w:vAlign w:val="center"/>
                </w:tcPr>
                <w:p w14:paraId="000E498B">
                  <w:pPr>
                    <w:keepNext w:val="0"/>
                    <w:keepLines w:val="0"/>
                    <w:pageBreakBefore w:val="0"/>
                    <w:widowControl w:val="0"/>
                    <w:suppressLineNumbers w:val="0"/>
                    <w:kinsoku/>
                    <w:wordWrap/>
                    <w:overflowPunct/>
                    <w:topLinePunct w:val="0"/>
                    <w:autoSpaceDE/>
                    <w:autoSpaceDN/>
                    <w:bidi w:val="0"/>
                    <w:spacing w:before="0" w:beforeAutospacing="0" w:after="0" w:afterAutospacing="0"/>
                    <w:ind w:left="0" w:leftChars="0" w:right="0" w:rightChars="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1572" w:type="pct"/>
                  <w:shd w:val="clear" w:color="auto" w:fill="auto"/>
                  <w:noWrap w:val="0"/>
                  <w:vAlign w:val="center"/>
                </w:tcPr>
                <w:p w14:paraId="377008D7">
                  <w:pPr>
                    <w:keepNext w:val="0"/>
                    <w:keepLines w:val="0"/>
                    <w:pageBreakBefore w:val="0"/>
                    <w:widowControl w:val="0"/>
                    <w:suppressLineNumbers w:val="0"/>
                    <w:kinsoku/>
                    <w:wordWrap/>
                    <w:overflowPunct/>
                    <w:topLinePunct w:val="0"/>
                    <w:autoSpaceDE/>
                    <w:autoSpaceDN/>
                    <w:bidi w:val="0"/>
                    <w:spacing w:before="0" w:beforeAutospacing="0" w:after="0" w:afterAutospacing="0"/>
                    <w:ind w:left="0" w:leftChars="0" w:right="0" w:rightChars="0"/>
                    <w:jc w:val="center"/>
                    <w:textAlignment w:val="auto"/>
                    <w:outlineLvl w:val="9"/>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《河南省重污染天气重点行业应急减排措施制定技术指南》（202</w:t>
                  </w:r>
                  <w:r>
                    <w:rPr>
                      <w:rFonts w:hint="eastAsia" w:cs="Times New Roman"/>
                      <w:color w:val="000000" w:themeColor="text1"/>
                      <w:sz w:val="21"/>
                      <w:szCs w:val="21"/>
                      <w:highlight w:val="none"/>
                      <w:u w:val="none" w:color="auto"/>
                      <w:lang w:val="en-US" w:eastAsia="zh-CN"/>
                      <w14:textFill>
                        <w14:solidFill>
                          <w14:schemeClr w14:val="tx1"/>
                        </w14:solidFill>
                      </w14:textFill>
                    </w:rPr>
                    <w:t>4</w:t>
                  </w: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年修订版）</w:t>
                  </w:r>
                  <w:r>
                    <w:rPr>
                      <w:rFonts w:hint="eastAsia"/>
                      <w:b w:val="0"/>
                      <w:bCs w:val="0"/>
                      <w:color w:val="000000" w:themeColor="text1"/>
                      <w:sz w:val="21"/>
                      <w:szCs w:val="21"/>
                      <w:u w:val="none" w:color="auto"/>
                      <w:lang w:val="en-US" w:eastAsia="zh-CN"/>
                      <w14:textFill>
                        <w14:solidFill>
                          <w14:schemeClr w14:val="tx1"/>
                        </w14:solidFill>
                      </w14:textFill>
                    </w:rPr>
                    <w:t>通用</w:t>
                  </w:r>
                  <w:r>
                    <w:rPr>
                      <w:rFonts w:hint="default"/>
                      <w:b w:val="0"/>
                      <w:bCs w:val="0"/>
                      <w:color w:val="000000" w:themeColor="text1"/>
                      <w:sz w:val="21"/>
                      <w:szCs w:val="21"/>
                      <w:u w:val="none" w:color="auto"/>
                      <w14:textFill>
                        <w14:solidFill>
                          <w14:schemeClr w14:val="tx1"/>
                        </w14:solidFill>
                      </w14:textFill>
                    </w:rPr>
                    <w:t>涉</w:t>
                  </w:r>
                  <w:r>
                    <w:rPr>
                      <w:rFonts w:hint="eastAsia"/>
                      <w:b w:val="0"/>
                      <w:bCs w:val="0"/>
                      <w:color w:val="000000" w:themeColor="text1"/>
                      <w:sz w:val="21"/>
                      <w:szCs w:val="21"/>
                      <w:u w:val="none" w:color="auto"/>
                      <w:lang w:val="en-US" w:eastAsia="zh-CN"/>
                      <w14:textFill>
                        <w14:solidFill>
                          <w14:schemeClr w14:val="tx1"/>
                        </w14:solidFill>
                      </w14:textFill>
                    </w:rPr>
                    <w:t>PM</w:t>
                  </w:r>
                  <w:r>
                    <w:rPr>
                      <w:rFonts w:hint="default"/>
                      <w:b w:val="0"/>
                      <w:bCs w:val="0"/>
                      <w:color w:val="000000" w:themeColor="text1"/>
                      <w:sz w:val="21"/>
                      <w:szCs w:val="21"/>
                      <w:u w:val="none" w:color="auto"/>
                      <w14:textFill>
                        <w14:solidFill>
                          <w14:schemeClr w14:val="tx1"/>
                        </w14:solidFill>
                      </w14:textFill>
                    </w:rPr>
                    <w:t>企业</w:t>
                  </w: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排放限值</w:t>
                  </w:r>
                </w:p>
              </w:tc>
              <w:tc>
                <w:tcPr>
                  <w:tcW w:w="565" w:type="pct"/>
                  <w:noWrap w:val="0"/>
                  <w:vAlign w:val="center"/>
                </w:tcPr>
                <w:p w14:paraId="718B4F7D">
                  <w:pPr>
                    <w:keepNext w:val="0"/>
                    <w:keepLines w:val="0"/>
                    <w:pageBreakBefore w:val="0"/>
                    <w:widowControl w:val="0"/>
                    <w:suppressLineNumbers w:val="0"/>
                    <w:kinsoku/>
                    <w:wordWrap/>
                    <w:overflowPunct/>
                    <w:topLinePunct w:val="0"/>
                    <w:autoSpaceDE/>
                    <w:autoSpaceDN/>
                    <w:bidi w:val="0"/>
                    <w:spacing w:before="0" w:beforeAutospacing="0" w:after="0" w:afterAutospacing="0"/>
                    <w:ind w:left="0" w:leftChars="0" w:right="0" w:rightChars="0"/>
                    <w:jc w:val="center"/>
                    <w:textAlignment w:val="auto"/>
                    <w:outlineLvl w:val="9"/>
                    <w:rPr>
                      <w:rFonts w:hint="eastAsia"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10</w:t>
                  </w:r>
                </w:p>
              </w:tc>
            </w:tr>
            <w:tr w14:paraId="120D5A29">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36" w:type="pct"/>
                  <w:gridSpan w:val="2"/>
                  <w:vMerge w:val="restart"/>
                  <w:tcBorders>
                    <w:right w:val="single" w:color="auto" w:sz="6" w:space="0"/>
                  </w:tcBorders>
                  <w:noWrap w:val="0"/>
                  <w:vAlign w:val="center"/>
                </w:tcPr>
                <w:p w14:paraId="6D831A90">
                  <w:pPr>
                    <w:pStyle w:val="56"/>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有组织排放合计</w:t>
                  </w:r>
                </w:p>
              </w:tc>
              <w:tc>
                <w:tcPr>
                  <w:tcW w:w="1342" w:type="pct"/>
                  <w:gridSpan w:val="3"/>
                  <w:tcBorders>
                    <w:left w:val="single" w:color="auto" w:sz="6" w:space="0"/>
                  </w:tcBorders>
                  <w:noWrap w:val="0"/>
                  <w:vAlign w:val="center"/>
                </w:tcPr>
                <w:p w14:paraId="1A5D4642">
                  <w:pPr>
                    <w:pStyle w:val="56"/>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color w:val="000000" w:themeColor="text1"/>
                      <w:sz w:val="21"/>
                      <w:szCs w:val="21"/>
                      <w:highlight w:val="none"/>
                      <w:u w:val="none" w:color="auto"/>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颗粒物</w:t>
                  </w:r>
                </w:p>
              </w:tc>
              <w:tc>
                <w:tcPr>
                  <w:tcW w:w="2721" w:type="pct"/>
                  <w:gridSpan w:val="3"/>
                  <w:shd w:val="clear" w:color="auto" w:fill="auto"/>
                  <w:noWrap w:val="0"/>
                  <w:vAlign w:val="center"/>
                </w:tcPr>
                <w:p w14:paraId="1E06A1B8">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0.653</w:t>
                  </w:r>
                </w:p>
              </w:tc>
            </w:tr>
            <w:tr w14:paraId="27D02764">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36" w:type="pct"/>
                  <w:gridSpan w:val="2"/>
                  <w:vMerge w:val="continue"/>
                  <w:tcBorders>
                    <w:right w:val="single" w:color="auto" w:sz="6" w:space="0"/>
                  </w:tcBorders>
                  <w:noWrap w:val="0"/>
                  <w:vAlign w:val="center"/>
                </w:tcPr>
                <w:p w14:paraId="44804BC8">
                  <w:pPr>
                    <w:pStyle w:val="56"/>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1342" w:type="pct"/>
                  <w:gridSpan w:val="3"/>
                  <w:tcBorders>
                    <w:left w:val="single" w:color="auto" w:sz="6" w:space="0"/>
                  </w:tcBorders>
                  <w:noWrap w:val="0"/>
                  <w:vAlign w:val="center"/>
                </w:tcPr>
                <w:p w14:paraId="03B6F75F">
                  <w:pPr>
                    <w:pStyle w:val="56"/>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eastAsia" w:hAnsi="宋体"/>
                      <w:b w:val="0"/>
                      <w:bCs w:val="0"/>
                      <w:color w:val="000000" w:themeColor="text1"/>
                      <w:sz w:val="21"/>
                      <w:szCs w:val="21"/>
                      <w:u w:val="none" w:color="auto"/>
                      <w14:textFill>
                        <w14:solidFill>
                          <w14:schemeClr w14:val="tx1"/>
                        </w14:solidFill>
                      </w14:textFill>
                    </w:rPr>
                    <w:t>SO</w:t>
                  </w:r>
                  <w:r>
                    <w:rPr>
                      <w:rFonts w:hint="eastAsia" w:hAnsi="宋体"/>
                      <w:b w:val="0"/>
                      <w:bCs w:val="0"/>
                      <w:color w:val="000000" w:themeColor="text1"/>
                      <w:sz w:val="21"/>
                      <w:szCs w:val="21"/>
                      <w:u w:val="none" w:color="auto"/>
                      <w:vertAlign w:val="subscript"/>
                      <w14:textFill>
                        <w14:solidFill>
                          <w14:schemeClr w14:val="tx1"/>
                        </w14:solidFill>
                      </w14:textFill>
                    </w:rPr>
                    <w:t>2</w:t>
                  </w:r>
                </w:p>
              </w:tc>
              <w:tc>
                <w:tcPr>
                  <w:tcW w:w="2721" w:type="pct"/>
                  <w:gridSpan w:val="3"/>
                  <w:noWrap w:val="0"/>
                  <w:vAlign w:val="center"/>
                </w:tcPr>
                <w:p w14:paraId="780E70A6">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1.419</w:t>
                  </w:r>
                </w:p>
              </w:tc>
            </w:tr>
            <w:tr w14:paraId="3EDFA12B">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36" w:type="pct"/>
                  <w:gridSpan w:val="2"/>
                  <w:vMerge w:val="continue"/>
                  <w:tcBorders>
                    <w:right w:val="single" w:color="auto" w:sz="6" w:space="0"/>
                  </w:tcBorders>
                  <w:noWrap w:val="0"/>
                  <w:vAlign w:val="center"/>
                </w:tcPr>
                <w:p w14:paraId="43937A70">
                  <w:pPr>
                    <w:pStyle w:val="56"/>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1342" w:type="pct"/>
                  <w:gridSpan w:val="3"/>
                  <w:tcBorders>
                    <w:left w:val="single" w:color="auto" w:sz="6" w:space="0"/>
                  </w:tcBorders>
                  <w:noWrap w:val="0"/>
                  <w:vAlign w:val="center"/>
                </w:tcPr>
                <w:p w14:paraId="3F322804">
                  <w:pPr>
                    <w:pStyle w:val="56"/>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eastAsia" w:hAnsi="宋体"/>
                      <w:b w:val="0"/>
                      <w:bCs w:val="0"/>
                      <w:color w:val="000000" w:themeColor="text1"/>
                      <w:sz w:val="21"/>
                      <w:szCs w:val="21"/>
                      <w:u w:val="none" w:color="auto"/>
                      <w14:textFill>
                        <w14:solidFill>
                          <w14:schemeClr w14:val="tx1"/>
                        </w14:solidFill>
                      </w14:textFill>
                    </w:rPr>
                    <w:t>NOx</w:t>
                  </w:r>
                </w:p>
              </w:tc>
              <w:tc>
                <w:tcPr>
                  <w:tcW w:w="2721" w:type="pct"/>
                  <w:gridSpan w:val="3"/>
                  <w:noWrap w:val="0"/>
                  <w:vAlign w:val="center"/>
                </w:tcPr>
                <w:p w14:paraId="0DD54FEA">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5.362</w:t>
                  </w:r>
                </w:p>
              </w:tc>
            </w:tr>
          </w:tbl>
          <w:p w14:paraId="43967921">
            <w:pPr>
              <w:keepNext w:val="0"/>
              <w:keepLines w:val="0"/>
              <w:pageBreakBefore w:val="0"/>
              <w:widowControl/>
              <w:suppressLineNumbers w:val="0"/>
              <w:kinsoku/>
              <w:wordWrap/>
              <w:overflowPunct/>
              <w:topLinePunct w:val="0"/>
              <w:autoSpaceDE/>
              <w:autoSpaceDN/>
              <w:bidi w:val="0"/>
              <w:adjustRightInd w:val="0"/>
              <w:snapToGrid w:val="0"/>
              <w:spacing w:beforeAutospacing="0" w:after="0" w:afterAutospacing="0" w:line="360" w:lineRule="auto"/>
              <w:ind w:left="0" w:right="0" w:firstLine="0"/>
              <w:jc w:val="center"/>
              <w:textAlignment w:val="auto"/>
              <w:rPr>
                <w:rFonts w:hint="default" w:ascii="Times New Roman" w:hAnsi="Times New Roman" w:eastAsia="宋体" w:cs="Times New Roman"/>
                <w:b/>
                <w:color w:val="000000" w:themeColor="text1"/>
                <w:kern w:val="2"/>
                <w:sz w:val="24"/>
                <w:szCs w:val="24"/>
                <w:highlight w:val="none"/>
                <w:u w:val="none" w:color="auto"/>
                <w:lang w:val="en-US" w:eastAsia="zh-CN" w:bidi="ar-SA"/>
                <w14:textFill>
                  <w14:solidFill>
                    <w14:schemeClr w14:val="tx1"/>
                  </w14:solidFill>
                </w14:textFill>
              </w:rPr>
            </w:pPr>
            <w:r>
              <w:rPr>
                <w:rFonts w:hint="default" w:ascii="Times New Roman" w:hAnsi="Times New Roman" w:eastAsia="宋体" w:cs="Times New Roman"/>
                <w:b/>
                <w:color w:val="000000" w:themeColor="text1"/>
                <w:kern w:val="2"/>
                <w:sz w:val="24"/>
                <w:szCs w:val="24"/>
                <w:highlight w:val="none"/>
                <w:u w:val="none" w:color="auto"/>
                <w:lang w:val="en-US" w:eastAsia="zh-CN" w:bidi="ar-SA"/>
                <w14:textFill>
                  <w14:solidFill>
                    <w14:schemeClr w14:val="tx1"/>
                  </w14:solidFill>
                </w14:textFill>
              </w:rPr>
              <w:t>表4-</w:t>
            </w:r>
            <w:r>
              <w:rPr>
                <w:rFonts w:hint="eastAsia" w:cs="Times New Roman"/>
                <w:b/>
                <w:color w:val="000000" w:themeColor="text1"/>
                <w:kern w:val="2"/>
                <w:sz w:val="24"/>
                <w:szCs w:val="24"/>
                <w:highlight w:val="none"/>
                <w:u w:val="none" w:color="auto"/>
                <w:lang w:val="en-US" w:eastAsia="zh-CN" w:bidi="ar-SA"/>
                <w14:textFill>
                  <w14:solidFill>
                    <w14:schemeClr w14:val="tx1"/>
                  </w14:solidFill>
                </w14:textFill>
              </w:rPr>
              <w:t>10</w:t>
            </w:r>
            <w:r>
              <w:rPr>
                <w:rFonts w:hint="default" w:ascii="Times New Roman" w:hAnsi="Times New Roman" w:eastAsia="宋体" w:cs="Times New Roman"/>
                <w:b/>
                <w:color w:val="000000" w:themeColor="text1"/>
                <w:kern w:val="2"/>
                <w:sz w:val="24"/>
                <w:szCs w:val="24"/>
                <w:highlight w:val="none"/>
                <w:u w:val="none" w:color="auto"/>
                <w:lang w:val="en-US" w:eastAsia="zh-CN" w:bidi="ar-SA"/>
                <w14:textFill>
                  <w14:solidFill>
                    <w14:schemeClr w14:val="tx1"/>
                  </w14:solidFill>
                </w14:textFill>
              </w:rPr>
              <w:t xml:space="preserve">   工程大气污染物无组织排放量核算表</w:t>
            </w:r>
          </w:p>
          <w:tbl>
            <w:tblPr>
              <w:tblStyle w:val="29"/>
              <w:tblW w:w="4989" w:type="pct"/>
              <w:jc w:val="center"/>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
            <w:tblGrid>
              <w:gridCol w:w="462"/>
              <w:gridCol w:w="791"/>
              <w:gridCol w:w="1851"/>
              <w:gridCol w:w="801"/>
              <w:gridCol w:w="1157"/>
              <w:gridCol w:w="2120"/>
              <w:gridCol w:w="1179"/>
              <w:gridCol w:w="985"/>
            </w:tblGrid>
            <w:tr w14:paraId="7FF7263C">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46" w:type="pct"/>
                  <w:vMerge w:val="restart"/>
                  <w:noWrap w:val="0"/>
                  <w:vAlign w:val="center"/>
                </w:tcPr>
                <w:p w14:paraId="196BAB7E">
                  <w:pPr>
                    <w:pStyle w:val="5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序号</w:t>
                  </w:r>
                </w:p>
              </w:tc>
              <w:tc>
                <w:tcPr>
                  <w:tcW w:w="423" w:type="pct"/>
                  <w:vMerge w:val="restart"/>
                  <w:noWrap w:val="0"/>
                  <w:vAlign w:val="center"/>
                </w:tcPr>
                <w:p w14:paraId="24A762F0">
                  <w:pPr>
                    <w:pStyle w:val="5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排放口编号</w:t>
                  </w:r>
                </w:p>
              </w:tc>
              <w:tc>
                <w:tcPr>
                  <w:tcW w:w="990" w:type="pct"/>
                  <w:vMerge w:val="restart"/>
                  <w:noWrap w:val="0"/>
                  <w:vAlign w:val="center"/>
                </w:tcPr>
                <w:p w14:paraId="6918E58A">
                  <w:pPr>
                    <w:pStyle w:val="5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产污环节</w:t>
                  </w:r>
                </w:p>
              </w:tc>
              <w:tc>
                <w:tcPr>
                  <w:tcW w:w="428" w:type="pct"/>
                  <w:vMerge w:val="restart"/>
                  <w:noWrap w:val="0"/>
                  <w:vAlign w:val="center"/>
                </w:tcPr>
                <w:p w14:paraId="092CA457">
                  <w:pPr>
                    <w:pStyle w:val="5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污染物</w:t>
                  </w:r>
                </w:p>
              </w:tc>
              <w:tc>
                <w:tcPr>
                  <w:tcW w:w="619" w:type="pct"/>
                  <w:vMerge w:val="restart"/>
                  <w:noWrap w:val="0"/>
                  <w:vAlign w:val="center"/>
                </w:tcPr>
                <w:p w14:paraId="0F32895F">
                  <w:pPr>
                    <w:pStyle w:val="5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主要污染防治措施</w:t>
                  </w:r>
                </w:p>
              </w:tc>
              <w:tc>
                <w:tcPr>
                  <w:tcW w:w="1764" w:type="pct"/>
                  <w:gridSpan w:val="2"/>
                  <w:noWrap w:val="0"/>
                  <w:vAlign w:val="center"/>
                </w:tcPr>
                <w:p w14:paraId="71B465B6">
                  <w:pPr>
                    <w:pStyle w:val="5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国家或地方标准</w:t>
                  </w:r>
                </w:p>
              </w:tc>
              <w:tc>
                <w:tcPr>
                  <w:tcW w:w="526" w:type="pct"/>
                  <w:vMerge w:val="restart"/>
                  <w:noWrap w:val="0"/>
                  <w:vAlign w:val="center"/>
                </w:tcPr>
                <w:p w14:paraId="6F60BE8B">
                  <w:pPr>
                    <w:pStyle w:val="5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年排放量t/a</w:t>
                  </w:r>
                </w:p>
              </w:tc>
            </w:tr>
            <w:tr w14:paraId="32822A65">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46" w:type="pct"/>
                  <w:vMerge w:val="continue"/>
                  <w:noWrap w:val="0"/>
                  <w:vAlign w:val="center"/>
                </w:tcPr>
                <w:p w14:paraId="274EEBDC">
                  <w:pPr>
                    <w:pStyle w:val="5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423" w:type="pct"/>
                  <w:vMerge w:val="continue"/>
                  <w:noWrap w:val="0"/>
                  <w:vAlign w:val="center"/>
                </w:tcPr>
                <w:p w14:paraId="06DCA14A">
                  <w:pPr>
                    <w:pStyle w:val="5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990" w:type="pct"/>
                  <w:vMerge w:val="continue"/>
                  <w:noWrap w:val="0"/>
                  <w:vAlign w:val="center"/>
                </w:tcPr>
                <w:p w14:paraId="3ABF7F8B">
                  <w:pPr>
                    <w:pStyle w:val="5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428" w:type="pct"/>
                  <w:vMerge w:val="continue"/>
                  <w:noWrap w:val="0"/>
                  <w:vAlign w:val="center"/>
                </w:tcPr>
                <w:p w14:paraId="640E3201">
                  <w:pPr>
                    <w:pStyle w:val="5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619" w:type="pct"/>
                  <w:vMerge w:val="continue"/>
                  <w:noWrap w:val="0"/>
                  <w:vAlign w:val="center"/>
                </w:tcPr>
                <w:p w14:paraId="2F22302D">
                  <w:pPr>
                    <w:pStyle w:val="5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1134" w:type="pct"/>
                  <w:noWrap w:val="0"/>
                  <w:vAlign w:val="center"/>
                </w:tcPr>
                <w:p w14:paraId="0D4F017E">
                  <w:pPr>
                    <w:pStyle w:val="5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标准名称</w:t>
                  </w:r>
                </w:p>
              </w:tc>
              <w:tc>
                <w:tcPr>
                  <w:tcW w:w="630" w:type="pct"/>
                  <w:noWrap w:val="0"/>
                  <w:vAlign w:val="center"/>
                </w:tcPr>
                <w:p w14:paraId="30853135">
                  <w:pPr>
                    <w:pStyle w:val="5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浓度限值mg/m</w:t>
                  </w:r>
                  <w:r>
                    <w:rPr>
                      <w:rFonts w:hint="default" w:ascii="Times New Roman" w:hAnsi="Times New Roman" w:eastAsia="宋体" w:cs="Times New Roman"/>
                      <w:color w:val="000000" w:themeColor="text1"/>
                      <w:sz w:val="21"/>
                      <w:szCs w:val="21"/>
                      <w:highlight w:val="none"/>
                      <w:u w:val="none" w:color="auto"/>
                      <w:vertAlign w:val="superscript"/>
                      <w14:textFill>
                        <w14:solidFill>
                          <w14:schemeClr w14:val="tx1"/>
                        </w14:solidFill>
                      </w14:textFill>
                    </w:rPr>
                    <w:t>3</w:t>
                  </w:r>
                </w:p>
              </w:tc>
              <w:tc>
                <w:tcPr>
                  <w:tcW w:w="526" w:type="pct"/>
                  <w:vMerge w:val="continue"/>
                  <w:noWrap w:val="0"/>
                  <w:vAlign w:val="center"/>
                </w:tcPr>
                <w:p w14:paraId="6853B0E1">
                  <w:pPr>
                    <w:pStyle w:val="5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r>
            <w:tr w14:paraId="02B97465">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46" w:type="pct"/>
                  <w:vMerge w:val="restart"/>
                  <w:noWrap w:val="0"/>
                  <w:vAlign w:val="center"/>
                </w:tcPr>
                <w:p w14:paraId="65F86211">
                  <w:pPr>
                    <w:pStyle w:val="5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1</w:t>
                  </w:r>
                </w:p>
              </w:tc>
              <w:tc>
                <w:tcPr>
                  <w:tcW w:w="423" w:type="pct"/>
                  <w:vMerge w:val="restart"/>
                  <w:noWrap w:val="0"/>
                  <w:vAlign w:val="center"/>
                </w:tcPr>
                <w:p w14:paraId="2529BF6C">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eastAsia" w:cs="Times New Roman"/>
                      <w:color w:val="000000" w:themeColor="text1"/>
                      <w:sz w:val="21"/>
                      <w:szCs w:val="21"/>
                      <w:highlight w:val="none"/>
                      <w:u w:val="none" w:color="auto"/>
                      <w:lang w:val="en-US" w:eastAsia="zh-CN"/>
                      <w14:textFill>
                        <w14:solidFill>
                          <w14:schemeClr w14:val="tx1"/>
                        </w14:solidFill>
                      </w14:textFill>
                    </w:rPr>
                    <w:t>机制炭生产线</w:t>
                  </w:r>
                </w:p>
              </w:tc>
              <w:tc>
                <w:tcPr>
                  <w:tcW w:w="990" w:type="pct"/>
                  <w:shd w:val="clear" w:color="auto" w:fill="auto"/>
                  <w:noWrap w:val="0"/>
                  <w:vAlign w:val="center"/>
                </w:tcPr>
                <w:p w14:paraId="265DAA89">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eastAsia" w:ascii="宋体" w:hAnsi="宋体" w:eastAsia="宋体" w:cs="宋体"/>
                      <w:color w:val="000000" w:themeColor="text1"/>
                      <w:kern w:val="0"/>
                      <w:sz w:val="21"/>
                      <w:szCs w:val="21"/>
                      <w:u w:val="none" w:color="auto"/>
                      <w:lang w:val="en-US" w:eastAsia="zh-CN" w:bidi="ar"/>
                      <w14:textFill>
                        <w14:solidFill>
                          <w14:schemeClr w14:val="tx1"/>
                        </w14:solidFill>
                      </w14:textFill>
                    </w:rPr>
                    <w:t>原料装卸</w:t>
                  </w:r>
                  <w:r>
                    <w:rPr>
                      <w:rFonts w:hint="eastAsia" w:ascii="宋体" w:hAnsi="宋体" w:cs="宋体"/>
                      <w:color w:val="000000" w:themeColor="text1"/>
                      <w:kern w:val="0"/>
                      <w:sz w:val="21"/>
                      <w:szCs w:val="21"/>
                      <w:u w:val="none" w:color="auto"/>
                      <w:lang w:val="en-US" w:eastAsia="zh-CN" w:bidi="ar"/>
                      <w14:textFill>
                        <w14:solidFill>
                          <w14:schemeClr w14:val="tx1"/>
                        </w14:solidFill>
                      </w14:textFill>
                    </w:rPr>
                    <w:t>转运过程废气</w:t>
                  </w:r>
                </w:p>
              </w:tc>
              <w:tc>
                <w:tcPr>
                  <w:tcW w:w="428" w:type="pct"/>
                  <w:shd w:val="clear" w:color="auto" w:fill="auto"/>
                  <w:noWrap w:val="0"/>
                  <w:vAlign w:val="center"/>
                </w:tcPr>
                <w:p w14:paraId="1DDA44FE">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eastAsia" w:cs="Times New Roman"/>
                      <w:color w:val="000000" w:themeColor="text1"/>
                      <w:sz w:val="21"/>
                      <w:szCs w:val="21"/>
                      <w:highlight w:val="none"/>
                      <w:u w:val="none" w:color="auto"/>
                      <w:lang w:val="en-US" w:eastAsia="zh-CN"/>
                      <w14:textFill>
                        <w14:solidFill>
                          <w14:schemeClr w14:val="tx1"/>
                        </w14:solidFill>
                      </w14:textFill>
                    </w:rPr>
                    <w:t>颗粒物</w:t>
                  </w:r>
                </w:p>
              </w:tc>
              <w:tc>
                <w:tcPr>
                  <w:tcW w:w="619" w:type="pct"/>
                  <w:vMerge w:val="restart"/>
                  <w:tcBorders>
                    <w:top w:val="single" w:color="auto" w:sz="4" w:space="0"/>
                  </w:tcBorders>
                  <w:noWrap w:val="0"/>
                  <w:vAlign w:val="center"/>
                </w:tcPr>
                <w:p w14:paraId="3895D0F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bCs/>
                      <w:color w:val="000000" w:themeColor="text1"/>
                      <w:sz w:val="21"/>
                      <w:szCs w:val="21"/>
                      <w:highlight w:val="none"/>
                      <w:u w:val="none" w:color="auto"/>
                      <w:lang w:val="en-GB"/>
                      <w14:textFill>
                        <w14:solidFill>
                          <w14:schemeClr w14:val="tx1"/>
                        </w14:solidFill>
                      </w14:textFill>
                    </w:rPr>
                  </w:pPr>
                  <w:r>
                    <w:rPr>
                      <w:rFonts w:hint="eastAsia" w:cs="Times New Roman"/>
                      <w:color w:val="000000" w:themeColor="text1"/>
                      <w:sz w:val="21"/>
                      <w:szCs w:val="21"/>
                      <w:highlight w:val="none"/>
                      <w:u w:val="none" w:color="auto"/>
                      <w:lang w:val="en-US" w:eastAsia="zh-CN"/>
                      <w14:textFill>
                        <w14:solidFill>
                          <w14:schemeClr w14:val="tx1"/>
                        </w14:solidFill>
                      </w14:textFill>
                    </w:rPr>
                    <w:t>厂房</w:t>
                  </w: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封闭</w:t>
                  </w:r>
                </w:p>
              </w:tc>
              <w:tc>
                <w:tcPr>
                  <w:tcW w:w="1134" w:type="pct"/>
                  <w:vMerge w:val="restart"/>
                  <w:noWrap w:val="0"/>
                  <w:vAlign w:val="center"/>
                </w:tcPr>
                <w:p w14:paraId="1F95771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《大气污染物综合排放标准》（GB</w:t>
                  </w: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16297-1996）</w:t>
                  </w:r>
                </w:p>
              </w:tc>
              <w:tc>
                <w:tcPr>
                  <w:tcW w:w="630" w:type="pct"/>
                  <w:noWrap w:val="0"/>
                  <w:vAlign w:val="center"/>
                </w:tcPr>
                <w:p w14:paraId="42ED2B5B">
                  <w:pPr>
                    <w:pStyle w:val="6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eastAsia" w:cs="Times New Roman"/>
                      <w:color w:val="000000" w:themeColor="text1"/>
                      <w:sz w:val="21"/>
                      <w:szCs w:val="21"/>
                      <w:highlight w:val="none"/>
                      <w:u w:val="none" w:color="auto"/>
                      <w:lang w:val="en-US" w:eastAsia="zh-CN"/>
                      <w14:textFill>
                        <w14:solidFill>
                          <w14:schemeClr w14:val="tx1"/>
                        </w14:solidFill>
                      </w14:textFill>
                    </w:rPr>
                    <w:t>1.0</w:t>
                  </w:r>
                </w:p>
              </w:tc>
              <w:tc>
                <w:tcPr>
                  <w:tcW w:w="526" w:type="pct"/>
                  <w:noWrap w:val="0"/>
                  <w:vAlign w:val="center"/>
                </w:tcPr>
                <w:p w14:paraId="765F63B6">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cs="Times New Roman"/>
                      <w:color w:val="000000" w:themeColor="text1"/>
                      <w:sz w:val="21"/>
                      <w:szCs w:val="21"/>
                      <w:highlight w:val="none"/>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t>0.427</w:t>
                  </w:r>
                </w:p>
              </w:tc>
            </w:tr>
            <w:tr w14:paraId="3C2594E2">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46" w:type="pct"/>
                  <w:vMerge w:val="continue"/>
                  <w:noWrap w:val="0"/>
                  <w:vAlign w:val="center"/>
                </w:tcPr>
                <w:p w14:paraId="5B3CCD3F">
                  <w:pPr>
                    <w:pStyle w:val="5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423" w:type="pct"/>
                  <w:vMerge w:val="continue"/>
                  <w:noWrap w:val="0"/>
                  <w:vAlign w:val="center"/>
                </w:tcPr>
                <w:p w14:paraId="734084C7">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990" w:type="pct"/>
                  <w:noWrap w:val="0"/>
                  <w:vAlign w:val="center"/>
                </w:tcPr>
                <w:p w14:paraId="4CB3DC6A">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eastAsia" w:cs="Times New Roman"/>
                      <w:color w:val="000000" w:themeColor="text1"/>
                      <w:sz w:val="21"/>
                      <w:szCs w:val="21"/>
                      <w:highlight w:val="none"/>
                      <w:u w:val="none" w:color="auto"/>
                      <w:lang w:val="en-US" w:eastAsia="zh-CN"/>
                      <w14:textFill>
                        <w14:solidFill>
                          <w14:schemeClr w14:val="tx1"/>
                        </w14:solidFill>
                      </w14:textFill>
                    </w:rPr>
                    <w:t>破碎、筛分、</w:t>
                  </w:r>
                  <w:r>
                    <w:rPr>
                      <w:rFonts w:hint="eastAsia" w:ascii="宋体" w:hAnsi="宋体" w:cs="宋体"/>
                      <w:b w:val="0"/>
                      <w:bCs/>
                      <w:color w:val="000000" w:themeColor="text1"/>
                      <w:sz w:val="21"/>
                      <w:szCs w:val="21"/>
                      <w:highlight w:val="none"/>
                      <w:u w:val="none" w:color="auto"/>
                      <w:lang w:val="en-US" w:eastAsia="zh-CN"/>
                      <w14:textFill>
                        <w14:solidFill>
                          <w14:schemeClr w14:val="tx1"/>
                        </w14:solidFill>
                      </w14:textFill>
                    </w:rPr>
                    <w:t>冷却、</w:t>
                  </w:r>
                  <w:r>
                    <w:rPr>
                      <w:rFonts w:hint="eastAsia"/>
                      <w:b w:val="0"/>
                      <w:bCs/>
                      <w:color w:val="000000" w:themeColor="text1"/>
                      <w:sz w:val="21"/>
                      <w:szCs w:val="21"/>
                      <w:highlight w:val="none"/>
                      <w:u w:val="none" w:color="auto"/>
                      <w:lang w:val="en-US" w:eastAsia="zh-CN"/>
                      <w14:textFill>
                        <w14:solidFill>
                          <w14:schemeClr w14:val="tx1"/>
                        </w14:solidFill>
                      </w14:textFill>
                    </w:rPr>
                    <w:t>锯切、包装</w:t>
                  </w:r>
                  <w:r>
                    <w:rPr>
                      <w:rFonts w:hint="eastAsia" w:cs="Times New Roman"/>
                      <w:color w:val="000000" w:themeColor="text1"/>
                      <w:sz w:val="21"/>
                      <w:szCs w:val="21"/>
                      <w:highlight w:val="none"/>
                      <w:u w:val="none" w:color="auto"/>
                      <w:lang w:val="en-US" w:eastAsia="zh-CN"/>
                      <w14:textFill>
                        <w14:solidFill>
                          <w14:schemeClr w14:val="tx1"/>
                        </w14:solidFill>
                      </w14:textFill>
                    </w:rPr>
                    <w:t>工序集气罩未收集</w:t>
                  </w:r>
                </w:p>
              </w:tc>
              <w:tc>
                <w:tcPr>
                  <w:tcW w:w="428" w:type="pct"/>
                  <w:noWrap w:val="0"/>
                  <w:vAlign w:val="center"/>
                </w:tcPr>
                <w:p w14:paraId="5C7C62C5">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sz w:val="21"/>
                      <w:szCs w:val="21"/>
                      <w:highlight w:val="none"/>
                      <w:u w:val="none" w:color="auto"/>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颗粒物</w:t>
                  </w:r>
                </w:p>
              </w:tc>
              <w:tc>
                <w:tcPr>
                  <w:tcW w:w="619" w:type="pct"/>
                  <w:vMerge w:val="continue"/>
                  <w:noWrap w:val="0"/>
                  <w:vAlign w:val="center"/>
                </w:tcPr>
                <w:p w14:paraId="2F03A51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bCs/>
                      <w:color w:val="000000" w:themeColor="text1"/>
                      <w:sz w:val="21"/>
                      <w:szCs w:val="21"/>
                      <w:highlight w:val="none"/>
                      <w:u w:val="none" w:color="auto"/>
                      <w:lang w:val="en-GB"/>
                      <w14:textFill>
                        <w14:solidFill>
                          <w14:schemeClr w14:val="tx1"/>
                        </w14:solidFill>
                      </w14:textFill>
                    </w:rPr>
                  </w:pPr>
                </w:p>
              </w:tc>
              <w:tc>
                <w:tcPr>
                  <w:tcW w:w="1134" w:type="pct"/>
                  <w:vMerge w:val="continue"/>
                  <w:noWrap w:val="0"/>
                  <w:vAlign w:val="center"/>
                </w:tcPr>
                <w:p w14:paraId="5E79D3C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630" w:type="pct"/>
                  <w:noWrap w:val="0"/>
                  <w:vAlign w:val="center"/>
                </w:tcPr>
                <w:p w14:paraId="4591A99D">
                  <w:pPr>
                    <w:pStyle w:val="6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1.0</w:t>
                  </w:r>
                </w:p>
              </w:tc>
              <w:tc>
                <w:tcPr>
                  <w:tcW w:w="526" w:type="pct"/>
                  <w:noWrap w:val="0"/>
                  <w:vAlign w:val="center"/>
                </w:tcPr>
                <w:p w14:paraId="40CC13AF">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0.881</w:t>
                  </w:r>
                </w:p>
              </w:tc>
            </w:tr>
            <w:tr w14:paraId="5906E680">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46" w:type="pct"/>
                  <w:vMerge w:val="continue"/>
                  <w:noWrap w:val="0"/>
                  <w:vAlign w:val="center"/>
                </w:tcPr>
                <w:p w14:paraId="719320DA">
                  <w:pPr>
                    <w:pStyle w:val="5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423" w:type="pct"/>
                  <w:vMerge w:val="continue"/>
                  <w:noWrap w:val="0"/>
                  <w:vAlign w:val="center"/>
                </w:tcPr>
                <w:p w14:paraId="3077773D">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eastAsia" w:cs="Times New Roman"/>
                      <w:color w:val="000000" w:themeColor="text1"/>
                      <w:sz w:val="21"/>
                      <w:szCs w:val="21"/>
                      <w:highlight w:val="none"/>
                      <w:u w:val="none" w:color="auto"/>
                      <w:lang w:val="en-US" w:eastAsia="zh-CN" w:bidi="ar"/>
                      <w14:textFill>
                        <w14:solidFill>
                          <w14:schemeClr w14:val="tx1"/>
                        </w14:solidFill>
                      </w14:textFill>
                    </w:rPr>
                  </w:pPr>
                </w:p>
              </w:tc>
              <w:tc>
                <w:tcPr>
                  <w:tcW w:w="990" w:type="pct"/>
                  <w:noWrap w:val="0"/>
                  <w:vAlign w:val="center"/>
                </w:tcPr>
                <w:p w14:paraId="4456DC19">
                  <w:pPr>
                    <w:keepNext w:val="0"/>
                    <w:keepLines w:val="0"/>
                    <w:suppressLineNumbers w:val="0"/>
                    <w:spacing w:before="0" w:beforeAutospacing="0" w:after="0" w:afterAutospacing="0" w:line="240" w:lineRule="atLeast"/>
                    <w:ind w:left="0" w:leftChars="0" w:right="0" w:rightChars="0"/>
                    <w:jc w:val="cente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eastAsia"/>
                      <w:color w:val="000000" w:themeColor="text1"/>
                      <w:sz w:val="21"/>
                      <w:szCs w:val="21"/>
                      <w:u w:val="none" w:color="auto"/>
                      <w14:textFill>
                        <w14:solidFill>
                          <w14:schemeClr w14:val="tx1"/>
                        </w14:solidFill>
                      </w14:textFill>
                    </w:rPr>
                    <w:t>制棒废气</w:t>
                  </w:r>
                  <w:r>
                    <w:rPr>
                      <w:rFonts w:hint="eastAsia" w:cs="Times New Roman"/>
                      <w:color w:val="000000" w:themeColor="text1"/>
                      <w:sz w:val="21"/>
                      <w:szCs w:val="21"/>
                      <w:highlight w:val="none"/>
                      <w:u w:val="none" w:color="auto"/>
                      <w:lang w:val="en-US" w:eastAsia="zh-CN"/>
                      <w14:textFill>
                        <w14:solidFill>
                          <w14:schemeClr w14:val="tx1"/>
                        </w14:solidFill>
                      </w14:textFill>
                    </w:rPr>
                    <w:t>集气罩未收集</w:t>
                  </w:r>
                </w:p>
              </w:tc>
              <w:tc>
                <w:tcPr>
                  <w:tcW w:w="428" w:type="pct"/>
                  <w:noWrap w:val="0"/>
                  <w:vAlign w:val="center"/>
                </w:tcPr>
                <w:p w14:paraId="017B100C">
                  <w:pPr>
                    <w:keepNext w:val="0"/>
                    <w:keepLines w:val="0"/>
                    <w:suppressLineNumbers w:val="0"/>
                    <w:spacing w:before="0" w:beforeAutospacing="0" w:after="0" w:afterAutospacing="0" w:line="240" w:lineRule="atLeast"/>
                    <w:ind w:left="0" w:leftChars="0" w:right="0" w:rightChars="0"/>
                    <w:jc w:val="cente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eastAsia"/>
                      <w:color w:val="000000" w:themeColor="text1"/>
                      <w:sz w:val="21"/>
                      <w:szCs w:val="21"/>
                      <w:u w:val="none" w:color="auto"/>
                      <w:lang w:val="en-US" w:eastAsia="zh-CN"/>
                      <w14:textFill>
                        <w14:solidFill>
                          <w14:schemeClr w14:val="tx1"/>
                        </w14:solidFill>
                      </w14:textFill>
                    </w:rPr>
                    <w:t>颗粒物</w:t>
                  </w:r>
                </w:p>
              </w:tc>
              <w:tc>
                <w:tcPr>
                  <w:tcW w:w="619" w:type="pct"/>
                  <w:vMerge w:val="continue"/>
                  <w:noWrap w:val="0"/>
                  <w:vAlign w:val="center"/>
                </w:tcPr>
                <w:p w14:paraId="0E88252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eastAsia" w:cs="Times New Roman"/>
                      <w:color w:val="000000" w:themeColor="text1"/>
                      <w:sz w:val="21"/>
                      <w:szCs w:val="21"/>
                      <w:highlight w:val="none"/>
                      <w:u w:val="none" w:color="auto"/>
                      <w:lang w:val="en-US" w:eastAsia="zh-CN"/>
                      <w14:textFill>
                        <w14:solidFill>
                          <w14:schemeClr w14:val="tx1"/>
                        </w14:solidFill>
                      </w14:textFill>
                    </w:rPr>
                  </w:pPr>
                </w:p>
              </w:tc>
              <w:tc>
                <w:tcPr>
                  <w:tcW w:w="1134" w:type="pct"/>
                  <w:vMerge w:val="continue"/>
                  <w:noWrap w:val="0"/>
                  <w:vAlign w:val="center"/>
                </w:tcPr>
                <w:p w14:paraId="57F0B8C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630" w:type="pct"/>
                  <w:noWrap w:val="0"/>
                  <w:vAlign w:val="center"/>
                </w:tcPr>
                <w:p w14:paraId="02FC908B">
                  <w:pPr>
                    <w:pStyle w:val="6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eastAsia" w:cs="Times New Roman"/>
                      <w:color w:val="000000" w:themeColor="text1"/>
                      <w:sz w:val="21"/>
                      <w:szCs w:val="21"/>
                      <w:highlight w:val="none"/>
                      <w:u w:val="none" w:color="auto"/>
                      <w:lang w:val="en-US" w:eastAsia="zh-CN"/>
                      <w14:textFill>
                        <w14:solidFill>
                          <w14:schemeClr w14:val="tx1"/>
                        </w14:solidFill>
                      </w14:textFill>
                    </w:rPr>
                    <w:t>1.0</w:t>
                  </w:r>
                </w:p>
              </w:tc>
              <w:tc>
                <w:tcPr>
                  <w:tcW w:w="526" w:type="pct"/>
                  <w:noWrap w:val="0"/>
                  <w:vAlign w:val="center"/>
                </w:tcPr>
                <w:p w14:paraId="2DA42B5B">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cs="Times New Roman"/>
                      <w:color w:val="000000" w:themeColor="text1"/>
                      <w:sz w:val="21"/>
                      <w:szCs w:val="21"/>
                      <w:highlight w:val="none"/>
                      <w:u w:val="none" w:color="auto"/>
                      <w:lang w:val="en-US" w:eastAsia="zh-CN"/>
                      <w14:textFill>
                        <w14:solidFill>
                          <w14:schemeClr w14:val="tx1"/>
                        </w14:solidFill>
                      </w14:textFill>
                    </w:rPr>
                  </w:pPr>
                  <w:r>
                    <w:rPr>
                      <w:rFonts w:hint="eastAsia"/>
                      <w:b w:val="0"/>
                      <w:bCs w:val="0"/>
                      <w:color w:val="000000" w:themeColor="text1"/>
                      <w:sz w:val="21"/>
                      <w:szCs w:val="21"/>
                      <w:highlight w:val="none"/>
                      <w:u w:val="none" w:color="auto"/>
                      <w:lang w:val="en-US" w:eastAsia="zh-CN"/>
                      <w14:textFill>
                        <w14:solidFill>
                          <w14:schemeClr w14:val="tx1"/>
                        </w14:solidFill>
                      </w14:textFill>
                    </w:rPr>
                    <w:t>0.1</w:t>
                  </w:r>
                </w:p>
              </w:tc>
            </w:tr>
            <w:tr w14:paraId="7F74ECBA">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46" w:type="pct"/>
                  <w:vMerge w:val="restart"/>
                  <w:noWrap w:val="0"/>
                  <w:vAlign w:val="center"/>
                </w:tcPr>
                <w:p w14:paraId="27192E23">
                  <w:pPr>
                    <w:pStyle w:val="5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eastAsia"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2</w:t>
                  </w:r>
                </w:p>
              </w:tc>
              <w:tc>
                <w:tcPr>
                  <w:tcW w:w="423" w:type="pct"/>
                  <w:vMerge w:val="restart"/>
                  <w:noWrap w:val="0"/>
                  <w:vAlign w:val="center"/>
                </w:tcPr>
                <w:p w14:paraId="5C61D3C3">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eastAsia" w:cs="Times New Roman"/>
                      <w:color w:val="000000" w:themeColor="text1"/>
                      <w:sz w:val="21"/>
                      <w:szCs w:val="21"/>
                      <w:highlight w:val="none"/>
                      <w:u w:val="none" w:color="auto"/>
                      <w:lang w:val="en-US" w:eastAsia="zh-CN" w:bidi="ar"/>
                      <w14:textFill>
                        <w14:solidFill>
                          <w14:schemeClr w14:val="tx1"/>
                        </w14:solidFill>
                      </w14:textFill>
                    </w:rPr>
                    <w:t>生物质颗粒</w:t>
                  </w:r>
                  <w:r>
                    <w:rPr>
                      <w:rFonts w:hint="default" w:ascii="Times New Roman" w:hAnsi="Times New Roman" w:eastAsia="宋体" w:cs="Times New Roman"/>
                      <w:color w:val="000000" w:themeColor="text1"/>
                      <w:sz w:val="21"/>
                      <w:szCs w:val="21"/>
                      <w:highlight w:val="none"/>
                      <w:u w:val="none" w:color="auto"/>
                      <w:lang w:val="en-US" w:eastAsia="zh-CN" w:bidi="ar"/>
                      <w14:textFill>
                        <w14:solidFill>
                          <w14:schemeClr w14:val="tx1"/>
                        </w14:solidFill>
                      </w14:textFill>
                    </w:rPr>
                    <w:t>生产线</w:t>
                  </w:r>
                </w:p>
              </w:tc>
              <w:tc>
                <w:tcPr>
                  <w:tcW w:w="990" w:type="pct"/>
                  <w:shd w:val="clear" w:color="auto" w:fill="auto"/>
                  <w:noWrap w:val="0"/>
                  <w:vAlign w:val="center"/>
                </w:tcPr>
                <w:p w14:paraId="52357651">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eastAsia" w:ascii="宋体" w:hAnsi="宋体" w:eastAsia="宋体" w:cs="宋体"/>
                      <w:color w:val="000000" w:themeColor="text1"/>
                      <w:kern w:val="0"/>
                      <w:sz w:val="21"/>
                      <w:szCs w:val="21"/>
                      <w:u w:val="none" w:color="auto"/>
                      <w:lang w:val="en-US" w:eastAsia="zh-CN" w:bidi="ar"/>
                      <w14:textFill>
                        <w14:solidFill>
                          <w14:schemeClr w14:val="tx1"/>
                        </w14:solidFill>
                      </w14:textFill>
                    </w:rPr>
                    <w:t>原料装卸</w:t>
                  </w:r>
                  <w:r>
                    <w:rPr>
                      <w:rFonts w:hint="eastAsia" w:ascii="宋体" w:hAnsi="宋体" w:cs="宋体"/>
                      <w:color w:val="000000" w:themeColor="text1"/>
                      <w:kern w:val="0"/>
                      <w:sz w:val="21"/>
                      <w:szCs w:val="21"/>
                      <w:u w:val="none" w:color="auto"/>
                      <w:lang w:val="en-US" w:eastAsia="zh-CN" w:bidi="ar"/>
                      <w14:textFill>
                        <w14:solidFill>
                          <w14:schemeClr w14:val="tx1"/>
                        </w14:solidFill>
                      </w14:textFill>
                    </w:rPr>
                    <w:t>转运过程废气</w:t>
                  </w:r>
                </w:p>
              </w:tc>
              <w:tc>
                <w:tcPr>
                  <w:tcW w:w="428" w:type="pct"/>
                  <w:noWrap w:val="0"/>
                  <w:vAlign w:val="center"/>
                </w:tcPr>
                <w:p w14:paraId="2F025F3B">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eastAsia" w:cs="Times New Roman"/>
                      <w:color w:val="000000" w:themeColor="text1"/>
                      <w:sz w:val="21"/>
                      <w:szCs w:val="21"/>
                      <w:highlight w:val="none"/>
                      <w:u w:val="none" w:color="auto"/>
                      <w:lang w:val="en-US" w:eastAsia="zh-CN"/>
                      <w14:textFill>
                        <w14:solidFill>
                          <w14:schemeClr w14:val="tx1"/>
                        </w14:solidFill>
                      </w14:textFill>
                    </w:rPr>
                    <w:t>颗粒物</w:t>
                  </w:r>
                </w:p>
              </w:tc>
              <w:tc>
                <w:tcPr>
                  <w:tcW w:w="619" w:type="pct"/>
                  <w:vMerge w:val="restart"/>
                  <w:noWrap w:val="0"/>
                  <w:vAlign w:val="center"/>
                </w:tcPr>
                <w:p w14:paraId="5973D4A8">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eastAsia" w:cs="Times New Roman"/>
                      <w:color w:val="000000" w:themeColor="text1"/>
                      <w:sz w:val="21"/>
                      <w:szCs w:val="21"/>
                      <w:highlight w:val="none"/>
                      <w:u w:val="none" w:color="auto"/>
                      <w:lang w:val="en-US" w:eastAsia="zh-CN"/>
                      <w14:textFill>
                        <w14:solidFill>
                          <w14:schemeClr w14:val="tx1"/>
                        </w14:solidFill>
                      </w14:textFill>
                    </w:rPr>
                    <w:t>厂房</w:t>
                  </w: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封闭</w:t>
                  </w:r>
                </w:p>
              </w:tc>
              <w:tc>
                <w:tcPr>
                  <w:tcW w:w="1134" w:type="pct"/>
                  <w:noWrap w:val="0"/>
                  <w:vAlign w:val="center"/>
                </w:tcPr>
                <w:p w14:paraId="4AE91DA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《大气污染物综合排放标准》（GB</w:t>
                  </w: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16297-1996）</w:t>
                  </w:r>
                </w:p>
              </w:tc>
              <w:tc>
                <w:tcPr>
                  <w:tcW w:w="630" w:type="pct"/>
                  <w:noWrap w:val="0"/>
                  <w:vAlign w:val="center"/>
                </w:tcPr>
                <w:p w14:paraId="71BAEBF2">
                  <w:pPr>
                    <w:pStyle w:val="6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1.0</w:t>
                  </w:r>
                </w:p>
              </w:tc>
              <w:tc>
                <w:tcPr>
                  <w:tcW w:w="977" w:type="dxa"/>
                  <w:shd w:val="clear" w:color="auto" w:fill="auto"/>
                  <w:noWrap w:val="0"/>
                  <w:vAlign w:val="center"/>
                </w:tcPr>
                <w:p w14:paraId="05341303">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0.025</w:t>
                  </w:r>
                </w:p>
              </w:tc>
            </w:tr>
            <w:tr w14:paraId="15196089">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46" w:type="pct"/>
                  <w:vMerge w:val="continue"/>
                  <w:noWrap w:val="0"/>
                  <w:vAlign w:val="center"/>
                </w:tcPr>
                <w:p w14:paraId="2BC5674B">
                  <w:pPr>
                    <w:pStyle w:val="5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423" w:type="pct"/>
                  <w:vMerge w:val="continue"/>
                  <w:noWrap w:val="0"/>
                  <w:vAlign w:val="center"/>
                </w:tcPr>
                <w:p w14:paraId="7D7E1149">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990" w:type="pct"/>
                  <w:shd w:val="clear" w:color="auto" w:fill="auto"/>
                  <w:noWrap w:val="0"/>
                  <w:vAlign w:val="center"/>
                </w:tcPr>
                <w:p w14:paraId="713AEBF5">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破碎</w:t>
                  </w:r>
                  <w:r>
                    <w:rPr>
                      <w:rFonts w:hint="eastAsia" w:cs="Times New Roman"/>
                      <w:color w:val="000000" w:themeColor="text1"/>
                      <w:sz w:val="21"/>
                      <w:szCs w:val="21"/>
                      <w:highlight w:val="none"/>
                      <w:u w:val="none" w:color="auto"/>
                      <w:lang w:val="en-US" w:eastAsia="zh-CN"/>
                      <w14:textFill>
                        <w14:solidFill>
                          <w14:schemeClr w14:val="tx1"/>
                        </w14:solidFill>
                      </w14:textFill>
                    </w:rPr>
                    <w:t>和包装</w:t>
                  </w: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工序未收集</w:t>
                  </w:r>
                </w:p>
              </w:tc>
              <w:tc>
                <w:tcPr>
                  <w:tcW w:w="428" w:type="pct"/>
                  <w:noWrap w:val="0"/>
                  <w:vAlign w:val="center"/>
                </w:tcPr>
                <w:p w14:paraId="7EFF7322">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颗粒物</w:t>
                  </w:r>
                </w:p>
              </w:tc>
              <w:tc>
                <w:tcPr>
                  <w:tcW w:w="619" w:type="pct"/>
                  <w:vMerge w:val="continue"/>
                  <w:noWrap w:val="0"/>
                  <w:vAlign w:val="center"/>
                </w:tcPr>
                <w:p w14:paraId="2EE8E1E6">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bCs/>
                      <w:color w:val="000000" w:themeColor="text1"/>
                      <w:kern w:val="2"/>
                      <w:sz w:val="21"/>
                      <w:szCs w:val="21"/>
                      <w:highlight w:val="none"/>
                      <w:u w:val="none" w:color="auto"/>
                      <w:lang w:bidi="ar"/>
                      <w14:textFill>
                        <w14:solidFill>
                          <w14:schemeClr w14:val="tx1"/>
                        </w14:solidFill>
                      </w14:textFill>
                    </w:rPr>
                  </w:pPr>
                </w:p>
              </w:tc>
              <w:tc>
                <w:tcPr>
                  <w:tcW w:w="1134" w:type="pct"/>
                  <w:noWrap w:val="0"/>
                  <w:vAlign w:val="center"/>
                </w:tcPr>
                <w:p w14:paraId="3BD53EC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《大气污染物综合排放标准》（GB</w:t>
                  </w: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16297-1996）</w:t>
                  </w:r>
                </w:p>
              </w:tc>
              <w:tc>
                <w:tcPr>
                  <w:tcW w:w="630" w:type="pct"/>
                  <w:noWrap w:val="0"/>
                  <w:vAlign w:val="center"/>
                </w:tcPr>
                <w:p w14:paraId="1C35D230">
                  <w:pPr>
                    <w:pStyle w:val="6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1.0</w:t>
                  </w:r>
                </w:p>
              </w:tc>
              <w:tc>
                <w:tcPr>
                  <w:tcW w:w="977" w:type="dxa"/>
                  <w:shd w:val="clear" w:color="auto" w:fill="auto"/>
                  <w:noWrap w:val="0"/>
                  <w:vAlign w:val="center"/>
                </w:tcPr>
                <w:p w14:paraId="27341342">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0.038</w:t>
                  </w:r>
                </w:p>
              </w:tc>
            </w:tr>
            <w:tr w14:paraId="5BA30EDB">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60" w:type="pct"/>
                  <w:gridSpan w:val="3"/>
                  <w:tcBorders>
                    <w:right w:val="single" w:color="auto" w:sz="6" w:space="0"/>
                  </w:tcBorders>
                  <w:noWrap w:val="0"/>
                  <w:vAlign w:val="center"/>
                </w:tcPr>
                <w:p w14:paraId="558EB836">
                  <w:pPr>
                    <w:pStyle w:val="5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无组织排放合计</w:t>
                  </w:r>
                </w:p>
              </w:tc>
              <w:tc>
                <w:tcPr>
                  <w:tcW w:w="2812" w:type="pct"/>
                  <w:gridSpan w:val="4"/>
                  <w:tcBorders>
                    <w:left w:val="single" w:color="auto" w:sz="6" w:space="0"/>
                  </w:tcBorders>
                  <w:noWrap w:val="0"/>
                  <w:vAlign w:val="center"/>
                </w:tcPr>
                <w:p w14:paraId="57C93993">
                  <w:pPr>
                    <w:pStyle w:val="5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颗粒物</w:t>
                  </w:r>
                </w:p>
              </w:tc>
              <w:tc>
                <w:tcPr>
                  <w:tcW w:w="526" w:type="pct"/>
                  <w:noWrap w:val="0"/>
                  <w:vAlign w:val="center"/>
                </w:tcPr>
                <w:p w14:paraId="0CBAB4F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eastAsia" w:cs="Times New Roman"/>
                      <w:color w:val="000000" w:themeColor="text1"/>
                      <w:sz w:val="21"/>
                      <w:szCs w:val="21"/>
                      <w:highlight w:val="none"/>
                      <w:u w:val="none" w:color="auto"/>
                      <w:lang w:val="en-US" w:eastAsia="zh-CN"/>
                      <w14:textFill>
                        <w14:solidFill>
                          <w14:schemeClr w14:val="tx1"/>
                        </w14:solidFill>
                      </w14:textFill>
                    </w:rPr>
                    <w:t>1.471</w:t>
                  </w:r>
                </w:p>
              </w:tc>
            </w:tr>
          </w:tbl>
          <w:p w14:paraId="76F0DC5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jc w:val="center"/>
              <w:textAlignment w:val="auto"/>
              <w:rPr>
                <w:rFonts w:hint="default" w:ascii="Times New Roman" w:hAnsi="Times New Roman" w:eastAsia="宋体" w:cs="Times New Roman"/>
                <w:b/>
                <w:color w:val="000000" w:themeColor="text1"/>
                <w:kern w:val="2"/>
                <w:sz w:val="24"/>
                <w:szCs w:val="24"/>
                <w:highlight w:val="none"/>
                <w:u w:val="none" w:color="auto"/>
                <w:lang w:val="en-US" w:eastAsia="zh-CN" w:bidi="ar-SA"/>
                <w14:textFill>
                  <w14:solidFill>
                    <w14:schemeClr w14:val="tx1"/>
                  </w14:solidFill>
                </w14:textFill>
              </w:rPr>
            </w:pPr>
            <w:r>
              <w:rPr>
                <w:rFonts w:hint="default" w:ascii="Times New Roman" w:hAnsi="Times New Roman" w:eastAsia="宋体" w:cs="Times New Roman"/>
                <w:b/>
                <w:color w:val="000000" w:themeColor="text1"/>
                <w:kern w:val="2"/>
                <w:sz w:val="24"/>
                <w:szCs w:val="24"/>
                <w:highlight w:val="none"/>
                <w:u w:val="none" w:color="auto"/>
                <w:lang w:val="en-US" w:eastAsia="zh-CN" w:bidi="ar-SA"/>
                <w14:textFill>
                  <w14:solidFill>
                    <w14:schemeClr w14:val="tx1"/>
                  </w14:solidFill>
                </w14:textFill>
              </w:rPr>
              <w:t>表4-</w:t>
            </w:r>
            <w:r>
              <w:rPr>
                <w:rFonts w:hint="eastAsia" w:ascii="Times New Roman" w:hAnsi="Times New Roman" w:eastAsia="宋体" w:cs="Times New Roman"/>
                <w:b/>
                <w:color w:val="000000" w:themeColor="text1"/>
                <w:kern w:val="2"/>
                <w:sz w:val="24"/>
                <w:szCs w:val="24"/>
                <w:highlight w:val="none"/>
                <w:u w:val="none" w:color="auto"/>
                <w:lang w:val="en-US" w:eastAsia="zh-CN" w:bidi="ar-SA"/>
                <w14:textFill>
                  <w14:solidFill>
                    <w14:schemeClr w14:val="tx1"/>
                  </w14:solidFill>
                </w14:textFill>
              </w:rPr>
              <w:t>11</w:t>
            </w:r>
            <w:r>
              <w:rPr>
                <w:rFonts w:hint="default" w:ascii="Times New Roman" w:hAnsi="Times New Roman" w:eastAsia="宋体" w:cs="Times New Roman"/>
                <w:b/>
                <w:color w:val="000000" w:themeColor="text1"/>
                <w:kern w:val="2"/>
                <w:sz w:val="24"/>
                <w:szCs w:val="24"/>
                <w:highlight w:val="none"/>
                <w:u w:val="none" w:color="auto"/>
                <w:lang w:val="en-US" w:eastAsia="zh-CN" w:bidi="ar-SA"/>
                <w14:textFill>
                  <w14:solidFill>
                    <w14:schemeClr w14:val="tx1"/>
                  </w14:solidFill>
                </w14:textFill>
              </w:rPr>
              <w:t xml:space="preserve">   工程大气污染物年排放量核算表</w:t>
            </w:r>
          </w:p>
          <w:tbl>
            <w:tblPr>
              <w:tblStyle w:val="29"/>
              <w:tblW w:w="4998" w:type="pct"/>
              <w:jc w:val="center"/>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
            <w:tblGrid>
              <w:gridCol w:w="942"/>
              <w:gridCol w:w="4455"/>
              <w:gridCol w:w="3968"/>
            </w:tblGrid>
            <w:tr w14:paraId="75F60E17">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3" w:type="pct"/>
                  <w:noWrap w:val="0"/>
                  <w:vAlign w:val="center"/>
                </w:tcPr>
                <w:p w14:paraId="2211BB5B">
                  <w:pPr>
                    <w:pStyle w:val="5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序号</w:t>
                  </w:r>
                </w:p>
              </w:tc>
              <w:tc>
                <w:tcPr>
                  <w:tcW w:w="2378" w:type="pct"/>
                  <w:noWrap w:val="0"/>
                  <w:vAlign w:val="center"/>
                </w:tcPr>
                <w:p w14:paraId="4B5FA4D1">
                  <w:pPr>
                    <w:pStyle w:val="5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污染物</w:t>
                  </w:r>
                </w:p>
              </w:tc>
              <w:tc>
                <w:tcPr>
                  <w:tcW w:w="2118" w:type="pct"/>
                  <w:noWrap w:val="0"/>
                  <w:vAlign w:val="center"/>
                </w:tcPr>
                <w:p w14:paraId="52FDB2EA">
                  <w:pPr>
                    <w:pStyle w:val="5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年排放量（t/a）</w:t>
                  </w:r>
                </w:p>
              </w:tc>
            </w:tr>
            <w:tr w14:paraId="0B615F66">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3" w:type="pct"/>
                  <w:noWrap w:val="0"/>
                  <w:vAlign w:val="center"/>
                </w:tcPr>
                <w:p w14:paraId="5DA4779F">
                  <w:pPr>
                    <w:pStyle w:val="5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1</w:t>
                  </w:r>
                </w:p>
              </w:tc>
              <w:tc>
                <w:tcPr>
                  <w:tcW w:w="2378" w:type="pct"/>
                  <w:noWrap w:val="0"/>
                  <w:vAlign w:val="center"/>
                </w:tcPr>
                <w:p w14:paraId="1DB2E214">
                  <w:pPr>
                    <w:pStyle w:val="5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kern w:val="0"/>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u w:val="none" w:color="auto"/>
                      <w14:textFill>
                        <w14:solidFill>
                          <w14:schemeClr w14:val="tx1"/>
                        </w14:solidFill>
                      </w14:textFill>
                    </w:rPr>
                    <w:t>颗粒物</w:t>
                  </w:r>
                </w:p>
              </w:tc>
              <w:tc>
                <w:tcPr>
                  <w:tcW w:w="2118" w:type="pct"/>
                  <w:noWrap w:val="0"/>
                  <w:vAlign w:val="center"/>
                </w:tcPr>
                <w:p w14:paraId="28A554A8">
                  <w:pPr>
                    <w:pStyle w:val="5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eastAsia" w:cs="Times New Roman"/>
                      <w:color w:val="000000" w:themeColor="text1"/>
                      <w:sz w:val="21"/>
                      <w:szCs w:val="21"/>
                      <w:highlight w:val="none"/>
                      <w:u w:val="none" w:color="auto"/>
                      <w:lang w:val="en-US" w:eastAsia="zh-CN"/>
                      <w14:textFill>
                        <w14:solidFill>
                          <w14:schemeClr w14:val="tx1"/>
                        </w14:solidFill>
                      </w14:textFill>
                    </w:rPr>
                    <w:t>2.124</w:t>
                  </w:r>
                </w:p>
              </w:tc>
            </w:tr>
            <w:tr w14:paraId="0B305F5D">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3" w:type="pct"/>
                  <w:noWrap w:val="0"/>
                  <w:vAlign w:val="center"/>
                </w:tcPr>
                <w:p w14:paraId="6D3E0097">
                  <w:pPr>
                    <w:pStyle w:val="5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eastAsia" w:cs="Times New Roman"/>
                      <w:color w:val="000000" w:themeColor="text1"/>
                      <w:sz w:val="21"/>
                      <w:szCs w:val="21"/>
                      <w:highlight w:val="none"/>
                      <w:u w:val="none" w:color="auto"/>
                      <w:lang w:val="en-US" w:eastAsia="zh-CN"/>
                      <w14:textFill>
                        <w14:solidFill>
                          <w14:schemeClr w14:val="tx1"/>
                        </w14:solidFill>
                      </w14:textFill>
                    </w:rPr>
                    <w:t>2</w:t>
                  </w:r>
                </w:p>
              </w:tc>
              <w:tc>
                <w:tcPr>
                  <w:tcW w:w="2378" w:type="pct"/>
                  <w:shd w:val="clear" w:color="auto" w:fill="auto"/>
                  <w:noWrap w:val="0"/>
                  <w:vAlign w:val="center"/>
                </w:tcPr>
                <w:p w14:paraId="53739EF6">
                  <w:pPr>
                    <w:pStyle w:val="56"/>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eastAsia" w:hAnsi="宋体"/>
                      <w:b w:val="0"/>
                      <w:bCs w:val="0"/>
                      <w:color w:val="000000" w:themeColor="text1"/>
                      <w:sz w:val="21"/>
                      <w:szCs w:val="21"/>
                      <w:u w:val="none" w:color="auto"/>
                      <w14:textFill>
                        <w14:solidFill>
                          <w14:schemeClr w14:val="tx1"/>
                        </w14:solidFill>
                      </w14:textFill>
                    </w:rPr>
                    <w:t>SO</w:t>
                  </w:r>
                  <w:r>
                    <w:rPr>
                      <w:rFonts w:hint="eastAsia" w:hAnsi="宋体"/>
                      <w:b w:val="0"/>
                      <w:bCs w:val="0"/>
                      <w:color w:val="000000" w:themeColor="text1"/>
                      <w:sz w:val="21"/>
                      <w:szCs w:val="21"/>
                      <w:u w:val="none" w:color="auto"/>
                      <w:vertAlign w:val="subscript"/>
                      <w14:textFill>
                        <w14:solidFill>
                          <w14:schemeClr w14:val="tx1"/>
                        </w14:solidFill>
                      </w14:textFill>
                    </w:rPr>
                    <w:t>2</w:t>
                  </w:r>
                </w:p>
              </w:tc>
              <w:tc>
                <w:tcPr>
                  <w:tcW w:w="3935" w:type="dxa"/>
                  <w:shd w:val="clear" w:color="auto" w:fill="auto"/>
                  <w:noWrap w:val="0"/>
                  <w:vAlign w:val="center"/>
                </w:tcPr>
                <w:p w14:paraId="1BC0E633">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1.419</w:t>
                  </w:r>
                </w:p>
              </w:tc>
            </w:tr>
            <w:tr w14:paraId="7C664C31">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3" w:type="pct"/>
                  <w:noWrap w:val="0"/>
                  <w:vAlign w:val="center"/>
                </w:tcPr>
                <w:p w14:paraId="7D065BC5">
                  <w:pPr>
                    <w:pStyle w:val="5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eastAsia" w:cs="Times New Roman"/>
                      <w:color w:val="000000" w:themeColor="text1"/>
                      <w:sz w:val="21"/>
                      <w:szCs w:val="21"/>
                      <w:highlight w:val="none"/>
                      <w:u w:val="none" w:color="auto"/>
                      <w:lang w:val="en-US" w:eastAsia="zh-CN"/>
                      <w14:textFill>
                        <w14:solidFill>
                          <w14:schemeClr w14:val="tx1"/>
                        </w14:solidFill>
                      </w14:textFill>
                    </w:rPr>
                    <w:t>3</w:t>
                  </w:r>
                </w:p>
              </w:tc>
              <w:tc>
                <w:tcPr>
                  <w:tcW w:w="2378" w:type="pct"/>
                  <w:shd w:val="clear" w:color="auto" w:fill="auto"/>
                  <w:noWrap w:val="0"/>
                  <w:vAlign w:val="center"/>
                </w:tcPr>
                <w:p w14:paraId="6A34E8F7">
                  <w:pPr>
                    <w:pStyle w:val="56"/>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eastAsia" w:hAnsi="宋体"/>
                      <w:b w:val="0"/>
                      <w:bCs w:val="0"/>
                      <w:color w:val="000000" w:themeColor="text1"/>
                      <w:sz w:val="21"/>
                      <w:szCs w:val="21"/>
                      <w:u w:val="none" w:color="auto"/>
                      <w14:textFill>
                        <w14:solidFill>
                          <w14:schemeClr w14:val="tx1"/>
                        </w14:solidFill>
                      </w14:textFill>
                    </w:rPr>
                    <w:t>NOx</w:t>
                  </w:r>
                </w:p>
              </w:tc>
              <w:tc>
                <w:tcPr>
                  <w:tcW w:w="3935" w:type="dxa"/>
                  <w:shd w:val="clear" w:color="auto" w:fill="auto"/>
                  <w:noWrap w:val="0"/>
                  <w:vAlign w:val="center"/>
                </w:tcPr>
                <w:p w14:paraId="2B550CD3">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5.362</w:t>
                  </w:r>
                </w:p>
              </w:tc>
            </w:tr>
          </w:tbl>
          <w:p w14:paraId="335DA937">
            <w:pPr>
              <w:keepNext w:val="0"/>
              <w:keepLines w:val="0"/>
              <w:pageBreakBefore w:val="0"/>
              <w:widowControl w:val="0"/>
              <w:suppressLineNumbers w:val="0"/>
              <w:tabs>
                <w:tab w:val="left" w:pos="1081"/>
              </w:tabs>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pPr>
            <w:r>
              <w:rPr>
                <w:rFonts w:hint="eastAsia" w:ascii="Times New Roman" w:hAnsi="Times New Roman" w:eastAsia="宋体" w:cs="Times New Roman"/>
                <w:color w:val="000000" w:themeColor="text1"/>
                <w:sz w:val="24"/>
                <w:szCs w:val="24"/>
                <w:highlight w:val="none"/>
                <w:u w:val="none" w:color="auto"/>
                <w:lang w:val="en-US" w:eastAsia="zh-CN"/>
                <w14:textFill>
                  <w14:solidFill>
                    <w14:schemeClr w14:val="tx1"/>
                  </w14:solidFill>
                </w14:textFill>
              </w:rPr>
              <w:t>1</w:t>
            </w:r>
            <w:r>
              <w:rPr>
                <w:rFonts w:hint="default" w:ascii="Times New Roman" w:hAnsi="Times New Roman" w:eastAsia="宋体" w:cs="Times New Roman"/>
                <w:color w:val="000000" w:themeColor="text1"/>
                <w:sz w:val="24"/>
                <w:szCs w:val="24"/>
                <w:highlight w:val="none"/>
                <w:u w:val="none" w:color="auto"/>
                <w:lang w:val="en-US" w:eastAsia="zh-CN"/>
                <w14:textFill>
                  <w14:solidFill>
                    <w14:schemeClr w14:val="tx1"/>
                  </w14:solidFill>
                </w14:textFill>
              </w:rPr>
              <w:t>.4</w:t>
            </w: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项目有组织排放口详细参数</w:t>
            </w:r>
          </w:p>
          <w:p w14:paraId="0B4E425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jc w:val="center"/>
              <w:textAlignment w:val="auto"/>
              <w:rPr>
                <w:rFonts w:hint="default" w:ascii="Times New Roman" w:hAnsi="Times New Roman" w:eastAsia="宋体" w:cs="Times New Roman"/>
                <w:b/>
                <w:color w:val="000000" w:themeColor="text1"/>
                <w:kern w:val="2"/>
                <w:sz w:val="24"/>
                <w:szCs w:val="24"/>
                <w:highlight w:val="none"/>
                <w:u w:val="none" w:color="auto"/>
                <w:lang w:val="en-US" w:eastAsia="zh-CN" w:bidi="ar-SA"/>
                <w14:textFill>
                  <w14:solidFill>
                    <w14:schemeClr w14:val="tx1"/>
                  </w14:solidFill>
                </w14:textFill>
              </w:rPr>
            </w:pPr>
            <w:r>
              <w:rPr>
                <w:rFonts w:hint="default" w:ascii="Times New Roman" w:hAnsi="Times New Roman" w:eastAsia="宋体" w:cs="Times New Roman"/>
                <w:b/>
                <w:color w:val="000000" w:themeColor="text1"/>
                <w:kern w:val="2"/>
                <w:sz w:val="24"/>
                <w:szCs w:val="24"/>
                <w:highlight w:val="none"/>
                <w:u w:val="none" w:color="auto"/>
                <w:lang w:val="en-US" w:eastAsia="zh-CN" w:bidi="ar-SA"/>
                <w14:textFill>
                  <w14:solidFill>
                    <w14:schemeClr w14:val="tx1"/>
                  </w14:solidFill>
                </w14:textFill>
              </w:rPr>
              <w:t>表4-1</w:t>
            </w:r>
            <w:r>
              <w:rPr>
                <w:rFonts w:hint="eastAsia" w:cs="Times New Roman"/>
                <w:b/>
                <w:color w:val="000000" w:themeColor="text1"/>
                <w:kern w:val="2"/>
                <w:sz w:val="24"/>
                <w:szCs w:val="24"/>
                <w:highlight w:val="none"/>
                <w:u w:val="none" w:color="auto"/>
                <w:lang w:val="en-US" w:eastAsia="zh-CN" w:bidi="ar-SA"/>
                <w14:textFill>
                  <w14:solidFill>
                    <w14:schemeClr w14:val="tx1"/>
                  </w14:solidFill>
                </w14:textFill>
              </w:rPr>
              <w:t>2</w:t>
            </w:r>
            <w:r>
              <w:rPr>
                <w:rFonts w:hint="default" w:ascii="Times New Roman" w:hAnsi="Times New Roman" w:eastAsia="宋体" w:cs="Times New Roman"/>
                <w:b/>
                <w:color w:val="000000" w:themeColor="text1"/>
                <w:kern w:val="2"/>
                <w:sz w:val="24"/>
                <w:szCs w:val="24"/>
                <w:highlight w:val="none"/>
                <w:u w:val="none" w:color="auto"/>
                <w:lang w:val="en-US" w:eastAsia="zh-CN" w:bidi="ar-SA"/>
                <w14:textFill>
                  <w14:solidFill>
                    <w14:schemeClr w14:val="tx1"/>
                  </w14:solidFill>
                </w14:textFill>
              </w:rPr>
              <w:t xml:space="preserve">    项目有组织排放口参数一览表</w:t>
            </w:r>
          </w:p>
          <w:tbl>
            <w:tblPr>
              <w:tblStyle w:val="29"/>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480"/>
              <w:gridCol w:w="1000"/>
              <w:gridCol w:w="788"/>
              <w:gridCol w:w="807"/>
              <w:gridCol w:w="724"/>
              <w:gridCol w:w="741"/>
              <w:gridCol w:w="1079"/>
              <w:gridCol w:w="1140"/>
              <w:gridCol w:w="854"/>
              <w:gridCol w:w="625"/>
              <w:gridCol w:w="680"/>
              <w:gridCol w:w="456"/>
            </w:tblGrid>
            <w:tr w14:paraId="7CD2681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789" w:type="pct"/>
                  <w:gridSpan w:val="2"/>
                  <w:vMerge w:val="restart"/>
                  <w:noWrap w:val="0"/>
                  <w:vAlign w:val="center"/>
                </w:tcPr>
                <w:p w14:paraId="7ADDA740">
                  <w:pPr>
                    <w:keepNext w:val="0"/>
                    <w:keepLines w:val="0"/>
                    <w:pageBreakBefore w:val="0"/>
                    <w:widowControl w:val="0"/>
                    <w:suppressLineNumbers w:val="0"/>
                    <w:tabs>
                      <w:tab w:val="left" w:pos="1081"/>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工序</w:t>
                  </w:r>
                </w:p>
              </w:tc>
              <w:tc>
                <w:tcPr>
                  <w:tcW w:w="420" w:type="pct"/>
                  <w:vMerge w:val="restart"/>
                  <w:noWrap w:val="0"/>
                  <w:vAlign w:val="center"/>
                </w:tcPr>
                <w:p w14:paraId="146191EF">
                  <w:pPr>
                    <w:keepNext w:val="0"/>
                    <w:keepLines w:val="0"/>
                    <w:pageBreakBefore w:val="0"/>
                    <w:widowControl w:val="0"/>
                    <w:suppressLineNumbers w:val="0"/>
                    <w:tabs>
                      <w:tab w:val="left" w:pos="1081"/>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编号</w:t>
                  </w:r>
                </w:p>
              </w:tc>
              <w:tc>
                <w:tcPr>
                  <w:tcW w:w="430" w:type="pct"/>
                  <w:vMerge w:val="restart"/>
                  <w:noWrap w:val="0"/>
                  <w:vAlign w:val="center"/>
                </w:tcPr>
                <w:p w14:paraId="3D82DAE9">
                  <w:pPr>
                    <w:keepNext w:val="0"/>
                    <w:keepLines w:val="0"/>
                    <w:pageBreakBefore w:val="0"/>
                    <w:widowControl w:val="0"/>
                    <w:suppressLineNumbers w:val="0"/>
                    <w:tabs>
                      <w:tab w:val="left" w:pos="1081"/>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eastAsia="zh-CN"/>
                      <w14:textFill>
                        <w14:solidFill>
                          <w14:schemeClr w14:val="tx1"/>
                        </w14:solidFill>
                      </w14:textFill>
                    </w:rPr>
                    <w:t>排放口名称</w:t>
                  </w:r>
                </w:p>
              </w:tc>
              <w:tc>
                <w:tcPr>
                  <w:tcW w:w="386" w:type="pct"/>
                  <w:vMerge w:val="restart"/>
                  <w:noWrap w:val="0"/>
                  <w:vAlign w:val="center"/>
                </w:tcPr>
                <w:p w14:paraId="7F8CEC65">
                  <w:pPr>
                    <w:keepNext w:val="0"/>
                    <w:keepLines w:val="0"/>
                    <w:pageBreakBefore w:val="0"/>
                    <w:widowControl w:val="0"/>
                    <w:suppressLineNumbers w:val="0"/>
                    <w:tabs>
                      <w:tab w:val="left" w:pos="1081"/>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eastAsia="zh-CN"/>
                      <w14:textFill>
                        <w14:solidFill>
                          <w14:schemeClr w14:val="tx1"/>
                        </w14:solidFill>
                      </w14:textFill>
                    </w:rPr>
                    <w:t>排放口类型</w:t>
                  </w:r>
                </w:p>
              </w:tc>
              <w:tc>
                <w:tcPr>
                  <w:tcW w:w="395" w:type="pct"/>
                  <w:vMerge w:val="restart"/>
                  <w:noWrap w:val="0"/>
                  <w:vAlign w:val="center"/>
                </w:tcPr>
                <w:p w14:paraId="57798DD1">
                  <w:pPr>
                    <w:keepNext w:val="0"/>
                    <w:keepLines w:val="0"/>
                    <w:pageBreakBefore w:val="0"/>
                    <w:widowControl w:val="0"/>
                    <w:suppressLineNumbers w:val="0"/>
                    <w:tabs>
                      <w:tab w:val="left" w:pos="1081"/>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eastAsia="zh-CN"/>
                      <w14:textFill>
                        <w14:solidFill>
                          <w14:schemeClr w14:val="tx1"/>
                        </w14:solidFill>
                      </w14:textFill>
                    </w:rPr>
                    <w:t>排气筒温度（℃）</w:t>
                  </w:r>
                </w:p>
              </w:tc>
              <w:tc>
                <w:tcPr>
                  <w:tcW w:w="1183" w:type="pct"/>
                  <w:gridSpan w:val="2"/>
                  <w:noWrap w:val="0"/>
                  <w:vAlign w:val="center"/>
                </w:tcPr>
                <w:p w14:paraId="4D69A7CE">
                  <w:pPr>
                    <w:keepNext w:val="0"/>
                    <w:keepLines w:val="0"/>
                    <w:pageBreakBefore w:val="0"/>
                    <w:widowControl w:val="0"/>
                    <w:suppressLineNumbers w:val="0"/>
                    <w:tabs>
                      <w:tab w:val="left" w:pos="1081"/>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排气筒底部中心坐标</w:t>
                  </w:r>
                </w:p>
              </w:tc>
              <w:tc>
                <w:tcPr>
                  <w:tcW w:w="455" w:type="pct"/>
                  <w:vMerge w:val="restart"/>
                  <w:noWrap w:val="0"/>
                  <w:vAlign w:val="center"/>
                </w:tcPr>
                <w:p w14:paraId="798E0411">
                  <w:pPr>
                    <w:keepNext w:val="0"/>
                    <w:keepLines w:val="0"/>
                    <w:pageBreakBefore w:val="0"/>
                    <w:widowControl w:val="0"/>
                    <w:suppressLineNumbers w:val="0"/>
                    <w:tabs>
                      <w:tab w:val="left" w:pos="1081"/>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排气筒高度（m）</w:t>
                  </w:r>
                </w:p>
              </w:tc>
              <w:tc>
                <w:tcPr>
                  <w:tcW w:w="333" w:type="pct"/>
                  <w:vMerge w:val="restart"/>
                  <w:noWrap w:val="0"/>
                  <w:vAlign w:val="center"/>
                </w:tcPr>
                <w:p w14:paraId="43C8FB0D">
                  <w:pPr>
                    <w:keepNext w:val="0"/>
                    <w:keepLines w:val="0"/>
                    <w:pageBreakBefore w:val="0"/>
                    <w:widowControl w:val="0"/>
                    <w:suppressLineNumbers w:val="0"/>
                    <w:tabs>
                      <w:tab w:val="left" w:pos="1081"/>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排气筒出口内径/m</w:t>
                  </w:r>
                </w:p>
              </w:tc>
              <w:tc>
                <w:tcPr>
                  <w:tcW w:w="362" w:type="pct"/>
                  <w:vMerge w:val="restart"/>
                  <w:noWrap w:val="0"/>
                  <w:vAlign w:val="center"/>
                </w:tcPr>
                <w:p w14:paraId="6D71551B">
                  <w:pPr>
                    <w:keepNext w:val="0"/>
                    <w:keepLines w:val="0"/>
                    <w:pageBreakBefore w:val="0"/>
                    <w:widowControl w:val="0"/>
                    <w:suppressLineNumbers w:val="0"/>
                    <w:tabs>
                      <w:tab w:val="left" w:pos="1081"/>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年排放小时数/h</w:t>
                  </w:r>
                </w:p>
              </w:tc>
              <w:tc>
                <w:tcPr>
                  <w:tcW w:w="243" w:type="pct"/>
                  <w:vMerge w:val="restart"/>
                  <w:noWrap w:val="0"/>
                  <w:vAlign w:val="center"/>
                </w:tcPr>
                <w:p w14:paraId="33DBB3C6">
                  <w:pPr>
                    <w:keepNext w:val="0"/>
                    <w:keepLines w:val="0"/>
                    <w:pageBreakBefore w:val="0"/>
                    <w:widowControl w:val="0"/>
                    <w:suppressLineNumbers w:val="0"/>
                    <w:tabs>
                      <w:tab w:val="left" w:pos="1081"/>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排放工况</w:t>
                  </w:r>
                </w:p>
              </w:tc>
            </w:tr>
            <w:tr w14:paraId="54693F7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789" w:type="pct"/>
                  <w:gridSpan w:val="2"/>
                  <w:vMerge w:val="continue"/>
                  <w:noWrap w:val="0"/>
                  <w:vAlign w:val="center"/>
                </w:tcPr>
                <w:p w14:paraId="6E0BA968">
                  <w:pPr>
                    <w:keepNext w:val="0"/>
                    <w:keepLines w:val="0"/>
                    <w:pageBreakBefore w:val="0"/>
                    <w:widowControl w:val="0"/>
                    <w:suppressLineNumbers w:val="0"/>
                    <w:tabs>
                      <w:tab w:val="left" w:pos="1081"/>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420" w:type="pct"/>
                  <w:vMerge w:val="continue"/>
                  <w:noWrap w:val="0"/>
                  <w:vAlign w:val="center"/>
                </w:tcPr>
                <w:p w14:paraId="009A8991">
                  <w:pPr>
                    <w:keepNext w:val="0"/>
                    <w:keepLines w:val="0"/>
                    <w:pageBreakBefore w:val="0"/>
                    <w:widowControl w:val="0"/>
                    <w:suppressLineNumbers w:val="0"/>
                    <w:tabs>
                      <w:tab w:val="left" w:pos="1081"/>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430" w:type="pct"/>
                  <w:vMerge w:val="continue"/>
                  <w:noWrap w:val="0"/>
                  <w:vAlign w:val="center"/>
                </w:tcPr>
                <w:p w14:paraId="08B27621">
                  <w:pPr>
                    <w:keepNext w:val="0"/>
                    <w:keepLines w:val="0"/>
                    <w:pageBreakBefore w:val="0"/>
                    <w:widowControl w:val="0"/>
                    <w:suppressLineNumbers w:val="0"/>
                    <w:tabs>
                      <w:tab w:val="left" w:pos="1081"/>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386" w:type="pct"/>
                  <w:vMerge w:val="continue"/>
                  <w:noWrap w:val="0"/>
                  <w:vAlign w:val="center"/>
                </w:tcPr>
                <w:p w14:paraId="58425DC6">
                  <w:pPr>
                    <w:keepNext w:val="0"/>
                    <w:keepLines w:val="0"/>
                    <w:pageBreakBefore w:val="0"/>
                    <w:widowControl w:val="0"/>
                    <w:suppressLineNumbers w:val="0"/>
                    <w:tabs>
                      <w:tab w:val="left" w:pos="1081"/>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395" w:type="pct"/>
                  <w:vMerge w:val="continue"/>
                  <w:noWrap w:val="0"/>
                  <w:vAlign w:val="center"/>
                </w:tcPr>
                <w:p w14:paraId="04B77FEE">
                  <w:pPr>
                    <w:keepNext w:val="0"/>
                    <w:keepLines w:val="0"/>
                    <w:pageBreakBefore w:val="0"/>
                    <w:widowControl w:val="0"/>
                    <w:suppressLineNumbers w:val="0"/>
                    <w:tabs>
                      <w:tab w:val="left" w:pos="1081"/>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575" w:type="pct"/>
                  <w:noWrap w:val="0"/>
                  <w:vAlign w:val="center"/>
                </w:tcPr>
                <w:p w14:paraId="58A93212">
                  <w:pPr>
                    <w:keepNext w:val="0"/>
                    <w:keepLines w:val="0"/>
                    <w:pageBreakBefore w:val="0"/>
                    <w:widowControl w:val="0"/>
                    <w:suppressLineNumbers w:val="0"/>
                    <w:tabs>
                      <w:tab w:val="left" w:pos="1081"/>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X</w:t>
                  </w:r>
                </w:p>
              </w:tc>
              <w:tc>
                <w:tcPr>
                  <w:tcW w:w="608" w:type="pct"/>
                  <w:noWrap w:val="0"/>
                  <w:vAlign w:val="center"/>
                </w:tcPr>
                <w:p w14:paraId="6BDC7EC7">
                  <w:pPr>
                    <w:keepNext w:val="0"/>
                    <w:keepLines w:val="0"/>
                    <w:pageBreakBefore w:val="0"/>
                    <w:widowControl w:val="0"/>
                    <w:suppressLineNumbers w:val="0"/>
                    <w:tabs>
                      <w:tab w:val="left" w:pos="1081"/>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Y</w:t>
                  </w:r>
                </w:p>
              </w:tc>
              <w:tc>
                <w:tcPr>
                  <w:tcW w:w="455" w:type="pct"/>
                  <w:vMerge w:val="continue"/>
                  <w:noWrap w:val="0"/>
                  <w:vAlign w:val="center"/>
                </w:tcPr>
                <w:p w14:paraId="145D1A49">
                  <w:pPr>
                    <w:keepNext w:val="0"/>
                    <w:keepLines w:val="0"/>
                    <w:pageBreakBefore w:val="0"/>
                    <w:widowControl w:val="0"/>
                    <w:suppressLineNumbers w:val="0"/>
                    <w:tabs>
                      <w:tab w:val="left" w:pos="1081"/>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333" w:type="pct"/>
                  <w:vMerge w:val="continue"/>
                  <w:noWrap w:val="0"/>
                  <w:vAlign w:val="center"/>
                </w:tcPr>
                <w:p w14:paraId="075FBF24">
                  <w:pPr>
                    <w:keepNext w:val="0"/>
                    <w:keepLines w:val="0"/>
                    <w:pageBreakBefore w:val="0"/>
                    <w:widowControl w:val="0"/>
                    <w:suppressLineNumbers w:val="0"/>
                    <w:tabs>
                      <w:tab w:val="left" w:pos="1081"/>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362" w:type="pct"/>
                  <w:vMerge w:val="continue"/>
                  <w:noWrap w:val="0"/>
                  <w:vAlign w:val="center"/>
                </w:tcPr>
                <w:p w14:paraId="55935C00">
                  <w:pPr>
                    <w:keepNext w:val="0"/>
                    <w:keepLines w:val="0"/>
                    <w:pageBreakBefore w:val="0"/>
                    <w:widowControl w:val="0"/>
                    <w:suppressLineNumbers w:val="0"/>
                    <w:tabs>
                      <w:tab w:val="left" w:pos="1081"/>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243" w:type="pct"/>
                  <w:vMerge w:val="continue"/>
                  <w:noWrap w:val="0"/>
                  <w:vAlign w:val="center"/>
                </w:tcPr>
                <w:p w14:paraId="46F544B7">
                  <w:pPr>
                    <w:keepNext w:val="0"/>
                    <w:keepLines w:val="0"/>
                    <w:pageBreakBefore w:val="0"/>
                    <w:widowControl w:val="0"/>
                    <w:suppressLineNumbers w:val="0"/>
                    <w:tabs>
                      <w:tab w:val="left" w:pos="1081"/>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r>
            <w:tr w14:paraId="7DDE4D7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256" w:type="pct"/>
                  <w:vMerge w:val="restart"/>
                  <w:noWrap w:val="0"/>
                  <w:vAlign w:val="center"/>
                </w:tcPr>
                <w:p w14:paraId="5C2C7FBE">
                  <w:pPr>
                    <w:keepNext w:val="0"/>
                    <w:keepLines w:val="0"/>
                    <w:suppressLineNumbers w:val="0"/>
                    <w:bidi w:val="0"/>
                    <w:spacing w:before="0" w:beforeAutospacing="0" w:after="0" w:afterAutospacing="0"/>
                    <w:ind w:left="0" w:right="0"/>
                    <w:rPr>
                      <w:rFonts w:hint="default"/>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机制炭</w:t>
                  </w:r>
                  <w:r>
                    <w:rPr>
                      <w:rFonts w:hint="default"/>
                      <w:color w:val="000000" w:themeColor="text1"/>
                      <w:sz w:val="21"/>
                      <w:szCs w:val="21"/>
                      <w:lang w:val="en-US" w:eastAsia="zh-CN"/>
                      <w14:textFill>
                        <w14:solidFill>
                          <w14:schemeClr w14:val="tx1"/>
                        </w14:solidFill>
                      </w14:textFill>
                    </w:rPr>
                    <w:t>生产线</w:t>
                  </w:r>
                </w:p>
              </w:tc>
              <w:tc>
                <w:tcPr>
                  <w:tcW w:w="533" w:type="pct"/>
                  <w:shd w:val="clear" w:color="auto" w:fill="auto"/>
                  <w:noWrap w:val="0"/>
                  <w:vAlign w:val="center"/>
                </w:tcPr>
                <w:p w14:paraId="112616FC">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t>破碎、筛分、冷却、锯切、包装工序</w:t>
                  </w:r>
                </w:p>
              </w:tc>
              <w:tc>
                <w:tcPr>
                  <w:tcW w:w="781" w:type="dxa"/>
                  <w:shd w:val="clear" w:color="auto" w:fill="auto"/>
                  <w:noWrap w:val="0"/>
                  <w:vAlign w:val="center"/>
                </w:tcPr>
                <w:p w14:paraId="13A935F6">
                  <w:pPr>
                    <w:keepNext w:val="0"/>
                    <w:keepLines w:val="0"/>
                    <w:pageBreakBefore w:val="0"/>
                    <w:widowControl/>
                    <w:suppressLineNumbers w:val="0"/>
                    <w:kinsoku/>
                    <w:wordWrap/>
                    <w:overflowPunct/>
                    <w:topLinePunct w:val="0"/>
                    <w:autoSpaceDE/>
                    <w:autoSpaceDN/>
                    <w:bidi w:val="0"/>
                    <w:spacing w:before="0" w:beforeAutospacing="0" w:after="0" w:afterAutospacing="0"/>
                    <w:ind w:left="0" w:leftChars="0" w:right="0" w:rightChars="0"/>
                    <w:jc w:val="center"/>
                    <w:textAlignment w:val="center"/>
                    <w:outlineLvl w:val="9"/>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color="auto"/>
                      <w:lang w:val="en-US" w:eastAsia="zh-CN" w:bidi="ar"/>
                      <w14:textFill>
                        <w14:solidFill>
                          <w14:schemeClr w14:val="tx1"/>
                        </w14:solidFill>
                      </w14:textFill>
                    </w:rPr>
                    <w:t>DA001</w:t>
                  </w:r>
                </w:p>
              </w:tc>
              <w:tc>
                <w:tcPr>
                  <w:tcW w:w="800" w:type="dxa"/>
                  <w:shd w:val="clear" w:color="auto" w:fill="auto"/>
                  <w:noWrap w:val="0"/>
                  <w:vAlign w:val="center"/>
                </w:tcPr>
                <w:p w14:paraId="4DD98882">
                  <w:pPr>
                    <w:keepNext w:val="0"/>
                    <w:keepLines w:val="0"/>
                    <w:pageBreakBefore w:val="0"/>
                    <w:widowControl w:val="0"/>
                    <w:suppressLineNumbers w:val="0"/>
                    <w:tabs>
                      <w:tab w:val="left" w:pos="1081"/>
                    </w:tabs>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1#排气口</w:t>
                  </w:r>
                </w:p>
              </w:tc>
              <w:tc>
                <w:tcPr>
                  <w:tcW w:w="386" w:type="pct"/>
                  <w:shd w:val="clear" w:color="auto" w:fill="auto"/>
                  <w:noWrap w:val="0"/>
                  <w:vAlign w:val="center"/>
                </w:tcPr>
                <w:p w14:paraId="15956C8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eastAsia="zh-CN"/>
                      <w14:textFill>
                        <w14:solidFill>
                          <w14:schemeClr w14:val="tx1"/>
                        </w14:solidFill>
                      </w14:textFill>
                    </w:rPr>
                    <w:t>一般排放口</w:t>
                  </w:r>
                </w:p>
              </w:tc>
              <w:tc>
                <w:tcPr>
                  <w:tcW w:w="395" w:type="pct"/>
                  <w:shd w:val="clear" w:color="auto" w:fill="auto"/>
                  <w:noWrap w:val="0"/>
                  <w:vAlign w:val="center"/>
                </w:tcPr>
                <w:p w14:paraId="1D8AB229">
                  <w:pPr>
                    <w:keepNext w:val="0"/>
                    <w:keepLines w:val="0"/>
                    <w:pageBreakBefore w:val="0"/>
                    <w:widowControl w:val="0"/>
                    <w:suppressLineNumbers w:val="0"/>
                    <w:tabs>
                      <w:tab w:val="left" w:pos="1081"/>
                    </w:tabs>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20</w:t>
                  </w:r>
                </w:p>
              </w:tc>
              <w:tc>
                <w:tcPr>
                  <w:tcW w:w="575" w:type="pct"/>
                  <w:shd w:val="clear" w:color="auto" w:fill="auto"/>
                  <w:noWrap w:val="0"/>
                  <w:vAlign w:val="center"/>
                </w:tcPr>
                <w:p w14:paraId="5AA19C71">
                  <w:pPr>
                    <w:keepNext w:val="0"/>
                    <w:keepLines w:val="0"/>
                    <w:pageBreakBefore w:val="0"/>
                    <w:widowControl w:val="0"/>
                    <w:suppressLineNumbers w:val="0"/>
                    <w:tabs>
                      <w:tab w:val="left" w:pos="1081"/>
                    </w:tabs>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112.94038601</w:t>
                  </w:r>
                </w:p>
              </w:tc>
              <w:tc>
                <w:tcPr>
                  <w:tcW w:w="608" w:type="pct"/>
                  <w:shd w:val="clear" w:color="auto" w:fill="auto"/>
                  <w:noWrap w:val="0"/>
                  <w:vAlign w:val="center"/>
                </w:tcPr>
                <w:p w14:paraId="16CD8168">
                  <w:pPr>
                    <w:keepNext w:val="0"/>
                    <w:keepLines w:val="0"/>
                    <w:pageBreakBefore w:val="0"/>
                    <w:widowControl w:val="0"/>
                    <w:suppressLineNumbers w:val="0"/>
                    <w:tabs>
                      <w:tab w:val="left" w:pos="1081"/>
                    </w:tabs>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33.44334575</w:t>
                  </w:r>
                </w:p>
              </w:tc>
              <w:tc>
                <w:tcPr>
                  <w:tcW w:w="455" w:type="pct"/>
                  <w:shd w:val="clear" w:color="auto" w:fill="auto"/>
                  <w:noWrap w:val="0"/>
                  <w:vAlign w:val="center"/>
                </w:tcPr>
                <w:p w14:paraId="0DFFB588">
                  <w:pPr>
                    <w:keepNext w:val="0"/>
                    <w:keepLines w:val="0"/>
                    <w:pageBreakBefore w:val="0"/>
                    <w:widowControl w:val="0"/>
                    <w:suppressLineNumbers w:val="0"/>
                    <w:tabs>
                      <w:tab w:val="left" w:pos="1081"/>
                    </w:tabs>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15</w:t>
                  </w:r>
                </w:p>
              </w:tc>
              <w:tc>
                <w:tcPr>
                  <w:tcW w:w="333" w:type="pct"/>
                  <w:shd w:val="clear" w:color="auto" w:fill="auto"/>
                  <w:noWrap w:val="0"/>
                  <w:vAlign w:val="center"/>
                </w:tcPr>
                <w:p w14:paraId="3552C60F">
                  <w:pPr>
                    <w:keepNext w:val="0"/>
                    <w:keepLines w:val="0"/>
                    <w:pageBreakBefore w:val="0"/>
                    <w:widowControl w:val="0"/>
                    <w:suppressLineNumbers w:val="0"/>
                    <w:tabs>
                      <w:tab w:val="left" w:pos="1081"/>
                    </w:tabs>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0.</w:t>
                  </w:r>
                  <w:r>
                    <w:rPr>
                      <w:rFonts w:hint="eastAsia"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3</w:t>
                  </w:r>
                  <w:r>
                    <w:rPr>
                      <w:rFonts w:hint="eastAsia" w:cs="Times New Roman"/>
                      <w:color w:val="000000" w:themeColor="text1"/>
                      <w:sz w:val="21"/>
                      <w:szCs w:val="21"/>
                      <w:highlight w:val="none"/>
                      <w:u w:val="none" w:color="auto"/>
                      <w:lang w:val="en-US" w:eastAsia="zh-CN"/>
                      <w14:textFill>
                        <w14:solidFill>
                          <w14:schemeClr w14:val="tx1"/>
                        </w14:solidFill>
                      </w14:textFill>
                    </w:rPr>
                    <w:t>5</w:t>
                  </w:r>
                </w:p>
              </w:tc>
              <w:tc>
                <w:tcPr>
                  <w:tcW w:w="362" w:type="pct"/>
                  <w:shd w:val="clear" w:color="auto" w:fill="auto"/>
                  <w:noWrap w:val="0"/>
                  <w:vAlign w:val="center"/>
                </w:tcPr>
                <w:p w14:paraId="1ACD0A8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eastAsia" w:cs="Times New Roman"/>
                      <w:color w:val="000000" w:themeColor="text1"/>
                      <w:sz w:val="21"/>
                      <w:szCs w:val="21"/>
                      <w:highlight w:val="none"/>
                      <w:u w:val="none" w:color="auto"/>
                      <w:lang w:val="en-US" w:eastAsia="zh-CN"/>
                      <w14:textFill>
                        <w14:solidFill>
                          <w14:schemeClr w14:val="tx1"/>
                        </w14:solidFill>
                      </w14:textFill>
                    </w:rPr>
                    <w:t>3600</w:t>
                  </w:r>
                </w:p>
              </w:tc>
              <w:tc>
                <w:tcPr>
                  <w:tcW w:w="243" w:type="pct"/>
                  <w:shd w:val="clear" w:color="auto" w:fill="auto"/>
                  <w:noWrap w:val="0"/>
                  <w:vAlign w:val="center"/>
                </w:tcPr>
                <w:p w14:paraId="1C1A771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正常</w:t>
                  </w:r>
                </w:p>
              </w:tc>
            </w:tr>
            <w:tr w14:paraId="1053523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256" w:type="pct"/>
                  <w:vMerge w:val="continue"/>
                  <w:noWrap w:val="0"/>
                  <w:vAlign w:val="center"/>
                </w:tcPr>
                <w:p w14:paraId="3AB76D66">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p>
              </w:tc>
              <w:tc>
                <w:tcPr>
                  <w:tcW w:w="533" w:type="pct"/>
                  <w:shd w:val="clear" w:color="auto" w:fill="auto"/>
                  <w:noWrap w:val="0"/>
                  <w:vAlign w:val="center"/>
                </w:tcPr>
                <w:p w14:paraId="53D69591">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eastAsia" w:cs="Times New Roman"/>
                      <w:color w:val="000000" w:themeColor="text1"/>
                      <w:kern w:val="2"/>
                      <w:sz w:val="21"/>
                      <w:szCs w:val="21"/>
                      <w:lang w:val="en-US" w:eastAsia="zh-CN" w:bidi="ar-SA"/>
                      <w14:textFill>
                        <w14:solidFill>
                          <w14:schemeClr w14:val="tx1"/>
                        </w14:solidFill>
                      </w14:textFill>
                    </w:rPr>
                    <w:t>烘干、制棒、炭化过程</w:t>
                  </w:r>
                </w:p>
              </w:tc>
              <w:tc>
                <w:tcPr>
                  <w:tcW w:w="420" w:type="pct"/>
                  <w:shd w:val="clear" w:color="auto" w:fill="auto"/>
                  <w:noWrap w:val="0"/>
                  <w:vAlign w:val="center"/>
                </w:tcPr>
                <w:p w14:paraId="1AEA24C5">
                  <w:pPr>
                    <w:keepNext w:val="0"/>
                    <w:keepLines w:val="0"/>
                    <w:pageBreakBefore w:val="0"/>
                    <w:widowControl/>
                    <w:suppressLineNumbers w:val="0"/>
                    <w:kinsoku/>
                    <w:wordWrap/>
                    <w:overflowPunct/>
                    <w:topLinePunct w:val="0"/>
                    <w:autoSpaceDE/>
                    <w:autoSpaceDN/>
                    <w:bidi w:val="0"/>
                    <w:spacing w:before="0" w:beforeAutospacing="0" w:after="0" w:afterAutospacing="0"/>
                    <w:ind w:left="0" w:leftChars="0" w:right="0" w:rightChars="0"/>
                    <w:jc w:val="center"/>
                    <w:textAlignment w:val="center"/>
                    <w:outlineLvl w:val="9"/>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color="auto"/>
                      <w:lang w:val="en-US" w:eastAsia="zh-CN" w:bidi="ar"/>
                      <w14:textFill>
                        <w14:solidFill>
                          <w14:schemeClr w14:val="tx1"/>
                        </w14:solidFill>
                      </w14:textFill>
                    </w:rPr>
                    <w:t>DA00</w:t>
                  </w:r>
                  <w:r>
                    <w:rPr>
                      <w:rFonts w:hint="eastAsia" w:ascii="Times New Roman" w:hAnsi="Times New Roman" w:eastAsia="宋体" w:cs="Times New Roman"/>
                      <w:i w:val="0"/>
                      <w:iCs w:val="0"/>
                      <w:color w:val="000000" w:themeColor="text1"/>
                      <w:kern w:val="0"/>
                      <w:sz w:val="21"/>
                      <w:szCs w:val="21"/>
                      <w:highlight w:val="none"/>
                      <w:u w:val="none" w:color="auto"/>
                      <w:lang w:val="en-US" w:eastAsia="zh-CN" w:bidi="ar"/>
                      <w14:textFill>
                        <w14:solidFill>
                          <w14:schemeClr w14:val="tx1"/>
                        </w14:solidFill>
                      </w14:textFill>
                    </w:rPr>
                    <w:t>2</w:t>
                  </w:r>
                </w:p>
              </w:tc>
              <w:tc>
                <w:tcPr>
                  <w:tcW w:w="430" w:type="pct"/>
                  <w:shd w:val="clear" w:color="auto" w:fill="auto"/>
                  <w:noWrap w:val="0"/>
                  <w:vAlign w:val="center"/>
                </w:tcPr>
                <w:p w14:paraId="297BB812">
                  <w:pPr>
                    <w:keepNext w:val="0"/>
                    <w:keepLines w:val="0"/>
                    <w:pageBreakBefore w:val="0"/>
                    <w:widowControl w:val="0"/>
                    <w:suppressLineNumbers w:val="0"/>
                    <w:tabs>
                      <w:tab w:val="left" w:pos="1081"/>
                    </w:tabs>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2</w:t>
                  </w: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#排气口</w:t>
                  </w:r>
                </w:p>
              </w:tc>
              <w:tc>
                <w:tcPr>
                  <w:tcW w:w="386" w:type="pct"/>
                  <w:shd w:val="clear" w:color="auto" w:fill="auto"/>
                  <w:noWrap w:val="0"/>
                  <w:vAlign w:val="center"/>
                </w:tcPr>
                <w:p w14:paraId="0675A99F">
                  <w:pPr>
                    <w:keepNext w:val="0"/>
                    <w:keepLines w:val="0"/>
                    <w:pageBreakBefore w:val="0"/>
                    <w:widowControl w:val="0"/>
                    <w:suppressLineNumbers w:val="0"/>
                    <w:tabs>
                      <w:tab w:val="left" w:pos="1081"/>
                    </w:tabs>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eastAsia="zh-CN"/>
                      <w14:textFill>
                        <w14:solidFill>
                          <w14:schemeClr w14:val="tx1"/>
                        </w14:solidFill>
                      </w14:textFill>
                    </w:rPr>
                    <w:t>一般排放口</w:t>
                  </w:r>
                </w:p>
              </w:tc>
              <w:tc>
                <w:tcPr>
                  <w:tcW w:w="395" w:type="pct"/>
                  <w:shd w:val="clear" w:color="auto" w:fill="auto"/>
                  <w:noWrap w:val="0"/>
                  <w:vAlign w:val="center"/>
                </w:tcPr>
                <w:p w14:paraId="779262C0">
                  <w:pPr>
                    <w:keepNext w:val="0"/>
                    <w:keepLines w:val="0"/>
                    <w:pageBreakBefore w:val="0"/>
                    <w:widowControl w:val="0"/>
                    <w:suppressLineNumbers w:val="0"/>
                    <w:tabs>
                      <w:tab w:val="left" w:pos="1081"/>
                    </w:tabs>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eastAsia" w:cs="Times New Roman"/>
                      <w:color w:val="000000" w:themeColor="text1"/>
                      <w:sz w:val="21"/>
                      <w:szCs w:val="21"/>
                      <w:highlight w:val="none"/>
                      <w:u w:val="none" w:color="auto"/>
                      <w:lang w:val="en-US" w:eastAsia="zh-CN"/>
                      <w14:textFill>
                        <w14:solidFill>
                          <w14:schemeClr w14:val="tx1"/>
                        </w14:solidFill>
                      </w14:textFill>
                    </w:rPr>
                    <w:t>30</w:t>
                  </w:r>
                </w:p>
              </w:tc>
              <w:tc>
                <w:tcPr>
                  <w:tcW w:w="575" w:type="pct"/>
                  <w:shd w:val="clear" w:color="auto" w:fill="auto"/>
                  <w:noWrap w:val="0"/>
                  <w:vAlign w:val="center"/>
                </w:tcPr>
                <w:p w14:paraId="69DC8894">
                  <w:pPr>
                    <w:keepNext w:val="0"/>
                    <w:keepLines w:val="0"/>
                    <w:pageBreakBefore w:val="0"/>
                    <w:widowControl w:val="0"/>
                    <w:suppressLineNumbers w:val="0"/>
                    <w:tabs>
                      <w:tab w:val="left" w:pos="1081"/>
                    </w:tabs>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112.94054190</w:t>
                  </w:r>
                </w:p>
              </w:tc>
              <w:tc>
                <w:tcPr>
                  <w:tcW w:w="608" w:type="pct"/>
                  <w:shd w:val="clear" w:color="auto" w:fill="auto"/>
                  <w:noWrap w:val="0"/>
                  <w:vAlign w:val="center"/>
                </w:tcPr>
                <w:p w14:paraId="2CD35033">
                  <w:pPr>
                    <w:keepNext w:val="0"/>
                    <w:keepLines w:val="0"/>
                    <w:pageBreakBefore w:val="0"/>
                    <w:widowControl w:val="0"/>
                    <w:suppressLineNumbers w:val="0"/>
                    <w:tabs>
                      <w:tab w:val="left" w:pos="1081"/>
                    </w:tabs>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33.44339747</w:t>
                  </w:r>
                </w:p>
              </w:tc>
              <w:tc>
                <w:tcPr>
                  <w:tcW w:w="455" w:type="pct"/>
                  <w:shd w:val="clear" w:color="auto" w:fill="auto"/>
                  <w:noWrap w:val="0"/>
                  <w:vAlign w:val="center"/>
                </w:tcPr>
                <w:p w14:paraId="458F06BF">
                  <w:pPr>
                    <w:keepNext w:val="0"/>
                    <w:keepLines w:val="0"/>
                    <w:pageBreakBefore w:val="0"/>
                    <w:widowControl w:val="0"/>
                    <w:suppressLineNumbers w:val="0"/>
                    <w:tabs>
                      <w:tab w:val="left" w:pos="1081"/>
                    </w:tabs>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15</w:t>
                  </w:r>
                </w:p>
              </w:tc>
              <w:tc>
                <w:tcPr>
                  <w:tcW w:w="333" w:type="pct"/>
                  <w:shd w:val="clear" w:color="auto" w:fill="auto"/>
                  <w:noWrap w:val="0"/>
                  <w:vAlign w:val="center"/>
                </w:tcPr>
                <w:p w14:paraId="78B8720F">
                  <w:pPr>
                    <w:keepNext w:val="0"/>
                    <w:keepLines w:val="0"/>
                    <w:pageBreakBefore w:val="0"/>
                    <w:widowControl w:val="0"/>
                    <w:suppressLineNumbers w:val="0"/>
                    <w:tabs>
                      <w:tab w:val="left" w:pos="1081"/>
                    </w:tabs>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0.</w:t>
                  </w:r>
                  <w:r>
                    <w:rPr>
                      <w:rFonts w:hint="eastAsia"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6</w:t>
                  </w:r>
                  <w:r>
                    <w:rPr>
                      <w:rFonts w:hint="eastAsia" w:cs="Times New Roman"/>
                      <w:color w:val="000000" w:themeColor="text1"/>
                      <w:sz w:val="21"/>
                      <w:szCs w:val="21"/>
                      <w:highlight w:val="none"/>
                      <w:u w:val="none" w:color="auto"/>
                      <w:lang w:val="en-US" w:eastAsia="zh-CN"/>
                      <w14:textFill>
                        <w14:solidFill>
                          <w14:schemeClr w14:val="tx1"/>
                        </w14:solidFill>
                      </w14:textFill>
                    </w:rPr>
                    <w:t>5</w:t>
                  </w:r>
                </w:p>
              </w:tc>
              <w:tc>
                <w:tcPr>
                  <w:tcW w:w="362" w:type="pct"/>
                  <w:shd w:val="clear" w:color="auto" w:fill="auto"/>
                  <w:noWrap w:val="0"/>
                  <w:vAlign w:val="center"/>
                </w:tcPr>
                <w:p w14:paraId="07740E0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eastAsia" w:cs="Times New Roman"/>
                      <w:color w:val="000000" w:themeColor="text1"/>
                      <w:sz w:val="21"/>
                      <w:szCs w:val="21"/>
                      <w:highlight w:val="none"/>
                      <w:u w:val="none" w:color="auto"/>
                      <w:lang w:val="en-US" w:eastAsia="zh-CN"/>
                      <w14:textFill>
                        <w14:solidFill>
                          <w14:schemeClr w14:val="tx1"/>
                        </w14:solidFill>
                      </w14:textFill>
                    </w:rPr>
                    <w:t>7200</w:t>
                  </w:r>
                </w:p>
              </w:tc>
              <w:tc>
                <w:tcPr>
                  <w:tcW w:w="243" w:type="pct"/>
                  <w:shd w:val="clear" w:color="auto" w:fill="auto"/>
                  <w:noWrap w:val="0"/>
                  <w:vAlign w:val="center"/>
                </w:tcPr>
                <w:p w14:paraId="79F5C24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正常</w:t>
                  </w:r>
                </w:p>
              </w:tc>
            </w:tr>
            <w:tr w14:paraId="7AA40C6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256" w:type="pct"/>
                  <w:noWrap w:val="0"/>
                  <w:vAlign w:val="center"/>
                </w:tcPr>
                <w:p w14:paraId="47A2553B">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eastAsia" w:cs="Times New Roman"/>
                      <w:color w:val="000000" w:themeColor="text1"/>
                      <w:sz w:val="21"/>
                      <w:szCs w:val="21"/>
                      <w:highlight w:val="none"/>
                      <w:u w:val="none" w:color="auto"/>
                      <w:lang w:val="en-US" w:eastAsia="zh-CN" w:bidi="ar"/>
                      <w14:textFill>
                        <w14:solidFill>
                          <w14:schemeClr w14:val="tx1"/>
                        </w14:solidFill>
                      </w14:textFill>
                    </w:rPr>
                    <w:t>生物质颗粒</w:t>
                  </w:r>
                  <w:r>
                    <w:rPr>
                      <w:rFonts w:hint="default" w:ascii="Times New Roman" w:hAnsi="Times New Roman" w:eastAsia="宋体" w:cs="Times New Roman"/>
                      <w:color w:val="000000" w:themeColor="text1"/>
                      <w:sz w:val="21"/>
                      <w:szCs w:val="21"/>
                      <w:highlight w:val="none"/>
                      <w:u w:val="none" w:color="auto"/>
                      <w:lang w:val="en-US" w:eastAsia="zh-CN" w:bidi="ar"/>
                      <w14:textFill>
                        <w14:solidFill>
                          <w14:schemeClr w14:val="tx1"/>
                        </w14:solidFill>
                      </w14:textFill>
                    </w:rPr>
                    <w:t>生产线</w:t>
                  </w:r>
                </w:p>
              </w:tc>
              <w:tc>
                <w:tcPr>
                  <w:tcW w:w="533" w:type="pct"/>
                  <w:shd w:val="clear" w:color="auto" w:fill="auto"/>
                  <w:noWrap w:val="0"/>
                  <w:vAlign w:val="center"/>
                </w:tcPr>
                <w:p w14:paraId="14A820C6">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eastAsia" w:cs="Times New Roman"/>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kern w:val="0"/>
                      <w:sz w:val="21"/>
                      <w:szCs w:val="21"/>
                      <w:lang w:val="en-US" w:eastAsia="zh-CN" w:bidi="ar"/>
                      <w14:textFill>
                        <w14:solidFill>
                          <w14:schemeClr w14:val="tx1"/>
                        </w14:solidFill>
                      </w14:textFill>
                    </w:rPr>
                    <w:t>破碎、筛分、造粒和包装等过程</w:t>
                  </w:r>
                </w:p>
              </w:tc>
              <w:tc>
                <w:tcPr>
                  <w:tcW w:w="781" w:type="dxa"/>
                  <w:shd w:val="clear" w:color="auto" w:fill="auto"/>
                  <w:noWrap w:val="0"/>
                  <w:vAlign w:val="center"/>
                </w:tcPr>
                <w:p w14:paraId="013B8A82">
                  <w:pPr>
                    <w:keepNext w:val="0"/>
                    <w:keepLines w:val="0"/>
                    <w:pageBreakBefore w:val="0"/>
                    <w:widowControl/>
                    <w:suppressLineNumbers w:val="0"/>
                    <w:kinsoku/>
                    <w:wordWrap/>
                    <w:overflowPunct/>
                    <w:topLinePunct w:val="0"/>
                    <w:autoSpaceDE/>
                    <w:autoSpaceDN/>
                    <w:bidi w:val="0"/>
                    <w:spacing w:before="0" w:beforeAutospacing="0" w:after="0" w:afterAutospacing="0"/>
                    <w:ind w:left="0" w:leftChars="0" w:right="0" w:rightChars="0"/>
                    <w:jc w:val="center"/>
                    <w:textAlignment w:val="center"/>
                    <w:outlineLvl w:val="9"/>
                    <w:rPr>
                      <w:rFonts w:hint="default" w:ascii="Times New Roman" w:hAnsi="Times New Roman" w:eastAsia="宋体" w:cs="Times New Roman"/>
                      <w:i w:val="0"/>
                      <w:iCs w:val="0"/>
                      <w:color w:val="000000" w:themeColor="text1"/>
                      <w:kern w:val="0"/>
                      <w:sz w:val="21"/>
                      <w:szCs w:val="21"/>
                      <w:highlight w:val="none"/>
                      <w:u w:val="none" w:color="auto"/>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color="auto"/>
                      <w:lang w:val="en-US" w:eastAsia="zh-CN" w:bidi="ar"/>
                      <w14:textFill>
                        <w14:solidFill>
                          <w14:schemeClr w14:val="tx1"/>
                        </w14:solidFill>
                      </w14:textFill>
                    </w:rPr>
                    <w:t>DA00</w:t>
                  </w:r>
                  <w:r>
                    <w:rPr>
                      <w:rFonts w:hint="eastAsia" w:cs="Times New Roman"/>
                      <w:i w:val="0"/>
                      <w:iCs w:val="0"/>
                      <w:color w:val="000000" w:themeColor="text1"/>
                      <w:kern w:val="0"/>
                      <w:sz w:val="21"/>
                      <w:szCs w:val="21"/>
                      <w:highlight w:val="none"/>
                      <w:u w:val="none" w:color="auto"/>
                      <w:lang w:val="en-US" w:eastAsia="zh-CN" w:bidi="ar"/>
                      <w14:textFill>
                        <w14:solidFill>
                          <w14:schemeClr w14:val="tx1"/>
                        </w14:solidFill>
                      </w14:textFill>
                    </w:rPr>
                    <w:t>3</w:t>
                  </w:r>
                </w:p>
              </w:tc>
              <w:tc>
                <w:tcPr>
                  <w:tcW w:w="800" w:type="dxa"/>
                  <w:shd w:val="clear" w:color="auto" w:fill="auto"/>
                  <w:noWrap w:val="0"/>
                  <w:vAlign w:val="center"/>
                </w:tcPr>
                <w:p w14:paraId="263F1A82">
                  <w:pPr>
                    <w:keepNext w:val="0"/>
                    <w:keepLines w:val="0"/>
                    <w:pageBreakBefore w:val="0"/>
                    <w:widowControl w:val="0"/>
                    <w:suppressLineNumbers w:val="0"/>
                    <w:tabs>
                      <w:tab w:val="left" w:pos="1081"/>
                    </w:tabs>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outlineLvl w:val="9"/>
                    <w:rPr>
                      <w:rFonts w:hint="eastAsia" w:cs="Times New Roman"/>
                      <w:color w:val="000000" w:themeColor="text1"/>
                      <w:sz w:val="21"/>
                      <w:szCs w:val="21"/>
                      <w:highlight w:val="none"/>
                      <w:u w:val="none" w:color="auto"/>
                      <w:lang w:val="en-US" w:eastAsia="zh-CN"/>
                      <w14:textFill>
                        <w14:solidFill>
                          <w14:schemeClr w14:val="tx1"/>
                        </w14:solidFill>
                      </w14:textFill>
                    </w:rPr>
                  </w:pPr>
                  <w:r>
                    <w:rPr>
                      <w:rFonts w:hint="eastAsia" w:cs="Times New Roman"/>
                      <w:color w:val="000000" w:themeColor="text1"/>
                      <w:sz w:val="21"/>
                      <w:szCs w:val="21"/>
                      <w:highlight w:val="none"/>
                      <w:u w:val="none" w:color="auto"/>
                      <w:lang w:val="en-US" w:eastAsia="zh-CN"/>
                      <w14:textFill>
                        <w14:solidFill>
                          <w14:schemeClr w14:val="tx1"/>
                        </w14:solidFill>
                      </w14:textFill>
                    </w:rPr>
                    <w:t>3</w:t>
                  </w: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#排气口</w:t>
                  </w:r>
                </w:p>
              </w:tc>
              <w:tc>
                <w:tcPr>
                  <w:tcW w:w="386" w:type="pct"/>
                  <w:shd w:val="clear" w:color="auto" w:fill="auto"/>
                  <w:noWrap w:val="0"/>
                  <w:vAlign w:val="center"/>
                </w:tcPr>
                <w:p w14:paraId="68D9CCA1">
                  <w:pPr>
                    <w:keepNext w:val="0"/>
                    <w:keepLines w:val="0"/>
                    <w:pageBreakBefore w:val="0"/>
                    <w:widowControl w:val="0"/>
                    <w:suppressLineNumbers w:val="0"/>
                    <w:tabs>
                      <w:tab w:val="left" w:pos="1081"/>
                    </w:tabs>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sz w:val="21"/>
                      <w:szCs w:val="21"/>
                      <w:highlight w:val="none"/>
                      <w:u w:val="none" w:color="auto"/>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eastAsia="zh-CN"/>
                      <w14:textFill>
                        <w14:solidFill>
                          <w14:schemeClr w14:val="tx1"/>
                        </w14:solidFill>
                      </w14:textFill>
                    </w:rPr>
                    <w:t>一般排放口</w:t>
                  </w:r>
                </w:p>
              </w:tc>
              <w:tc>
                <w:tcPr>
                  <w:tcW w:w="395" w:type="pct"/>
                  <w:shd w:val="clear" w:color="auto" w:fill="auto"/>
                  <w:noWrap w:val="0"/>
                  <w:vAlign w:val="center"/>
                </w:tcPr>
                <w:p w14:paraId="41D54B50">
                  <w:pPr>
                    <w:keepNext w:val="0"/>
                    <w:keepLines w:val="0"/>
                    <w:pageBreakBefore w:val="0"/>
                    <w:widowControl w:val="0"/>
                    <w:suppressLineNumbers w:val="0"/>
                    <w:tabs>
                      <w:tab w:val="left" w:pos="1081"/>
                    </w:tabs>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outlineLvl w:val="9"/>
                    <w:rPr>
                      <w:rFonts w:hint="eastAsia"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20</w:t>
                  </w:r>
                </w:p>
              </w:tc>
              <w:tc>
                <w:tcPr>
                  <w:tcW w:w="575" w:type="pct"/>
                  <w:shd w:val="clear" w:color="auto" w:fill="auto"/>
                  <w:noWrap w:val="0"/>
                  <w:vAlign w:val="center"/>
                </w:tcPr>
                <w:p w14:paraId="6CCA3C7C">
                  <w:pPr>
                    <w:keepNext w:val="0"/>
                    <w:keepLines w:val="0"/>
                    <w:pageBreakBefore w:val="0"/>
                    <w:widowControl w:val="0"/>
                    <w:suppressLineNumbers w:val="0"/>
                    <w:tabs>
                      <w:tab w:val="left" w:pos="1081"/>
                    </w:tabs>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112.94106064</w:t>
                  </w:r>
                </w:p>
              </w:tc>
              <w:tc>
                <w:tcPr>
                  <w:tcW w:w="608" w:type="pct"/>
                  <w:shd w:val="clear" w:color="auto" w:fill="auto"/>
                  <w:noWrap w:val="0"/>
                  <w:vAlign w:val="center"/>
                </w:tcPr>
                <w:p w14:paraId="6F31AEE7">
                  <w:pPr>
                    <w:keepNext w:val="0"/>
                    <w:keepLines w:val="0"/>
                    <w:pageBreakBefore w:val="0"/>
                    <w:widowControl w:val="0"/>
                    <w:suppressLineNumbers w:val="0"/>
                    <w:tabs>
                      <w:tab w:val="left" w:pos="1081"/>
                    </w:tabs>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33.44335121</w:t>
                  </w:r>
                </w:p>
              </w:tc>
              <w:tc>
                <w:tcPr>
                  <w:tcW w:w="455" w:type="pct"/>
                  <w:shd w:val="clear" w:color="auto" w:fill="auto"/>
                  <w:noWrap w:val="0"/>
                  <w:vAlign w:val="center"/>
                </w:tcPr>
                <w:p w14:paraId="72A0FF43">
                  <w:pPr>
                    <w:keepNext w:val="0"/>
                    <w:keepLines w:val="0"/>
                    <w:pageBreakBefore w:val="0"/>
                    <w:widowControl w:val="0"/>
                    <w:suppressLineNumbers w:val="0"/>
                    <w:tabs>
                      <w:tab w:val="left" w:pos="1081"/>
                    </w:tabs>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15</w:t>
                  </w:r>
                </w:p>
              </w:tc>
              <w:tc>
                <w:tcPr>
                  <w:tcW w:w="333" w:type="pct"/>
                  <w:shd w:val="clear" w:color="auto" w:fill="auto"/>
                  <w:noWrap w:val="0"/>
                  <w:vAlign w:val="center"/>
                </w:tcPr>
                <w:p w14:paraId="618C0A71">
                  <w:pPr>
                    <w:keepNext w:val="0"/>
                    <w:keepLines w:val="0"/>
                    <w:pageBreakBefore w:val="0"/>
                    <w:widowControl w:val="0"/>
                    <w:suppressLineNumbers w:val="0"/>
                    <w:tabs>
                      <w:tab w:val="left" w:pos="1081"/>
                    </w:tabs>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0.</w:t>
                  </w:r>
                  <w:r>
                    <w:rPr>
                      <w:rFonts w:hint="eastAsia"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1</w:t>
                  </w: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5</w:t>
                  </w:r>
                </w:p>
              </w:tc>
              <w:tc>
                <w:tcPr>
                  <w:tcW w:w="362" w:type="pct"/>
                  <w:shd w:val="clear" w:color="auto" w:fill="auto"/>
                  <w:noWrap w:val="0"/>
                  <w:vAlign w:val="center"/>
                </w:tcPr>
                <w:p w14:paraId="41812433">
                  <w:pPr>
                    <w:keepNext w:val="0"/>
                    <w:keepLines w:val="0"/>
                    <w:pageBreakBefore w:val="0"/>
                    <w:widowControl w:val="0"/>
                    <w:suppressLineNumbers w:val="0"/>
                    <w:tabs>
                      <w:tab w:val="left" w:pos="1081"/>
                    </w:tabs>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outlineLvl w:val="9"/>
                    <w:rPr>
                      <w:rFonts w:hint="eastAsia" w:cs="Times New Roman"/>
                      <w:color w:val="000000" w:themeColor="text1"/>
                      <w:sz w:val="21"/>
                      <w:szCs w:val="21"/>
                      <w:highlight w:val="none"/>
                      <w:u w:val="none" w:color="auto"/>
                      <w:lang w:val="en-US" w:eastAsia="zh-CN"/>
                      <w14:textFill>
                        <w14:solidFill>
                          <w14:schemeClr w14:val="tx1"/>
                        </w14:solidFill>
                      </w14:textFill>
                    </w:rPr>
                  </w:pPr>
                  <w:r>
                    <w:rPr>
                      <w:rFonts w:hint="eastAsia" w:cs="Times New Roman"/>
                      <w:color w:val="000000" w:themeColor="text1"/>
                      <w:sz w:val="21"/>
                      <w:szCs w:val="21"/>
                      <w:highlight w:val="none"/>
                      <w:u w:val="none" w:color="auto"/>
                      <w:lang w:val="en-US" w:eastAsia="zh-CN"/>
                      <w14:textFill>
                        <w14:solidFill>
                          <w14:schemeClr w14:val="tx1"/>
                        </w14:solidFill>
                      </w14:textFill>
                    </w:rPr>
                    <w:t>3600</w:t>
                  </w:r>
                </w:p>
              </w:tc>
              <w:tc>
                <w:tcPr>
                  <w:tcW w:w="243" w:type="pct"/>
                  <w:shd w:val="clear" w:color="auto" w:fill="auto"/>
                  <w:noWrap w:val="0"/>
                  <w:vAlign w:val="center"/>
                </w:tcPr>
                <w:p w14:paraId="6A7609E7">
                  <w:pPr>
                    <w:keepNext w:val="0"/>
                    <w:keepLines w:val="0"/>
                    <w:pageBreakBefore w:val="0"/>
                    <w:widowControl w:val="0"/>
                    <w:suppressLineNumbers w:val="0"/>
                    <w:tabs>
                      <w:tab w:val="left" w:pos="1081"/>
                    </w:tabs>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正常</w:t>
                  </w:r>
                </w:p>
              </w:tc>
            </w:tr>
          </w:tbl>
          <w:p w14:paraId="4F89F8CF">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bCs/>
                <w:color w:val="000000" w:themeColor="text1"/>
                <w:sz w:val="24"/>
                <w:szCs w:val="24"/>
                <w:highlight w:val="none"/>
                <w:u w:val="none" w:color="auto"/>
                <w14:textFill>
                  <w14:solidFill>
                    <w14:schemeClr w14:val="tx1"/>
                  </w14:solidFill>
                </w14:textFill>
              </w:rPr>
            </w:pPr>
            <w:r>
              <w:rPr>
                <w:rFonts w:hint="eastAsia" w:ascii="Times New Roman" w:hAnsi="Times New Roman" w:eastAsia="宋体" w:cs="Times New Roman"/>
                <w:bCs/>
                <w:color w:val="000000" w:themeColor="text1"/>
                <w:sz w:val="24"/>
                <w:szCs w:val="24"/>
                <w:highlight w:val="none"/>
                <w:u w:val="none" w:color="auto"/>
                <w:lang w:val="en-US" w:eastAsia="zh-CN"/>
                <w14:textFill>
                  <w14:solidFill>
                    <w14:schemeClr w14:val="tx1"/>
                  </w14:solidFill>
                </w14:textFill>
              </w:rPr>
              <w:t>1</w:t>
            </w:r>
            <w:r>
              <w:rPr>
                <w:rFonts w:hint="default" w:ascii="Times New Roman" w:hAnsi="Times New Roman" w:eastAsia="宋体" w:cs="Times New Roman"/>
                <w:bCs/>
                <w:color w:val="000000" w:themeColor="text1"/>
                <w:sz w:val="24"/>
                <w:szCs w:val="24"/>
                <w:highlight w:val="none"/>
                <w:u w:val="none" w:color="auto"/>
                <w:lang w:val="en-US" w:eastAsia="zh-CN"/>
                <w14:textFill>
                  <w14:solidFill>
                    <w14:schemeClr w14:val="tx1"/>
                  </w14:solidFill>
                </w14:textFill>
              </w:rPr>
              <w:t>.5</w:t>
            </w:r>
            <w:r>
              <w:rPr>
                <w:rFonts w:hint="default" w:ascii="Times New Roman" w:hAnsi="Times New Roman" w:eastAsia="宋体" w:cs="Times New Roman"/>
                <w:bCs/>
                <w:color w:val="000000" w:themeColor="text1"/>
                <w:sz w:val="24"/>
                <w:szCs w:val="24"/>
                <w:highlight w:val="none"/>
                <w:u w:val="none" w:color="auto"/>
                <w14:textFill>
                  <w14:solidFill>
                    <w14:schemeClr w14:val="tx1"/>
                  </w14:solidFill>
                </w14:textFill>
              </w:rPr>
              <w:t>废气监测计划</w:t>
            </w:r>
          </w:p>
          <w:p w14:paraId="6DA4AEB1">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bCs/>
                <w:color w:val="000000" w:themeColor="text1"/>
                <w:sz w:val="24"/>
                <w:szCs w:val="24"/>
                <w:highlight w:val="none"/>
                <w:u w:val="none" w:color="auto"/>
                <w14:textFill>
                  <w14:solidFill>
                    <w14:schemeClr w14:val="tx1"/>
                  </w14:solidFill>
                </w14:textFill>
              </w:rPr>
            </w:pPr>
            <w:r>
              <w:rPr>
                <w:rFonts w:hint="default" w:ascii="Times New Roman" w:hAnsi="Times New Roman" w:eastAsia="宋体" w:cs="Times New Roman"/>
                <w:bCs/>
                <w:color w:val="000000" w:themeColor="text1"/>
                <w:sz w:val="24"/>
                <w:szCs w:val="24"/>
                <w:highlight w:val="none"/>
                <w:u w:val="none" w:color="auto"/>
                <w14:textFill>
                  <w14:solidFill>
                    <w14:schemeClr w14:val="tx1"/>
                  </w14:solidFill>
                </w14:textFill>
              </w:rPr>
              <w:t>根据</w:t>
            </w: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《排污单位自行监测技术指南 总则》 (HJ819-2017)</w:t>
            </w:r>
            <w:r>
              <w:rPr>
                <w:rFonts w:hint="default" w:ascii="Times New Roman" w:hAnsi="Times New Roman" w:eastAsia="宋体" w:cs="Times New Roman"/>
                <w:bCs/>
                <w:color w:val="000000" w:themeColor="text1"/>
                <w:sz w:val="24"/>
                <w:szCs w:val="24"/>
                <w:highlight w:val="none"/>
                <w:u w:val="none" w:color="auto"/>
                <w14:textFill>
                  <w14:solidFill>
                    <w14:schemeClr w14:val="tx1"/>
                  </w14:solidFill>
                </w14:textFill>
              </w:rPr>
              <w:t>自行监测计划，项目废气自行监测计划如下：</w:t>
            </w:r>
          </w:p>
          <w:p w14:paraId="4DE252E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jc w:val="center"/>
              <w:textAlignment w:val="auto"/>
              <w:rPr>
                <w:rFonts w:hint="default" w:ascii="Times New Roman" w:hAnsi="Times New Roman" w:eastAsia="宋体" w:cs="Times New Roman"/>
                <w:b/>
                <w:color w:val="000000" w:themeColor="text1"/>
                <w:kern w:val="2"/>
                <w:sz w:val="24"/>
                <w:szCs w:val="24"/>
                <w:highlight w:val="none"/>
                <w:u w:val="none" w:color="auto"/>
                <w:lang w:val="en-US" w:eastAsia="zh-CN" w:bidi="ar-SA"/>
                <w14:textFill>
                  <w14:solidFill>
                    <w14:schemeClr w14:val="tx1"/>
                  </w14:solidFill>
                </w14:textFill>
              </w:rPr>
            </w:pPr>
            <w:r>
              <w:rPr>
                <w:rFonts w:hint="default" w:ascii="Times New Roman" w:hAnsi="Times New Roman" w:eastAsia="宋体" w:cs="Times New Roman"/>
                <w:b/>
                <w:color w:val="000000" w:themeColor="text1"/>
                <w:kern w:val="2"/>
                <w:sz w:val="24"/>
                <w:szCs w:val="24"/>
                <w:highlight w:val="none"/>
                <w:u w:val="none" w:color="auto"/>
                <w:lang w:val="en-US" w:eastAsia="zh-CN" w:bidi="ar-SA"/>
                <w14:textFill>
                  <w14:solidFill>
                    <w14:schemeClr w14:val="tx1"/>
                  </w14:solidFill>
                </w14:textFill>
              </w:rPr>
              <w:t>表4-1</w:t>
            </w:r>
            <w:r>
              <w:rPr>
                <w:rFonts w:hint="eastAsia" w:ascii="Times New Roman" w:hAnsi="Times New Roman" w:eastAsia="宋体" w:cs="Times New Roman"/>
                <w:b/>
                <w:color w:val="000000" w:themeColor="text1"/>
                <w:kern w:val="2"/>
                <w:sz w:val="24"/>
                <w:szCs w:val="24"/>
                <w:highlight w:val="none"/>
                <w:u w:val="none" w:color="auto"/>
                <w:lang w:val="en-US" w:eastAsia="zh-CN" w:bidi="ar-SA"/>
                <w14:textFill>
                  <w14:solidFill>
                    <w14:schemeClr w14:val="tx1"/>
                  </w14:solidFill>
                </w14:textFill>
              </w:rPr>
              <w:t>3</w:t>
            </w:r>
            <w:r>
              <w:rPr>
                <w:rFonts w:hint="default" w:ascii="Times New Roman" w:hAnsi="Times New Roman" w:eastAsia="宋体" w:cs="Times New Roman"/>
                <w:b/>
                <w:color w:val="000000" w:themeColor="text1"/>
                <w:kern w:val="2"/>
                <w:sz w:val="24"/>
                <w:szCs w:val="24"/>
                <w:highlight w:val="none"/>
                <w:u w:val="none" w:color="auto"/>
                <w:lang w:val="en-US" w:eastAsia="zh-CN" w:bidi="ar-SA"/>
                <w14:textFill>
                  <w14:solidFill>
                    <w14:schemeClr w14:val="tx1"/>
                  </w14:solidFill>
                </w14:textFill>
              </w:rPr>
              <w:t xml:space="preserve">  项目废气监测计划一览表</w:t>
            </w:r>
          </w:p>
          <w:tbl>
            <w:tblPr>
              <w:tblStyle w:val="29"/>
              <w:tblW w:w="4992"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723"/>
              <w:gridCol w:w="865"/>
              <w:gridCol w:w="1125"/>
              <w:gridCol w:w="1327"/>
              <w:gridCol w:w="1264"/>
              <w:gridCol w:w="4050"/>
            </w:tblGrid>
            <w:tr w14:paraId="38A5249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848" w:type="pct"/>
                  <w:gridSpan w:val="2"/>
                  <w:tcBorders>
                    <w:right w:val="single" w:color="auto" w:sz="4" w:space="0"/>
                  </w:tcBorders>
                  <w:noWrap w:val="0"/>
                  <w:vAlign w:val="center"/>
                </w:tcPr>
                <w:p w14:paraId="56DCF37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项目</w:t>
                  </w:r>
                </w:p>
              </w:tc>
              <w:tc>
                <w:tcPr>
                  <w:tcW w:w="601" w:type="pct"/>
                  <w:tcBorders>
                    <w:left w:val="single" w:color="auto" w:sz="4" w:space="0"/>
                    <w:bottom w:val="single" w:color="auto" w:sz="4" w:space="0"/>
                  </w:tcBorders>
                  <w:noWrap w:val="0"/>
                  <w:vAlign w:val="center"/>
                </w:tcPr>
                <w:p w14:paraId="6EF0826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监测点位</w:t>
                  </w:r>
                </w:p>
              </w:tc>
              <w:tc>
                <w:tcPr>
                  <w:tcW w:w="709" w:type="pct"/>
                  <w:noWrap w:val="0"/>
                  <w:vAlign w:val="center"/>
                </w:tcPr>
                <w:p w14:paraId="778ADF3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监测因子</w:t>
                  </w:r>
                </w:p>
              </w:tc>
              <w:tc>
                <w:tcPr>
                  <w:tcW w:w="675" w:type="pct"/>
                  <w:noWrap w:val="0"/>
                  <w:vAlign w:val="center"/>
                </w:tcPr>
                <w:p w14:paraId="60EFA7C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监测频次</w:t>
                  </w:r>
                </w:p>
              </w:tc>
              <w:tc>
                <w:tcPr>
                  <w:tcW w:w="2165" w:type="pct"/>
                  <w:noWrap w:val="0"/>
                  <w:vAlign w:val="center"/>
                </w:tcPr>
                <w:p w14:paraId="2273543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执行标准</w:t>
                  </w:r>
                </w:p>
              </w:tc>
            </w:tr>
            <w:tr w14:paraId="4DA2087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386" w:type="pct"/>
                  <w:vMerge w:val="restart"/>
                  <w:tcBorders>
                    <w:right w:val="single" w:color="auto" w:sz="4" w:space="0"/>
                  </w:tcBorders>
                  <w:noWrap w:val="0"/>
                  <w:vAlign w:val="center"/>
                </w:tcPr>
                <w:p w14:paraId="3EA21AB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废气</w:t>
                  </w:r>
                </w:p>
              </w:tc>
              <w:tc>
                <w:tcPr>
                  <w:tcW w:w="462" w:type="pct"/>
                  <w:vMerge w:val="restart"/>
                  <w:tcBorders>
                    <w:left w:val="single" w:color="auto" w:sz="4" w:space="0"/>
                    <w:right w:val="single" w:color="auto" w:sz="4" w:space="0"/>
                  </w:tcBorders>
                  <w:noWrap w:val="0"/>
                  <w:vAlign w:val="center"/>
                </w:tcPr>
                <w:p w14:paraId="38F9D77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有组织</w:t>
                  </w:r>
                </w:p>
              </w:tc>
              <w:tc>
                <w:tcPr>
                  <w:tcW w:w="601" w:type="pct"/>
                  <w:vMerge w:val="restart"/>
                  <w:tcBorders>
                    <w:top w:val="single" w:color="auto" w:sz="4" w:space="0"/>
                    <w:left w:val="single" w:color="auto" w:sz="4" w:space="0"/>
                  </w:tcBorders>
                  <w:noWrap w:val="0"/>
                  <w:vAlign w:val="center"/>
                </w:tcPr>
                <w:p w14:paraId="6C177C0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outlineLvl w:val="9"/>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color="auto"/>
                      <w:lang w:val="en-US" w:eastAsia="zh-CN" w:bidi="ar"/>
                      <w14:textFill>
                        <w14:solidFill>
                          <w14:schemeClr w14:val="tx1"/>
                        </w14:solidFill>
                      </w14:textFill>
                    </w:rPr>
                    <w:t>DA001</w:t>
                  </w:r>
                  <w:r>
                    <w:rPr>
                      <w:rFonts w:hint="eastAsia" w:cs="Times New Roman"/>
                      <w:i w:val="0"/>
                      <w:iCs w:val="0"/>
                      <w:color w:val="000000" w:themeColor="text1"/>
                      <w:kern w:val="0"/>
                      <w:sz w:val="21"/>
                      <w:szCs w:val="21"/>
                      <w:highlight w:val="none"/>
                      <w:u w:val="none" w:color="auto"/>
                      <w:lang w:val="en-US" w:eastAsia="zh-CN" w:bidi="ar"/>
                      <w14:textFill>
                        <w14:solidFill>
                          <w14:schemeClr w14:val="tx1"/>
                        </w14:solidFill>
                      </w14:textFill>
                    </w:rPr>
                    <w:t>、DA003</w:t>
                  </w:r>
                </w:p>
              </w:tc>
              <w:tc>
                <w:tcPr>
                  <w:tcW w:w="709" w:type="pct"/>
                  <w:vMerge w:val="restart"/>
                  <w:noWrap w:val="0"/>
                  <w:vAlign w:val="center"/>
                </w:tcPr>
                <w:p w14:paraId="094DE3A4">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颗粒物</w:t>
                  </w:r>
                </w:p>
              </w:tc>
              <w:tc>
                <w:tcPr>
                  <w:tcW w:w="675" w:type="pct"/>
                  <w:vMerge w:val="restart"/>
                  <w:noWrap w:val="0"/>
                  <w:vAlign w:val="center"/>
                </w:tcPr>
                <w:p w14:paraId="1E3162B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b/>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u w:val="none" w:color="auto"/>
                      <w14:textFill>
                        <w14:solidFill>
                          <w14:schemeClr w14:val="tx1"/>
                        </w14:solidFill>
                      </w14:textFill>
                    </w:rPr>
                    <w:t>1次/年</w:t>
                  </w:r>
                </w:p>
              </w:tc>
              <w:tc>
                <w:tcPr>
                  <w:tcW w:w="2165" w:type="pct"/>
                  <w:noWrap w:val="0"/>
                  <w:vAlign w:val="center"/>
                </w:tcPr>
                <w:p w14:paraId="76F42E3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kern w:val="0"/>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u w:val="none" w:color="auto"/>
                      <w14:textFill>
                        <w14:solidFill>
                          <w14:schemeClr w14:val="tx1"/>
                        </w14:solidFill>
                      </w14:textFill>
                    </w:rPr>
                    <w:t>《大气污染物综合排放标准》（GB16297-1996）表2中二级标准</w:t>
                  </w:r>
                </w:p>
              </w:tc>
            </w:tr>
            <w:tr w14:paraId="0B18585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386" w:type="pct"/>
                  <w:vMerge w:val="continue"/>
                  <w:tcBorders>
                    <w:right w:val="single" w:color="auto" w:sz="4" w:space="0"/>
                  </w:tcBorders>
                  <w:noWrap w:val="0"/>
                  <w:vAlign w:val="center"/>
                </w:tcPr>
                <w:p w14:paraId="66477A6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462" w:type="pct"/>
                  <w:vMerge w:val="continue"/>
                  <w:tcBorders>
                    <w:left w:val="single" w:color="auto" w:sz="4" w:space="0"/>
                    <w:right w:val="single" w:color="auto" w:sz="4" w:space="0"/>
                  </w:tcBorders>
                  <w:noWrap w:val="0"/>
                  <w:vAlign w:val="center"/>
                </w:tcPr>
                <w:p w14:paraId="5869A74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601" w:type="pct"/>
                  <w:vMerge w:val="continue"/>
                  <w:tcBorders>
                    <w:left w:val="single" w:color="auto" w:sz="4" w:space="0"/>
                  </w:tcBorders>
                  <w:noWrap w:val="0"/>
                  <w:vAlign w:val="center"/>
                </w:tcPr>
                <w:p w14:paraId="62EA508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709" w:type="pct"/>
                  <w:vMerge w:val="continue"/>
                  <w:noWrap w:val="0"/>
                  <w:vAlign w:val="center"/>
                </w:tcPr>
                <w:p w14:paraId="1CC7C3E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675" w:type="pct"/>
                  <w:vMerge w:val="continue"/>
                  <w:tcBorders>
                    <w:bottom w:val="single" w:color="auto" w:sz="4" w:space="0"/>
                  </w:tcBorders>
                  <w:noWrap w:val="0"/>
                  <w:vAlign w:val="center"/>
                </w:tcPr>
                <w:p w14:paraId="2B6881F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2165" w:type="pct"/>
                  <w:noWrap w:val="0"/>
                  <w:vAlign w:val="center"/>
                </w:tcPr>
                <w:p w14:paraId="373FF2B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kern w:val="0"/>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《河南省重污染天气重点行业应急减排措施制定技术指南》（202</w:t>
                  </w:r>
                  <w:r>
                    <w:rPr>
                      <w:rFonts w:hint="eastAsia" w:cs="Times New Roman"/>
                      <w:color w:val="000000" w:themeColor="text1"/>
                      <w:sz w:val="21"/>
                      <w:szCs w:val="21"/>
                      <w:highlight w:val="none"/>
                      <w:u w:val="none" w:color="auto"/>
                      <w:lang w:val="en-US" w:eastAsia="zh-CN"/>
                      <w14:textFill>
                        <w14:solidFill>
                          <w14:schemeClr w14:val="tx1"/>
                        </w14:solidFill>
                      </w14:textFill>
                    </w:rPr>
                    <w:t>4</w:t>
                  </w: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年修订版）</w:t>
                  </w:r>
                  <w:r>
                    <w:rPr>
                      <w:rFonts w:hint="eastAsia"/>
                      <w:b w:val="0"/>
                      <w:bCs w:val="0"/>
                      <w:color w:val="000000" w:themeColor="text1"/>
                      <w:sz w:val="21"/>
                      <w:szCs w:val="21"/>
                      <w:u w:val="none" w:color="auto"/>
                      <w:lang w:val="en-US" w:eastAsia="zh-CN"/>
                      <w14:textFill>
                        <w14:solidFill>
                          <w14:schemeClr w14:val="tx1"/>
                        </w14:solidFill>
                      </w14:textFill>
                    </w:rPr>
                    <w:t>通用</w:t>
                  </w:r>
                  <w:r>
                    <w:rPr>
                      <w:rFonts w:hint="default"/>
                      <w:b w:val="0"/>
                      <w:bCs w:val="0"/>
                      <w:color w:val="000000" w:themeColor="text1"/>
                      <w:sz w:val="21"/>
                      <w:szCs w:val="21"/>
                      <w:u w:val="none" w:color="auto"/>
                      <w14:textFill>
                        <w14:solidFill>
                          <w14:schemeClr w14:val="tx1"/>
                        </w14:solidFill>
                      </w14:textFill>
                    </w:rPr>
                    <w:t>涉</w:t>
                  </w:r>
                  <w:r>
                    <w:rPr>
                      <w:rFonts w:hint="eastAsia"/>
                      <w:b w:val="0"/>
                      <w:bCs w:val="0"/>
                      <w:color w:val="000000" w:themeColor="text1"/>
                      <w:sz w:val="21"/>
                      <w:szCs w:val="21"/>
                      <w:u w:val="none" w:color="auto"/>
                      <w:lang w:val="en-US" w:eastAsia="zh-CN"/>
                      <w14:textFill>
                        <w14:solidFill>
                          <w14:schemeClr w14:val="tx1"/>
                        </w14:solidFill>
                      </w14:textFill>
                    </w:rPr>
                    <w:t>PM</w:t>
                  </w:r>
                  <w:r>
                    <w:rPr>
                      <w:rFonts w:hint="default"/>
                      <w:b w:val="0"/>
                      <w:bCs w:val="0"/>
                      <w:color w:val="000000" w:themeColor="text1"/>
                      <w:sz w:val="21"/>
                      <w:szCs w:val="21"/>
                      <w:u w:val="none" w:color="auto"/>
                      <w14:textFill>
                        <w14:solidFill>
                          <w14:schemeClr w14:val="tx1"/>
                        </w14:solidFill>
                      </w14:textFill>
                    </w:rPr>
                    <w:t>企业</w:t>
                  </w: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排放限值</w:t>
                  </w:r>
                </w:p>
              </w:tc>
            </w:tr>
            <w:tr w14:paraId="7BC40AE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386" w:type="pct"/>
                  <w:vMerge w:val="continue"/>
                  <w:tcBorders>
                    <w:right w:val="single" w:color="auto" w:sz="4" w:space="0"/>
                  </w:tcBorders>
                  <w:noWrap w:val="0"/>
                  <w:vAlign w:val="center"/>
                </w:tcPr>
                <w:p w14:paraId="01C5F74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462" w:type="pct"/>
                  <w:vMerge w:val="continue"/>
                  <w:tcBorders>
                    <w:left w:val="single" w:color="auto" w:sz="4" w:space="0"/>
                    <w:right w:val="single" w:color="auto" w:sz="4" w:space="0"/>
                  </w:tcBorders>
                  <w:noWrap w:val="0"/>
                  <w:vAlign w:val="center"/>
                </w:tcPr>
                <w:p w14:paraId="7632EDB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601" w:type="pct"/>
                  <w:vMerge w:val="restart"/>
                  <w:tcBorders>
                    <w:left w:val="single" w:color="auto" w:sz="4" w:space="0"/>
                  </w:tcBorders>
                  <w:noWrap w:val="0"/>
                  <w:vAlign w:val="center"/>
                </w:tcPr>
                <w:p w14:paraId="067E26C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outlineLvl w:val="9"/>
                    <w:rPr>
                      <w:rFonts w:hint="default" w:ascii="Times New Roman" w:hAnsi="Times New Roman" w:eastAsia="宋体" w:cs="Times New Roman"/>
                      <w:color w:val="000000" w:themeColor="text1"/>
                      <w:sz w:val="21"/>
                      <w:szCs w:val="21"/>
                      <w:highlight w:val="none"/>
                      <w:u w:val="none" w:color="auto"/>
                      <w:lang w:val="en-US"/>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color="auto"/>
                      <w:lang w:val="en-US" w:eastAsia="zh-CN" w:bidi="ar"/>
                      <w14:textFill>
                        <w14:solidFill>
                          <w14:schemeClr w14:val="tx1"/>
                        </w14:solidFill>
                      </w14:textFill>
                    </w:rPr>
                    <w:t>DA00</w:t>
                  </w:r>
                  <w:r>
                    <w:rPr>
                      <w:rFonts w:hint="eastAsia" w:ascii="Times New Roman" w:hAnsi="Times New Roman" w:eastAsia="宋体" w:cs="Times New Roman"/>
                      <w:i w:val="0"/>
                      <w:iCs w:val="0"/>
                      <w:color w:val="000000" w:themeColor="text1"/>
                      <w:kern w:val="0"/>
                      <w:sz w:val="21"/>
                      <w:szCs w:val="21"/>
                      <w:highlight w:val="none"/>
                      <w:u w:val="none" w:color="auto"/>
                      <w:lang w:val="en-US" w:eastAsia="zh-CN" w:bidi="ar"/>
                      <w14:textFill>
                        <w14:solidFill>
                          <w14:schemeClr w14:val="tx1"/>
                        </w14:solidFill>
                      </w14:textFill>
                    </w:rPr>
                    <w:t>2</w:t>
                  </w:r>
                </w:p>
              </w:tc>
              <w:tc>
                <w:tcPr>
                  <w:tcW w:w="709" w:type="pct"/>
                  <w:vMerge w:val="restart"/>
                  <w:noWrap w:val="0"/>
                  <w:vAlign w:val="center"/>
                </w:tcPr>
                <w:p w14:paraId="19ED9779">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颗粒物</w:t>
                  </w:r>
                  <w:r>
                    <w:rPr>
                      <w:rFonts w:hint="eastAsia" w:cs="Times New Roman"/>
                      <w:color w:val="000000" w:themeColor="text1"/>
                      <w:sz w:val="21"/>
                      <w:szCs w:val="21"/>
                      <w:highlight w:val="none"/>
                      <w:u w:val="none" w:color="auto"/>
                      <w:lang w:val="en-US" w:eastAsia="zh-CN"/>
                      <w14:textFill>
                        <w14:solidFill>
                          <w14:schemeClr w14:val="tx1"/>
                        </w14:solidFill>
                      </w14:textFill>
                    </w:rPr>
                    <w:t>、</w:t>
                  </w:r>
                  <w:r>
                    <w:rPr>
                      <w:rFonts w:hint="eastAsia"/>
                      <w:color w:val="000000" w:themeColor="text1"/>
                      <w:sz w:val="21"/>
                      <w:szCs w:val="21"/>
                      <w:u w:val="none" w:color="auto"/>
                      <w14:textFill>
                        <w14:solidFill>
                          <w14:schemeClr w14:val="tx1"/>
                        </w14:solidFill>
                      </w14:textFill>
                    </w:rPr>
                    <w:t>二氧化硫、氮氧化物、烟气黑度</w:t>
                  </w:r>
                </w:p>
              </w:tc>
              <w:tc>
                <w:tcPr>
                  <w:tcW w:w="675" w:type="pct"/>
                  <w:vMerge w:val="restart"/>
                  <w:noWrap w:val="0"/>
                  <w:vAlign w:val="center"/>
                </w:tcPr>
                <w:p w14:paraId="6D46AF1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u w:val="none" w:color="auto"/>
                      <w14:textFill>
                        <w14:solidFill>
                          <w14:schemeClr w14:val="tx1"/>
                        </w14:solidFill>
                      </w14:textFill>
                    </w:rPr>
                    <w:t>1次/年</w:t>
                  </w:r>
                </w:p>
              </w:tc>
              <w:tc>
                <w:tcPr>
                  <w:tcW w:w="2165" w:type="pct"/>
                  <w:shd w:val="clear" w:color="auto" w:fill="auto"/>
                  <w:noWrap w:val="0"/>
                  <w:vAlign w:val="center"/>
                </w:tcPr>
                <w:p w14:paraId="7875786F">
                  <w:pPr>
                    <w:keepNext w:val="0"/>
                    <w:keepLines w:val="0"/>
                    <w:pageBreakBefore w:val="0"/>
                    <w:widowControl w:val="0"/>
                    <w:suppressLineNumbers w:val="0"/>
                    <w:kinsoku/>
                    <w:wordWrap/>
                    <w:overflowPunct/>
                    <w:topLinePunct w:val="0"/>
                    <w:autoSpaceDE/>
                    <w:autoSpaceDN/>
                    <w:bidi w:val="0"/>
                    <w:spacing w:before="0" w:beforeAutospacing="0" w:after="0" w:afterAutospacing="0"/>
                    <w:ind w:left="0" w:leftChars="0" w:right="0" w:rightChars="0"/>
                    <w:jc w:val="center"/>
                    <w:textAlignment w:val="auto"/>
                    <w:outlineLvl w:val="9"/>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《大气污染物综合排放标准》（GB16297-1996）表2中二级标准</w:t>
                  </w:r>
                  <w:r>
                    <w:rPr>
                      <w:rFonts w:hint="eastAsia" w:cs="Times New Roman"/>
                      <w:color w:val="000000" w:themeColor="text1"/>
                      <w:sz w:val="21"/>
                      <w:szCs w:val="21"/>
                      <w:highlight w:val="none"/>
                      <w:u w:val="none" w:color="auto"/>
                      <w:lang w:val="en-US" w:eastAsia="zh-CN"/>
                      <w14:textFill>
                        <w14:solidFill>
                          <w14:schemeClr w14:val="tx1"/>
                        </w14:solidFill>
                      </w14:textFill>
                    </w:rPr>
                    <w:t>、</w:t>
                  </w:r>
                  <w:r>
                    <w:rPr>
                      <w:rFonts w:hint="eastAsia"/>
                      <w:b w:val="0"/>
                      <w:bCs/>
                      <w:color w:val="000000" w:themeColor="text1"/>
                      <w:sz w:val="21"/>
                      <w:szCs w:val="21"/>
                      <w:highlight w:val="none"/>
                      <w:u w:val="none" w:color="auto"/>
                      <w:lang w:val="en-US" w:eastAsia="zh-CN"/>
                      <w14:textFill>
                        <w14:solidFill>
                          <w14:schemeClr w14:val="tx1"/>
                        </w14:solidFill>
                      </w14:textFill>
                    </w:rPr>
                    <w:t>《河南省工业炉窑大气污染物排放标准》(DB41/1066-2020)排放限值</w:t>
                  </w:r>
                </w:p>
              </w:tc>
            </w:tr>
            <w:tr w14:paraId="18B671E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386" w:type="pct"/>
                  <w:vMerge w:val="continue"/>
                  <w:tcBorders>
                    <w:right w:val="single" w:color="auto" w:sz="4" w:space="0"/>
                  </w:tcBorders>
                  <w:noWrap w:val="0"/>
                  <w:vAlign w:val="center"/>
                </w:tcPr>
                <w:p w14:paraId="3ED9248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462" w:type="pct"/>
                  <w:vMerge w:val="continue"/>
                  <w:tcBorders>
                    <w:left w:val="single" w:color="auto" w:sz="4" w:space="0"/>
                    <w:right w:val="single" w:color="auto" w:sz="4" w:space="0"/>
                  </w:tcBorders>
                  <w:noWrap w:val="0"/>
                  <w:vAlign w:val="center"/>
                </w:tcPr>
                <w:p w14:paraId="4FE830C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601" w:type="pct"/>
                  <w:vMerge w:val="continue"/>
                  <w:tcBorders>
                    <w:left w:val="single" w:color="auto" w:sz="4" w:space="0"/>
                  </w:tcBorders>
                  <w:noWrap w:val="0"/>
                  <w:vAlign w:val="center"/>
                </w:tcPr>
                <w:p w14:paraId="0665978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709" w:type="pct"/>
                  <w:vMerge w:val="continue"/>
                  <w:noWrap w:val="0"/>
                  <w:vAlign w:val="center"/>
                </w:tcPr>
                <w:p w14:paraId="3C94350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675" w:type="pct"/>
                  <w:vMerge w:val="continue"/>
                  <w:tcBorders>
                    <w:bottom w:val="single" w:color="auto" w:sz="4" w:space="0"/>
                  </w:tcBorders>
                  <w:noWrap w:val="0"/>
                  <w:vAlign w:val="center"/>
                </w:tcPr>
                <w:p w14:paraId="3689AC3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2165" w:type="pct"/>
                  <w:shd w:val="clear" w:color="auto" w:fill="auto"/>
                  <w:noWrap w:val="0"/>
                  <w:vAlign w:val="center"/>
                </w:tcPr>
                <w:p w14:paraId="16606A05">
                  <w:pPr>
                    <w:keepNext w:val="0"/>
                    <w:keepLines w:val="0"/>
                    <w:pageBreakBefore w:val="0"/>
                    <w:widowControl w:val="0"/>
                    <w:suppressLineNumbers w:val="0"/>
                    <w:kinsoku/>
                    <w:wordWrap/>
                    <w:overflowPunct/>
                    <w:topLinePunct w:val="0"/>
                    <w:autoSpaceDE/>
                    <w:autoSpaceDN/>
                    <w:bidi w:val="0"/>
                    <w:spacing w:before="0" w:beforeAutospacing="0" w:after="0" w:afterAutospacing="0"/>
                    <w:ind w:left="0" w:leftChars="0" w:right="0" w:rightChars="0"/>
                    <w:jc w:val="center"/>
                    <w:textAlignment w:val="auto"/>
                    <w:outlineLvl w:val="9"/>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《河南省重污染天气重点行业应急减排措施制定技术指南》（202</w:t>
                  </w:r>
                  <w:r>
                    <w:rPr>
                      <w:rFonts w:hint="eastAsia" w:cs="Times New Roman"/>
                      <w:color w:val="000000" w:themeColor="text1"/>
                      <w:sz w:val="21"/>
                      <w:szCs w:val="21"/>
                      <w:highlight w:val="none"/>
                      <w:u w:val="none" w:color="auto"/>
                      <w:lang w:val="en-US" w:eastAsia="zh-CN"/>
                      <w14:textFill>
                        <w14:solidFill>
                          <w14:schemeClr w14:val="tx1"/>
                        </w14:solidFill>
                      </w14:textFill>
                    </w:rPr>
                    <w:t>4</w:t>
                  </w: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年修订版）</w:t>
                  </w:r>
                  <w:r>
                    <w:rPr>
                      <w:rFonts w:hint="eastAsia"/>
                      <w:b w:val="0"/>
                      <w:bCs w:val="0"/>
                      <w:color w:val="000000" w:themeColor="text1"/>
                      <w:sz w:val="21"/>
                      <w:szCs w:val="21"/>
                      <w:u w:val="none" w:color="auto"/>
                      <w:lang w:val="en-US" w:eastAsia="zh-CN"/>
                      <w14:textFill>
                        <w14:solidFill>
                          <w14:schemeClr w14:val="tx1"/>
                        </w14:solidFill>
                      </w14:textFill>
                    </w:rPr>
                    <w:t>通用</w:t>
                  </w:r>
                  <w:r>
                    <w:rPr>
                      <w:rFonts w:hint="default"/>
                      <w:b w:val="0"/>
                      <w:bCs w:val="0"/>
                      <w:color w:val="000000" w:themeColor="text1"/>
                      <w:sz w:val="21"/>
                      <w:szCs w:val="21"/>
                      <w:u w:val="none" w:color="auto"/>
                      <w14:textFill>
                        <w14:solidFill>
                          <w14:schemeClr w14:val="tx1"/>
                        </w14:solidFill>
                      </w14:textFill>
                    </w:rPr>
                    <w:t>涉</w:t>
                  </w:r>
                  <w:r>
                    <w:rPr>
                      <w:rFonts w:hint="eastAsia"/>
                      <w:b w:val="0"/>
                      <w:bCs w:val="0"/>
                      <w:color w:val="000000" w:themeColor="text1"/>
                      <w:sz w:val="21"/>
                      <w:szCs w:val="21"/>
                      <w:u w:val="none" w:color="auto"/>
                      <w:lang w:val="en-US" w:eastAsia="zh-CN"/>
                      <w14:textFill>
                        <w14:solidFill>
                          <w14:schemeClr w14:val="tx1"/>
                        </w14:solidFill>
                      </w14:textFill>
                    </w:rPr>
                    <w:t>PM</w:t>
                  </w:r>
                  <w:r>
                    <w:rPr>
                      <w:rFonts w:hint="default"/>
                      <w:b w:val="0"/>
                      <w:bCs w:val="0"/>
                      <w:color w:val="000000" w:themeColor="text1"/>
                      <w:sz w:val="21"/>
                      <w:szCs w:val="21"/>
                      <w:u w:val="none" w:color="auto"/>
                      <w14:textFill>
                        <w14:solidFill>
                          <w14:schemeClr w14:val="tx1"/>
                        </w14:solidFill>
                      </w14:textFill>
                    </w:rPr>
                    <w:t>企业</w:t>
                  </w: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排放限值</w:t>
                  </w:r>
                  <w:r>
                    <w:rPr>
                      <w:rFonts w:hint="eastAsia" w:cs="Times New Roman"/>
                      <w:color w:val="000000" w:themeColor="text1"/>
                      <w:sz w:val="21"/>
                      <w:szCs w:val="21"/>
                      <w:highlight w:val="none"/>
                      <w:u w:val="none" w:color="auto"/>
                      <w:lang w:val="en-US" w:eastAsia="zh-CN"/>
                      <w14:textFill>
                        <w14:solidFill>
                          <w14:schemeClr w14:val="tx1"/>
                        </w14:solidFill>
                      </w14:textFill>
                    </w:rPr>
                    <w:t>及</w:t>
                  </w:r>
                  <w:r>
                    <w:rPr>
                      <w:rFonts w:hint="eastAsia"/>
                      <w:b w:val="0"/>
                      <w:bCs/>
                      <w:color w:val="000000" w:themeColor="text1"/>
                      <w:sz w:val="21"/>
                      <w:szCs w:val="21"/>
                      <w:highlight w:val="none"/>
                      <w:u w:val="none" w:color="auto"/>
                      <w:lang w:val="en-US" w:eastAsia="zh-CN"/>
                      <w14:textFill>
                        <w14:solidFill>
                          <w14:schemeClr w14:val="tx1"/>
                        </w14:solidFill>
                      </w14:textFill>
                    </w:rPr>
                    <w:t>涉锅炉/炉窑企业绩效分级</w:t>
                  </w: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排放限值</w:t>
                  </w:r>
                </w:p>
              </w:tc>
            </w:tr>
            <w:tr w14:paraId="615095A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386" w:type="pct"/>
                  <w:vMerge w:val="continue"/>
                  <w:tcBorders>
                    <w:right w:val="single" w:color="auto" w:sz="4" w:space="0"/>
                  </w:tcBorders>
                  <w:noWrap w:val="0"/>
                  <w:vAlign w:val="center"/>
                </w:tcPr>
                <w:p w14:paraId="7BA576E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462" w:type="pct"/>
                  <w:tcBorders>
                    <w:top w:val="single" w:color="auto" w:sz="4" w:space="0"/>
                    <w:left w:val="single" w:color="auto" w:sz="4" w:space="0"/>
                  </w:tcBorders>
                  <w:noWrap w:val="0"/>
                  <w:vAlign w:val="center"/>
                </w:tcPr>
                <w:p w14:paraId="42C2B3E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无组织</w:t>
                  </w:r>
                </w:p>
              </w:tc>
              <w:tc>
                <w:tcPr>
                  <w:tcW w:w="601" w:type="pct"/>
                  <w:noWrap w:val="0"/>
                  <w:vAlign w:val="center"/>
                </w:tcPr>
                <w:p w14:paraId="482C01A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厂界</w:t>
                  </w:r>
                </w:p>
              </w:tc>
              <w:tc>
                <w:tcPr>
                  <w:tcW w:w="709" w:type="pct"/>
                  <w:noWrap w:val="0"/>
                  <w:vAlign w:val="center"/>
                </w:tcPr>
                <w:p w14:paraId="40D0A5A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颗粒物</w:t>
                  </w:r>
                </w:p>
              </w:tc>
              <w:tc>
                <w:tcPr>
                  <w:tcW w:w="675" w:type="pct"/>
                  <w:noWrap w:val="0"/>
                  <w:vAlign w:val="center"/>
                </w:tcPr>
                <w:p w14:paraId="146E53C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bCs/>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u w:val="none" w:color="auto"/>
                      <w14:textFill>
                        <w14:solidFill>
                          <w14:schemeClr w14:val="tx1"/>
                        </w14:solidFill>
                      </w14:textFill>
                    </w:rPr>
                    <w:t>1次/年</w:t>
                  </w:r>
                </w:p>
              </w:tc>
              <w:tc>
                <w:tcPr>
                  <w:tcW w:w="2165" w:type="pct"/>
                  <w:tcBorders>
                    <w:top w:val="single" w:color="auto" w:sz="4" w:space="0"/>
                    <w:bottom w:val="single" w:color="auto" w:sz="4" w:space="0"/>
                  </w:tcBorders>
                  <w:noWrap w:val="0"/>
                  <w:vAlign w:val="center"/>
                </w:tcPr>
                <w:p w14:paraId="110546F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kern w:val="0"/>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u w:val="none" w:color="auto"/>
                      <w14:textFill>
                        <w14:solidFill>
                          <w14:schemeClr w14:val="tx1"/>
                        </w14:solidFill>
                      </w14:textFill>
                    </w:rPr>
                    <w:t>《大气污染物综合排放标准》（GB16297-1996）表2无组织排放限值</w:t>
                  </w:r>
                </w:p>
              </w:tc>
            </w:tr>
          </w:tbl>
          <w:p w14:paraId="1D15D5B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bCs/>
                <w:color w:val="000000" w:themeColor="text1"/>
                <w:sz w:val="24"/>
                <w:szCs w:val="24"/>
                <w:highlight w:val="none"/>
                <w:u w:val="none" w:color="auto"/>
                <w14:textFill>
                  <w14:solidFill>
                    <w14:schemeClr w14:val="tx1"/>
                  </w14:solidFill>
                </w14:textFill>
              </w:rPr>
            </w:pPr>
            <w:r>
              <w:rPr>
                <w:rFonts w:hint="eastAsia" w:ascii="Times New Roman" w:hAnsi="Times New Roman" w:eastAsia="宋体" w:cs="Times New Roman"/>
                <w:bCs/>
                <w:color w:val="000000" w:themeColor="text1"/>
                <w:sz w:val="24"/>
                <w:szCs w:val="24"/>
                <w:highlight w:val="none"/>
                <w:u w:val="none" w:color="auto"/>
                <w:lang w:val="en-US" w:eastAsia="zh-CN"/>
                <w14:textFill>
                  <w14:solidFill>
                    <w14:schemeClr w14:val="tx1"/>
                  </w14:solidFill>
                </w14:textFill>
              </w:rPr>
              <w:t>1</w:t>
            </w:r>
            <w:r>
              <w:rPr>
                <w:rFonts w:hint="default" w:ascii="Times New Roman" w:hAnsi="Times New Roman" w:eastAsia="宋体" w:cs="Times New Roman"/>
                <w:bCs/>
                <w:color w:val="000000" w:themeColor="text1"/>
                <w:sz w:val="24"/>
                <w:szCs w:val="24"/>
                <w:highlight w:val="none"/>
                <w:u w:val="none" w:color="auto"/>
                <w:lang w:val="en-US" w:eastAsia="zh-CN"/>
                <w14:textFill>
                  <w14:solidFill>
                    <w14:schemeClr w14:val="tx1"/>
                  </w14:solidFill>
                </w14:textFill>
              </w:rPr>
              <w:t>.6</w:t>
            </w:r>
            <w:r>
              <w:rPr>
                <w:rFonts w:hint="default" w:ascii="Times New Roman" w:hAnsi="Times New Roman" w:eastAsia="宋体" w:cs="Times New Roman"/>
                <w:bCs/>
                <w:color w:val="000000" w:themeColor="text1"/>
                <w:sz w:val="24"/>
                <w:szCs w:val="24"/>
                <w:highlight w:val="none"/>
                <w:u w:val="none" w:color="auto"/>
                <w14:textFill>
                  <w14:solidFill>
                    <w14:schemeClr w14:val="tx1"/>
                  </w14:solidFill>
                </w14:textFill>
              </w:rPr>
              <w:t>非正常工况分析</w:t>
            </w:r>
          </w:p>
          <w:p w14:paraId="5AD2EE0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pP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非正常排放是指生产过程中开停（工、炉）、设备检修、工艺设备运转异常等非正常工况下的污染物排放，以及污染物排放控制措施达不到应有效率等情况下的排放。项目环保措施出现异常时，会使污染物处理效率下降。项目非正常工况下大气污染物的排放情况具体见下表。</w:t>
            </w:r>
          </w:p>
          <w:p w14:paraId="053B8ED8">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jc w:val="center"/>
              <w:textAlignment w:val="auto"/>
              <w:rPr>
                <w:rFonts w:hint="default" w:ascii="Times New Roman" w:hAnsi="Times New Roman" w:eastAsia="宋体" w:cs="Times New Roman"/>
                <w:b/>
                <w:color w:val="000000" w:themeColor="text1"/>
                <w:kern w:val="2"/>
                <w:sz w:val="24"/>
                <w:szCs w:val="24"/>
                <w:highlight w:val="none"/>
                <w:u w:val="none" w:color="auto"/>
                <w:lang w:val="en-US" w:eastAsia="zh-CN" w:bidi="ar-SA"/>
                <w14:textFill>
                  <w14:solidFill>
                    <w14:schemeClr w14:val="tx1"/>
                  </w14:solidFill>
                </w14:textFill>
              </w:rPr>
            </w:pPr>
            <w:r>
              <w:rPr>
                <w:rFonts w:hint="default" w:ascii="Times New Roman" w:hAnsi="Times New Roman" w:eastAsia="宋体" w:cs="Times New Roman"/>
                <w:b/>
                <w:color w:val="000000" w:themeColor="text1"/>
                <w:kern w:val="2"/>
                <w:sz w:val="24"/>
                <w:szCs w:val="24"/>
                <w:highlight w:val="none"/>
                <w:u w:val="none" w:color="auto"/>
                <w:lang w:val="en-US" w:eastAsia="zh-CN" w:bidi="ar-SA"/>
                <w14:textFill>
                  <w14:solidFill>
                    <w14:schemeClr w14:val="tx1"/>
                  </w14:solidFill>
                </w14:textFill>
              </w:rPr>
              <w:t>表4-1</w:t>
            </w:r>
            <w:r>
              <w:rPr>
                <w:rFonts w:hint="eastAsia" w:cs="Times New Roman"/>
                <w:b/>
                <w:color w:val="000000" w:themeColor="text1"/>
                <w:kern w:val="2"/>
                <w:sz w:val="24"/>
                <w:szCs w:val="24"/>
                <w:highlight w:val="none"/>
                <w:u w:val="none" w:color="auto"/>
                <w:lang w:val="en-US" w:eastAsia="zh-CN" w:bidi="ar-SA"/>
                <w14:textFill>
                  <w14:solidFill>
                    <w14:schemeClr w14:val="tx1"/>
                  </w14:solidFill>
                </w14:textFill>
              </w:rPr>
              <w:t>4</w:t>
            </w:r>
            <w:r>
              <w:rPr>
                <w:rFonts w:hint="default" w:ascii="Times New Roman" w:hAnsi="Times New Roman" w:eastAsia="宋体" w:cs="Times New Roman"/>
                <w:b/>
                <w:color w:val="000000" w:themeColor="text1"/>
                <w:kern w:val="2"/>
                <w:sz w:val="24"/>
                <w:szCs w:val="24"/>
                <w:highlight w:val="none"/>
                <w:u w:val="none" w:color="auto"/>
                <w:lang w:val="en-US" w:eastAsia="zh-CN" w:bidi="ar-SA"/>
                <w14:textFill>
                  <w14:solidFill>
                    <w14:schemeClr w14:val="tx1"/>
                  </w14:solidFill>
                </w14:textFill>
              </w:rPr>
              <w:t xml:space="preserve">    非正常工况下废气排放情况一览表</w:t>
            </w:r>
          </w:p>
          <w:tbl>
            <w:tblPr>
              <w:tblStyle w:val="29"/>
              <w:tblW w:w="4996"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1114"/>
              <w:gridCol w:w="943"/>
              <w:gridCol w:w="1188"/>
              <w:gridCol w:w="945"/>
              <w:gridCol w:w="1227"/>
              <w:gridCol w:w="1334"/>
              <w:gridCol w:w="945"/>
              <w:gridCol w:w="786"/>
              <w:gridCol w:w="880"/>
            </w:tblGrid>
            <w:tr w14:paraId="366F902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95" w:type="pct"/>
                  <w:vMerge w:val="restart"/>
                  <w:noWrap w:val="0"/>
                  <w:vAlign w:val="center"/>
                </w:tcPr>
                <w:p w14:paraId="57D83F10">
                  <w:pPr>
                    <w:keepNext w:val="0"/>
                    <w:keepLines w:val="0"/>
                    <w:pageBreakBefore w:val="0"/>
                    <w:widowControl w:val="0"/>
                    <w:suppressLineNumbers w:val="0"/>
                    <w:kinsoku/>
                    <w:wordWrap/>
                    <w:overflowPunct/>
                    <w:topLinePunct w:val="0"/>
                    <w:autoSpaceDE/>
                    <w:autoSpaceDN/>
                    <w:bidi w:val="0"/>
                    <w:spacing w:before="0" w:beforeAutospacing="0" w:after="0" w:afterAutospacing="0"/>
                    <w:ind w:left="0" w:right="0"/>
                    <w:jc w:val="center"/>
                    <w:textAlignment w:val="auto"/>
                    <w:rPr>
                      <w:rFonts w:hint="default" w:ascii="Times New Roman" w:hAnsi="Times New Roman" w:eastAsia="宋体"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zh-CN"/>
                      <w14:textFill>
                        <w14:solidFill>
                          <w14:schemeClr w14:val="tx1"/>
                        </w14:solidFill>
                      </w14:textFill>
                    </w:rPr>
                    <w:t>污染源</w:t>
                  </w:r>
                </w:p>
              </w:tc>
              <w:tc>
                <w:tcPr>
                  <w:tcW w:w="503" w:type="pct"/>
                  <w:vMerge w:val="restart"/>
                  <w:noWrap w:val="0"/>
                  <w:vAlign w:val="center"/>
                </w:tcPr>
                <w:p w14:paraId="642988F8">
                  <w:pPr>
                    <w:keepNext w:val="0"/>
                    <w:keepLines w:val="0"/>
                    <w:pageBreakBefore w:val="0"/>
                    <w:widowControl w:val="0"/>
                    <w:suppressLineNumbers w:val="0"/>
                    <w:kinsoku/>
                    <w:wordWrap/>
                    <w:overflowPunct/>
                    <w:topLinePunct w:val="0"/>
                    <w:autoSpaceDE/>
                    <w:autoSpaceDN/>
                    <w:bidi w:val="0"/>
                    <w:spacing w:before="0" w:beforeAutospacing="0" w:after="0" w:afterAutospacing="0"/>
                    <w:ind w:left="0" w:right="0"/>
                    <w:jc w:val="center"/>
                    <w:textAlignment w:val="auto"/>
                    <w:rPr>
                      <w:rFonts w:hint="default" w:ascii="Times New Roman" w:hAnsi="Times New Roman" w:eastAsia="宋体"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zh-CN"/>
                      <w14:textFill>
                        <w14:solidFill>
                          <w14:schemeClr w14:val="tx1"/>
                        </w14:solidFill>
                      </w14:textFill>
                    </w:rPr>
                    <w:t>污染物</w:t>
                  </w:r>
                </w:p>
              </w:tc>
              <w:tc>
                <w:tcPr>
                  <w:tcW w:w="634" w:type="pct"/>
                  <w:vMerge w:val="restart"/>
                  <w:noWrap w:val="0"/>
                  <w:vAlign w:val="center"/>
                </w:tcPr>
                <w:p w14:paraId="4594C131">
                  <w:pPr>
                    <w:keepNext w:val="0"/>
                    <w:keepLines w:val="0"/>
                    <w:pageBreakBefore w:val="0"/>
                    <w:widowControl w:val="0"/>
                    <w:suppressLineNumbers w:val="0"/>
                    <w:kinsoku/>
                    <w:wordWrap/>
                    <w:overflowPunct/>
                    <w:topLinePunct w:val="0"/>
                    <w:autoSpaceDE/>
                    <w:autoSpaceDN/>
                    <w:bidi w:val="0"/>
                    <w:spacing w:before="0" w:beforeAutospacing="0" w:after="0" w:afterAutospacing="0"/>
                    <w:ind w:left="0" w:right="0"/>
                    <w:jc w:val="center"/>
                    <w:textAlignment w:val="auto"/>
                    <w:rPr>
                      <w:rFonts w:hint="default" w:ascii="Times New Roman" w:hAnsi="Times New Roman" w:eastAsia="宋体"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zh-CN"/>
                      <w14:textFill>
                        <w14:solidFill>
                          <w14:schemeClr w14:val="tx1"/>
                        </w14:solidFill>
                      </w14:textFill>
                    </w:rPr>
                    <w:t>非正常原因</w:t>
                  </w:r>
                </w:p>
              </w:tc>
              <w:tc>
                <w:tcPr>
                  <w:tcW w:w="1872" w:type="pct"/>
                  <w:gridSpan w:val="3"/>
                  <w:tcBorders>
                    <w:right w:val="single" w:color="auto" w:sz="4" w:space="0"/>
                  </w:tcBorders>
                  <w:noWrap w:val="0"/>
                  <w:vAlign w:val="center"/>
                </w:tcPr>
                <w:p w14:paraId="27A13133">
                  <w:pPr>
                    <w:keepNext w:val="0"/>
                    <w:keepLines w:val="0"/>
                    <w:pageBreakBefore w:val="0"/>
                    <w:widowControl w:val="0"/>
                    <w:suppressLineNumbers w:val="0"/>
                    <w:kinsoku/>
                    <w:wordWrap/>
                    <w:overflowPunct/>
                    <w:topLinePunct w:val="0"/>
                    <w:autoSpaceDE/>
                    <w:autoSpaceDN/>
                    <w:bidi w:val="0"/>
                    <w:spacing w:before="0" w:beforeAutospacing="0" w:after="0" w:afterAutospacing="0"/>
                    <w:ind w:left="0" w:right="0"/>
                    <w:jc w:val="center"/>
                    <w:textAlignment w:val="auto"/>
                    <w:rPr>
                      <w:rFonts w:hint="default" w:ascii="Times New Roman" w:hAnsi="Times New Roman" w:eastAsia="宋体"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zh-CN"/>
                      <w14:textFill>
                        <w14:solidFill>
                          <w14:schemeClr w14:val="tx1"/>
                        </w14:solidFill>
                      </w14:textFill>
                    </w:rPr>
                    <w:t>非正常排放工况</w:t>
                  </w:r>
                </w:p>
              </w:tc>
              <w:tc>
                <w:tcPr>
                  <w:tcW w:w="924" w:type="pct"/>
                  <w:gridSpan w:val="2"/>
                  <w:noWrap w:val="0"/>
                  <w:vAlign w:val="center"/>
                </w:tcPr>
                <w:p w14:paraId="647DD8CD">
                  <w:pPr>
                    <w:keepNext w:val="0"/>
                    <w:keepLines w:val="0"/>
                    <w:pageBreakBefore w:val="0"/>
                    <w:widowControl w:val="0"/>
                    <w:suppressLineNumbers w:val="0"/>
                    <w:kinsoku/>
                    <w:wordWrap/>
                    <w:overflowPunct/>
                    <w:topLinePunct w:val="0"/>
                    <w:autoSpaceDE/>
                    <w:autoSpaceDN/>
                    <w:bidi w:val="0"/>
                    <w:spacing w:before="0" w:beforeAutospacing="0" w:after="0" w:afterAutospacing="0"/>
                    <w:ind w:left="0" w:right="0"/>
                    <w:jc w:val="center"/>
                    <w:textAlignment w:val="auto"/>
                    <w:rPr>
                      <w:rFonts w:hint="default" w:ascii="Times New Roman" w:hAnsi="Times New Roman" w:eastAsia="宋体"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zh-CN"/>
                      <w14:textFill>
                        <w14:solidFill>
                          <w14:schemeClr w14:val="tx1"/>
                        </w14:solidFill>
                      </w14:textFill>
                    </w:rPr>
                    <w:t>执行标准</w:t>
                  </w:r>
                </w:p>
              </w:tc>
              <w:tc>
                <w:tcPr>
                  <w:tcW w:w="470" w:type="pct"/>
                  <w:vMerge w:val="restart"/>
                  <w:noWrap w:val="0"/>
                  <w:vAlign w:val="center"/>
                </w:tcPr>
                <w:p w14:paraId="182CD7AB">
                  <w:pPr>
                    <w:keepNext w:val="0"/>
                    <w:keepLines w:val="0"/>
                    <w:pageBreakBefore w:val="0"/>
                    <w:widowControl w:val="0"/>
                    <w:suppressLineNumbers w:val="0"/>
                    <w:kinsoku/>
                    <w:wordWrap/>
                    <w:overflowPunct/>
                    <w:topLinePunct w:val="0"/>
                    <w:autoSpaceDE/>
                    <w:autoSpaceDN/>
                    <w:bidi w:val="0"/>
                    <w:spacing w:before="0" w:beforeAutospacing="0" w:after="0" w:afterAutospacing="0"/>
                    <w:ind w:left="0" w:right="0"/>
                    <w:jc w:val="center"/>
                    <w:textAlignment w:val="auto"/>
                    <w:rPr>
                      <w:rFonts w:hint="default" w:ascii="Times New Roman" w:hAnsi="Times New Roman" w:eastAsia="宋体"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zh-CN"/>
                      <w14:textFill>
                        <w14:solidFill>
                          <w14:schemeClr w14:val="tx1"/>
                        </w14:solidFill>
                      </w14:textFill>
                    </w:rPr>
                    <w:t>达标情况</w:t>
                  </w:r>
                </w:p>
              </w:tc>
            </w:tr>
            <w:tr w14:paraId="1D05417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95" w:type="pct"/>
                  <w:vMerge w:val="continue"/>
                  <w:noWrap w:val="0"/>
                  <w:vAlign w:val="center"/>
                </w:tcPr>
                <w:p w14:paraId="1B318FEF">
                  <w:pPr>
                    <w:keepNext w:val="0"/>
                    <w:keepLines w:val="0"/>
                    <w:pageBreakBefore w:val="0"/>
                    <w:widowControl w:val="0"/>
                    <w:suppressLineNumbers w:val="0"/>
                    <w:kinsoku/>
                    <w:wordWrap/>
                    <w:overflowPunct/>
                    <w:topLinePunct w:val="0"/>
                    <w:autoSpaceDE/>
                    <w:autoSpaceDN/>
                    <w:bidi w:val="0"/>
                    <w:spacing w:before="0" w:beforeAutospacing="0" w:after="0" w:afterAutospacing="0"/>
                    <w:ind w:left="0" w:right="0"/>
                    <w:jc w:val="center"/>
                    <w:textAlignment w:val="auto"/>
                    <w:rPr>
                      <w:rFonts w:hint="default" w:ascii="Times New Roman" w:hAnsi="Times New Roman" w:eastAsia="宋体" w:cs="Times New Roman"/>
                      <w:color w:val="000000" w:themeColor="text1"/>
                      <w:sz w:val="21"/>
                      <w:szCs w:val="21"/>
                      <w:highlight w:val="none"/>
                      <w:u w:val="none" w:color="auto"/>
                      <w:lang w:val="zh-CN"/>
                      <w14:textFill>
                        <w14:solidFill>
                          <w14:schemeClr w14:val="tx1"/>
                        </w14:solidFill>
                      </w14:textFill>
                    </w:rPr>
                  </w:pPr>
                </w:p>
              </w:tc>
              <w:tc>
                <w:tcPr>
                  <w:tcW w:w="503" w:type="pct"/>
                  <w:vMerge w:val="continue"/>
                  <w:noWrap w:val="0"/>
                  <w:vAlign w:val="center"/>
                </w:tcPr>
                <w:p w14:paraId="47BC971B">
                  <w:pPr>
                    <w:keepNext w:val="0"/>
                    <w:keepLines w:val="0"/>
                    <w:pageBreakBefore w:val="0"/>
                    <w:widowControl w:val="0"/>
                    <w:suppressLineNumbers w:val="0"/>
                    <w:kinsoku/>
                    <w:wordWrap/>
                    <w:overflowPunct/>
                    <w:topLinePunct w:val="0"/>
                    <w:autoSpaceDE/>
                    <w:autoSpaceDN/>
                    <w:bidi w:val="0"/>
                    <w:spacing w:before="0" w:beforeAutospacing="0" w:after="0" w:afterAutospacing="0"/>
                    <w:ind w:left="0" w:right="0"/>
                    <w:jc w:val="center"/>
                    <w:textAlignment w:val="auto"/>
                    <w:rPr>
                      <w:rFonts w:hint="default" w:ascii="Times New Roman" w:hAnsi="Times New Roman" w:eastAsia="宋体" w:cs="Times New Roman"/>
                      <w:color w:val="000000" w:themeColor="text1"/>
                      <w:sz w:val="21"/>
                      <w:szCs w:val="21"/>
                      <w:highlight w:val="none"/>
                      <w:u w:val="none" w:color="auto"/>
                      <w:lang w:val="zh-CN"/>
                      <w14:textFill>
                        <w14:solidFill>
                          <w14:schemeClr w14:val="tx1"/>
                        </w14:solidFill>
                      </w14:textFill>
                    </w:rPr>
                  </w:pPr>
                </w:p>
              </w:tc>
              <w:tc>
                <w:tcPr>
                  <w:tcW w:w="634" w:type="pct"/>
                  <w:vMerge w:val="continue"/>
                  <w:noWrap w:val="0"/>
                  <w:vAlign w:val="center"/>
                </w:tcPr>
                <w:p w14:paraId="3434A7FD">
                  <w:pPr>
                    <w:keepNext w:val="0"/>
                    <w:keepLines w:val="0"/>
                    <w:pageBreakBefore w:val="0"/>
                    <w:widowControl w:val="0"/>
                    <w:suppressLineNumbers w:val="0"/>
                    <w:kinsoku/>
                    <w:wordWrap/>
                    <w:overflowPunct/>
                    <w:topLinePunct w:val="0"/>
                    <w:autoSpaceDE/>
                    <w:autoSpaceDN/>
                    <w:bidi w:val="0"/>
                    <w:spacing w:before="0" w:beforeAutospacing="0" w:after="0" w:afterAutospacing="0"/>
                    <w:ind w:left="0" w:right="0"/>
                    <w:jc w:val="center"/>
                    <w:textAlignment w:val="auto"/>
                    <w:rPr>
                      <w:rFonts w:hint="default" w:ascii="Times New Roman" w:hAnsi="Times New Roman" w:eastAsia="宋体" w:cs="Times New Roman"/>
                      <w:color w:val="000000" w:themeColor="text1"/>
                      <w:sz w:val="21"/>
                      <w:szCs w:val="21"/>
                      <w:highlight w:val="none"/>
                      <w:u w:val="none" w:color="auto"/>
                      <w:lang w:val="zh-CN"/>
                      <w14:textFill>
                        <w14:solidFill>
                          <w14:schemeClr w14:val="tx1"/>
                        </w14:solidFill>
                      </w14:textFill>
                    </w:rPr>
                  </w:pPr>
                </w:p>
              </w:tc>
              <w:tc>
                <w:tcPr>
                  <w:tcW w:w="504" w:type="pct"/>
                  <w:noWrap w:val="0"/>
                  <w:vAlign w:val="center"/>
                </w:tcPr>
                <w:p w14:paraId="16A316EE">
                  <w:pPr>
                    <w:keepNext w:val="0"/>
                    <w:keepLines w:val="0"/>
                    <w:pageBreakBefore w:val="0"/>
                    <w:widowControl w:val="0"/>
                    <w:suppressLineNumbers w:val="0"/>
                    <w:kinsoku/>
                    <w:wordWrap/>
                    <w:overflowPunct/>
                    <w:topLinePunct w:val="0"/>
                    <w:autoSpaceDE/>
                    <w:autoSpaceDN/>
                    <w:bidi w:val="0"/>
                    <w:spacing w:before="0" w:beforeAutospacing="0" w:after="0" w:afterAutospacing="0"/>
                    <w:ind w:left="0" w:right="0"/>
                    <w:jc w:val="center"/>
                    <w:textAlignment w:val="auto"/>
                    <w:rPr>
                      <w:rFonts w:hint="default" w:ascii="Times New Roman" w:hAnsi="Times New Roman" w:eastAsia="宋体"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zh-CN"/>
                      <w14:textFill>
                        <w14:solidFill>
                          <w14:schemeClr w14:val="tx1"/>
                        </w14:solidFill>
                      </w14:textFill>
                    </w:rPr>
                    <w:t>排放</w:t>
                  </w:r>
                </w:p>
                <w:p w14:paraId="5D49B7E0">
                  <w:pPr>
                    <w:keepNext w:val="0"/>
                    <w:keepLines w:val="0"/>
                    <w:pageBreakBefore w:val="0"/>
                    <w:widowControl w:val="0"/>
                    <w:suppressLineNumbers w:val="0"/>
                    <w:kinsoku/>
                    <w:wordWrap/>
                    <w:overflowPunct/>
                    <w:topLinePunct w:val="0"/>
                    <w:autoSpaceDE/>
                    <w:autoSpaceDN/>
                    <w:bidi w:val="0"/>
                    <w:spacing w:before="0" w:beforeAutospacing="0" w:after="0" w:afterAutospacing="0"/>
                    <w:ind w:left="0" w:right="0"/>
                    <w:jc w:val="center"/>
                    <w:textAlignment w:val="auto"/>
                    <w:rPr>
                      <w:rFonts w:hint="default" w:ascii="Times New Roman" w:hAnsi="Times New Roman" w:eastAsia="宋体"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zh-CN"/>
                      <w14:textFill>
                        <w14:solidFill>
                          <w14:schemeClr w14:val="tx1"/>
                        </w14:solidFill>
                      </w14:textFill>
                    </w:rPr>
                    <w:t>浓度mg/m</w:t>
                  </w:r>
                  <w:r>
                    <w:rPr>
                      <w:rFonts w:hint="default" w:ascii="Times New Roman" w:hAnsi="Times New Roman" w:eastAsia="宋体" w:cs="Times New Roman"/>
                      <w:color w:val="000000" w:themeColor="text1"/>
                      <w:sz w:val="21"/>
                      <w:szCs w:val="21"/>
                      <w:highlight w:val="none"/>
                      <w:u w:val="none" w:color="auto"/>
                      <w:vertAlign w:val="superscript"/>
                      <w:lang w:val="zh-CN"/>
                      <w14:textFill>
                        <w14:solidFill>
                          <w14:schemeClr w14:val="tx1"/>
                        </w14:solidFill>
                      </w14:textFill>
                    </w:rPr>
                    <w:t>3</w:t>
                  </w:r>
                </w:p>
              </w:tc>
              <w:tc>
                <w:tcPr>
                  <w:tcW w:w="655" w:type="pct"/>
                  <w:noWrap w:val="0"/>
                  <w:vAlign w:val="center"/>
                </w:tcPr>
                <w:p w14:paraId="411A800D">
                  <w:pPr>
                    <w:keepNext w:val="0"/>
                    <w:keepLines w:val="0"/>
                    <w:pageBreakBefore w:val="0"/>
                    <w:widowControl w:val="0"/>
                    <w:suppressLineNumbers w:val="0"/>
                    <w:kinsoku/>
                    <w:wordWrap/>
                    <w:overflowPunct/>
                    <w:topLinePunct w:val="0"/>
                    <w:autoSpaceDE/>
                    <w:autoSpaceDN/>
                    <w:bidi w:val="0"/>
                    <w:spacing w:before="0" w:beforeAutospacing="0" w:after="0" w:afterAutospacing="0"/>
                    <w:ind w:left="0" w:right="0"/>
                    <w:jc w:val="center"/>
                    <w:textAlignment w:val="auto"/>
                    <w:rPr>
                      <w:rFonts w:hint="default" w:ascii="Times New Roman" w:hAnsi="Times New Roman" w:eastAsia="宋体"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zh-CN"/>
                      <w14:textFill>
                        <w14:solidFill>
                          <w14:schemeClr w14:val="tx1"/>
                        </w14:solidFill>
                      </w14:textFill>
                    </w:rPr>
                    <w:t>排放速率kg/h</w:t>
                  </w:r>
                </w:p>
              </w:tc>
              <w:tc>
                <w:tcPr>
                  <w:tcW w:w="712" w:type="pct"/>
                  <w:noWrap w:val="0"/>
                  <w:vAlign w:val="center"/>
                </w:tcPr>
                <w:p w14:paraId="71F4B6DF">
                  <w:pPr>
                    <w:keepNext w:val="0"/>
                    <w:keepLines w:val="0"/>
                    <w:pageBreakBefore w:val="0"/>
                    <w:widowControl w:val="0"/>
                    <w:suppressLineNumbers w:val="0"/>
                    <w:kinsoku/>
                    <w:wordWrap/>
                    <w:overflowPunct/>
                    <w:topLinePunct w:val="0"/>
                    <w:autoSpaceDE/>
                    <w:autoSpaceDN/>
                    <w:bidi w:val="0"/>
                    <w:spacing w:before="0" w:beforeAutospacing="0" w:after="0" w:afterAutospacing="0"/>
                    <w:ind w:left="0" w:right="0"/>
                    <w:jc w:val="center"/>
                    <w:textAlignment w:val="auto"/>
                    <w:rPr>
                      <w:rFonts w:hint="default" w:ascii="Times New Roman" w:hAnsi="Times New Roman" w:eastAsia="宋体"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zh-CN"/>
                      <w14:textFill>
                        <w14:solidFill>
                          <w14:schemeClr w14:val="tx1"/>
                        </w14:solidFill>
                      </w14:textFill>
                    </w:rPr>
                    <w:t>频次及持续时间</w:t>
                  </w:r>
                </w:p>
              </w:tc>
              <w:tc>
                <w:tcPr>
                  <w:tcW w:w="504" w:type="pct"/>
                  <w:noWrap w:val="0"/>
                  <w:vAlign w:val="center"/>
                </w:tcPr>
                <w:p w14:paraId="1355A784">
                  <w:pPr>
                    <w:keepNext w:val="0"/>
                    <w:keepLines w:val="0"/>
                    <w:pageBreakBefore w:val="0"/>
                    <w:widowControl w:val="0"/>
                    <w:suppressLineNumbers w:val="0"/>
                    <w:kinsoku/>
                    <w:wordWrap/>
                    <w:overflowPunct/>
                    <w:topLinePunct w:val="0"/>
                    <w:autoSpaceDE/>
                    <w:autoSpaceDN/>
                    <w:bidi w:val="0"/>
                    <w:spacing w:before="0" w:beforeAutospacing="0" w:after="0" w:afterAutospacing="0"/>
                    <w:ind w:left="0" w:right="0"/>
                    <w:jc w:val="center"/>
                    <w:textAlignment w:val="auto"/>
                    <w:rPr>
                      <w:rFonts w:hint="default" w:ascii="Times New Roman" w:hAnsi="Times New Roman" w:eastAsia="宋体"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zh-CN"/>
                      <w14:textFill>
                        <w14:solidFill>
                          <w14:schemeClr w14:val="tx1"/>
                        </w14:solidFill>
                      </w14:textFill>
                    </w:rPr>
                    <w:t>排放</w:t>
                  </w:r>
                </w:p>
                <w:p w14:paraId="11475124">
                  <w:pPr>
                    <w:keepNext w:val="0"/>
                    <w:keepLines w:val="0"/>
                    <w:pageBreakBefore w:val="0"/>
                    <w:widowControl w:val="0"/>
                    <w:suppressLineNumbers w:val="0"/>
                    <w:kinsoku/>
                    <w:wordWrap/>
                    <w:overflowPunct/>
                    <w:topLinePunct w:val="0"/>
                    <w:autoSpaceDE/>
                    <w:autoSpaceDN/>
                    <w:bidi w:val="0"/>
                    <w:spacing w:before="0" w:beforeAutospacing="0" w:after="0" w:afterAutospacing="0"/>
                    <w:ind w:left="0" w:right="0"/>
                    <w:jc w:val="center"/>
                    <w:textAlignment w:val="auto"/>
                    <w:rPr>
                      <w:rFonts w:hint="default" w:ascii="Times New Roman" w:hAnsi="Times New Roman" w:eastAsia="宋体"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zh-CN"/>
                      <w14:textFill>
                        <w14:solidFill>
                          <w14:schemeClr w14:val="tx1"/>
                        </w14:solidFill>
                      </w14:textFill>
                    </w:rPr>
                    <w:t>浓度mg/m</w:t>
                  </w:r>
                  <w:r>
                    <w:rPr>
                      <w:rFonts w:hint="default" w:ascii="Times New Roman" w:hAnsi="Times New Roman" w:eastAsia="宋体" w:cs="Times New Roman"/>
                      <w:color w:val="000000" w:themeColor="text1"/>
                      <w:sz w:val="21"/>
                      <w:szCs w:val="21"/>
                      <w:highlight w:val="none"/>
                      <w:u w:val="none" w:color="auto"/>
                      <w:vertAlign w:val="superscript"/>
                      <w:lang w:val="zh-CN"/>
                      <w14:textFill>
                        <w14:solidFill>
                          <w14:schemeClr w14:val="tx1"/>
                        </w14:solidFill>
                      </w14:textFill>
                    </w:rPr>
                    <w:t>3</w:t>
                  </w:r>
                </w:p>
              </w:tc>
              <w:tc>
                <w:tcPr>
                  <w:tcW w:w="420" w:type="pct"/>
                  <w:noWrap w:val="0"/>
                  <w:vAlign w:val="center"/>
                </w:tcPr>
                <w:p w14:paraId="7C66E3AC">
                  <w:pPr>
                    <w:keepNext w:val="0"/>
                    <w:keepLines w:val="0"/>
                    <w:pageBreakBefore w:val="0"/>
                    <w:widowControl w:val="0"/>
                    <w:suppressLineNumbers w:val="0"/>
                    <w:kinsoku/>
                    <w:wordWrap/>
                    <w:overflowPunct/>
                    <w:topLinePunct w:val="0"/>
                    <w:autoSpaceDE/>
                    <w:autoSpaceDN/>
                    <w:bidi w:val="0"/>
                    <w:spacing w:before="0" w:beforeAutospacing="0" w:after="0" w:afterAutospacing="0"/>
                    <w:ind w:left="0" w:right="0"/>
                    <w:jc w:val="center"/>
                    <w:textAlignment w:val="auto"/>
                    <w:rPr>
                      <w:rFonts w:hint="default" w:ascii="Times New Roman" w:hAnsi="Times New Roman" w:eastAsia="宋体"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zh-CN"/>
                      <w14:textFill>
                        <w14:solidFill>
                          <w14:schemeClr w14:val="tx1"/>
                        </w14:solidFill>
                      </w14:textFill>
                    </w:rPr>
                    <w:t>排放速率kg/h</w:t>
                  </w:r>
                </w:p>
              </w:tc>
              <w:tc>
                <w:tcPr>
                  <w:tcW w:w="470" w:type="pct"/>
                  <w:vMerge w:val="continue"/>
                  <w:noWrap w:val="0"/>
                  <w:vAlign w:val="center"/>
                </w:tcPr>
                <w:p w14:paraId="63DEF36B">
                  <w:pPr>
                    <w:keepNext w:val="0"/>
                    <w:keepLines w:val="0"/>
                    <w:pageBreakBefore w:val="0"/>
                    <w:widowControl w:val="0"/>
                    <w:suppressLineNumbers w:val="0"/>
                    <w:kinsoku/>
                    <w:wordWrap/>
                    <w:overflowPunct/>
                    <w:topLinePunct w:val="0"/>
                    <w:autoSpaceDE/>
                    <w:autoSpaceDN/>
                    <w:bidi w:val="0"/>
                    <w:spacing w:before="0" w:beforeAutospacing="0" w:after="0" w:afterAutospacing="0"/>
                    <w:ind w:left="0" w:right="0"/>
                    <w:jc w:val="center"/>
                    <w:textAlignment w:val="auto"/>
                    <w:rPr>
                      <w:rFonts w:hint="default" w:ascii="Times New Roman" w:hAnsi="Times New Roman" w:eastAsia="宋体" w:cs="Times New Roman"/>
                      <w:color w:val="000000" w:themeColor="text1"/>
                      <w:sz w:val="21"/>
                      <w:szCs w:val="21"/>
                      <w:highlight w:val="none"/>
                      <w:u w:val="none" w:color="auto"/>
                      <w:lang w:val="zh-CN"/>
                      <w14:textFill>
                        <w14:solidFill>
                          <w14:schemeClr w14:val="tx1"/>
                        </w14:solidFill>
                      </w14:textFill>
                    </w:rPr>
                  </w:pPr>
                </w:p>
              </w:tc>
            </w:tr>
            <w:tr w14:paraId="47444F1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95" w:type="pct"/>
                  <w:noWrap w:val="0"/>
                  <w:vAlign w:val="center"/>
                </w:tcPr>
                <w:p w14:paraId="22FF78EF">
                  <w:pPr>
                    <w:keepNext w:val="0"/>
                    <w:keepLines w:val="0"/>
                    <w:pageBreakBefore w:val="0"/>
                    <w:widowControl/>
                    <w:suppressLineNumbers w:val="0"/>
                    <w:kinsoku/>
                    <w:wordWrap/>
                    <w:overflowPunct/>
                    <w:topLinePunct w:val="0"/>
                    <w:autoSpaceDE/>
                    <w:autoSpaceDN/>
                    <w:bidi w:val="0"/>
                    <w:spacing w:before="0" w:beforeAutospacing="0" w:after="0" w:afterAutospacing="0"/>
                    <w:ind w:left="0" w:right="0"/>
                    <w:jc w:val="center"/>
                    <w:textAlignment w:val="center"/>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color="auto"/>
                      <w:lang w:val="en-US" w:eastAsia="zh-CN" w:bidi="ar"/>
                      <w14:textFill>
                        <w14:solidFill>
                          <w14:schemeClr w14:val="tx1"/>
                        </w14:solidFill>
                      </w14:textFill>
                    </w:rPr>
                    <w:t>DA001</w:t>
                  </w:r>
                </w:p>
              </w:tc>
              <w:tc>
                <w:tcPr>
                  <w:tcW w:w="503" w:type="pct"/>
                  <w:noWrap w:val="0"/>
                  <w:vAlign w:val="center"/>
                </w:tcPr>
                <w:p w14:paraId="5453C054">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颗粒物</w:t>
                  </w:r>
                </w:p>
              </w:tc>
              <w:tc>
                <w:tcPr>
                  <w:tcW w:w="634" w:type="pct"/>
                  <w:vMerge w:val="restart"/>
                  <w:noWrap w:val="0"/>
                  <w:vAlign w:val="center"/>
                </w:tcPr>
                <w:p w14:paraId="7CD68B79">
                  <w:pPr>
                    <w:keepNext w:val="0"/>
                    <w:keepLines w:val="0"/>
                    <w:pageBreakBefore w:val="0"/>
                    <w:widowControl w:val="0"/>
                    <w:suppressLineNumbers w:val="0"/>
                    <w:kinsoku/>
                    <w:wordWrap/>
                    <w:overflowPunct/>
                    <w:topLinePunct w:val="0"/>
                    <w:autoSpaceDE/>
                    <w:autoSpaceDN/>
                    <w:bidi w:val="0"/>
                    <w:spacing w:before="0" w:beforeAutospacing="0" w:after="0" w:afterAutospacing="0"/>
                    <w:ind w:left="0" w:right="0"/>
                    <w:jc w:val="center"/>
                    <w:textAlignment w:val="auto"/>
                    <w:rPr>
                      <w:rFonts w:hint="default" w:ascii="Times New Roman" w:hAnsi="Times New Roman" w:eastAsia="宋体"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zh-CN"/>
                      <w14:textFill>
                        <w14:solidFill>
                          <w14:schemeClr w14:val="tx1"/>
                        </w14:solidFill>
                      </w14:textFill>
                    </w:rPr>
                    <w:t>废气处理设施故障，按最不利情况，考虑，处理效率为0%</w:t>
                  </w:r>
                </w:p>
              </w:tc>
              <w:tc>
                <w:tcPr>
                  <w:tcW w:w="504" w:type="pct"/>
                  <w:noWrap w:val="0"/>
                  <w:vAlign w:val="center"/>
                </w:tcPr>
                <w:p w14:paraId="0A4CDE5C">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775.50</w:t>
                  </w:r>
                </w:p>
              </w:tc>
              <w:tc>
                <w:tcPr>
                  <w:tcW w:w="655" w:type="pct"/>
                  <w:noWrap w:val="0"/>
                  <w:vAlign w:val="center"/>
                </w:tcPr>
                <w:p w14:paraId="2692BEBD">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4.653</w:t>
                  </w:r>
                </w:p>
              </w:tc>
              <w:tc>
                <w:tcPr>
                  <w:tcW w:w="712" w:type="pct"/>
                  <w:noWrap w:val="0"/>
                  <w:vAlign w:val="center"/>
                </w:tcPr>
                <w:p w14:paraId="11013CAF">
                  <w:pPr>
                    <w:keepNext w:val="0"/>
                    <w:keepLines w:val="0"/>
                    <w:pageBreakBefore w:val="0"/>
                    <w:widowControl w:val="0"/>
                    <w:suppressLineNumbers w:val="0"/>
                    <w:kinsoku/>
                    <w:wordWrap/>
                    <w:overflowPunct/>
                    <w:topLinePunct w:val="0"/>
                    <w:autoSpaceDE/>
                    <w:autoSpaceDN/>
                    <w:bidi w:val="0"/>
                    <w:spacing w:before="0" w:beforeAutospacing="0" w:after="0" w:afterAutospacing="0"/>
                    <w:ind w:left="0" w:right="0"/>
                    <w:jc w:val="center"/>
                    <w:textAlignment w:val="auto"/>
                    <w:rPr>
                      <w:rFonts w:hint="default" w:ascii="Times New Roman" w:hAnsi="Times New Roman" w:eastAsia="宋体"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zh-CN"/>
                      <w14:textFill>
                        <w14:solidFill>
                          <w14:schemeClr w14:val="tx1"/>
                        </w14:solidFill>
                      </w14:textFill>
                    </w:rPr>
                    <w:t>1-2次/a， 1h/次</w:t>
                  </w:r>
                </w:p>
              </w:tc>
              <w:tc>
                <w:tcPr>
                  <w:tcW w:w="504" w:type="pct"/>
                  <w:noWrap w:val="0"/>
                  <w:vAlign w:val="center"/>
                </w:tcPr>
                <w:p w14:paraId="66257465">
                  <w:pPr>
                    <w:keepNext w:val="0"/>
                    <w:keepLines w:val="0"/>
                    <w:pageBreakBefore w:val="0"/>
                    <w:widowControl w:val="0"/>
                    <w:suppressLineNumbers w:val="0"/>
                    <w:kinsoku/>
                    <w:wordWrap/>
                    <w:overflowPunct/>
                    <w:topLinePunct w:val="0"/>
                    <w:autoSpaceDE/>
                    <w:autoSpaceDN/>
                    <w:bidi w:val="0"/>
                    <w:spacing w:before="0" w:beforeAutospacing="0" w:after="0" w:afterAutospacing="0"/>
                    <w:ind w:left="0" w:right="0"/>
                    <w:jc w:val="center"/>
                    <w:textAlignment w:val="auto"/>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zh-CN"/>
                      <w14:textFill>
                        <w14:solidFill>
                          <w14:schemeClr w14:val="tx1"/>
                        </w14:solidFill>
                      </w14:textFill>
                    </w:rPr>
                    <w:t>10</w:t>
                  </w:r>
                </w:p>
              </w:tc>
              <w:tc>
                <w:tcPr>
                  <w:tcW w:w="420" w:type="pct"/>
                  <w:noWrap w:val="0"/>
                  <w:vAlign w:val="center"/>
                </w:tcPr>
                <w:p w14:paraId="22D6B5D5">
                  <w:pPr>
                    <w:keepNext w:val="0"/>
                    <w:keepLines w:val="0"/>
                    <w:pageBreakBefore w:val="0"/>
                    <w:widowControl w:val="0"/>
                    <w:suppressLineNumbers w:val="0"/>
                    <w:kinsoku/>
                    <w:wordWrap/>
                    <w:overflowPunct/>
                    <w:topLinePunct w:val="0"/>
                    <w:autoSpaceDE/>
                    <w:autoSpaceDN/>
                    <w:bidi w:val="0"/>
                    <w:spacing w:before="0" w:beforeAutospacing="0" w:after="0" w:afterAutospacing="0"/>
                    <w:ind w:left="0" w:right="0"/>
                    <w:jc w:val="center"/>
                    <w:textAlignment w:val="auto"/>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w:t>
                  </w:r>
                </w:p>
              </w:tc>
              <w:tc>
                <w:tcPr>
                  <w:tcW w:w="470" w:type="pct"/>
                  <w:noWrap w:val="0"/>
                  <w:vAlign w:val="center"/>
                </w:tcPr>
                <w:p w14:paraId="5FC47BA5">
                  <w:pPr>
                    <w:keepNext w:val="0"/>
                    <w:keepLines w:val="0"/>
                    <w:pageBreakBefore w:val="0"/>
                    <w:widowControl w:val="0"/>
                    <w:suppressLineNumbers w:val="0"/>
                    <w:kinsoku/>
                    <w:wordWrap/>
                    <w:overflowPunct/>
                    <w:topLinePunct w:val="0"/>
                    <w:autoSpaceDE/>
                    <w:autoSpaceDN/>
                    <w:bidi w:val="0"/>
                    <w:spacing w:before="0" w:beforeAutospacing="0" w:after="0" w:afterAutospacing="0"/>
                    <w:ind w:left="0" w:right="0"/>
                    <w:jc w:val="center"/>
                    <w:textAlignment w:val="auto"/>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超标</w:t>
                  </w:r>
                </w:p>
              </w:tc>
            </w:tr>
            <w:tr w14:paraId="78D6473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95" w:type="pct"/>
                  <w:vMerge w:val="restart"/>
                  <w:shd w:val="clear" w:color="auto" w:fill="auto"/>
                  <w:noWrap w:val="0"/>
                  <w:vAlign w:val="center"/>
                </w:tcPr>
                <w:p w14:paraId="003510DA">
                  <w:pPr>
                    <w:keepNext w:val="0"/>
                    <w:keepLines w:val="0"/>
                    <w:pageBreakBefore w:val="0"/>
                    <w:widowControl/>
                    <w:suppressLineNumbers w:val="0"/>
                    <w:kinsoku/>
                    <w:wordWrap/>
                    <w:overflowPunct/>
                    <w:topLinePunct w:val="0"/>
                    <w:autoSpaceDE/>
                    <w:autoSpaceDN/>
                    <w:bidi w:val="0"/>
                    <w:spacing w:before="0" w:beforeAutospacing="0" w:after="0" w:afterAutospacing="0"/>
                    <w:ind w:left="0" w:leftChars="0" w:right="0" w:rightChars="0"/>
                    <w:jc w:val="center"/>
                    <w:textAlignment w:val="center"/>
                    <w:outlineLvl w:val="9"/>
                    <w:rPr>
                      <w:rFonts w:hint="default" w:ascii="Times New Roman" w:hAnsi="Times New Roman" w:eastAsia="宋体" w:cs="Times New Roman"/>
                      <w:i w:val="0"/>
                      <w:iCs w:val="0"/>
                      <w:color w:val="000000" w:themeColor="text1"/>
                      <w:kern w:val="0"/>
                      <w:sz w:val="21"/>
                      <w:szCs w:val="21"/>
                      <w:highlight w:val="none"/>
                      <w:u w:val="none" w:color="auto"/>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color="auto"/>
                      <w:lang w:val="en-US" w:eastAsia="zh-CN" w:bidi="ar"/>
                      <w14:textFill>
                        <w14:solidFill>
                          <w14:schemeClr w14:val="tx1"/>
                        </w14:solidFill>
                      </w14:textFill>
                    </w:rPr>
                    <w:t>DA002</w:t>
                  </w:r>
                </w:p>
              </w:tc>
              <w:tc>
                <w:tcPr>
                  <w:tcW w:w="503" w:type="pct"/>
                  <w:shd w:val="clear" w:color="auto" w:fill="auto"/>
                  <w:noWrap w:val="0"/>
                  <w:vAlign w:val="center"/>
                </w:tcPr>
                <w:p w14:paraId="62AA6FD0">
                  <w:pPr>
                    <w:pStyle w:val="56"/>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outlineLvl w:val="9"/>
                    <w:rPr>
                      <w:rFonts w:hint="eastAsia" w:hAnsi="宋体"/>
                      <w:b w:val="0"/>
                      <w:bCs w:val="0"/>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颗粒物</w:t>
                  </w:r>
                </w:p>
              </w:tc>
              <w:tc>
                <w:tcPr>
                  <w:tcW w:w="634" w:type="pct"/>
                  <w:vMerge w:val="continue"/>
                  <w:noWrap w:val="0"/>
                  <w:vAlign w:val="center"/>
                </w:tcPr>
                <w:p w14:paraId="6139E551">
                  <w:pPr>
                    <w:keepNext w:val="0"/>
                    <w:keepLines w:val="0"/>
                    <w:pageBreakBefore w:val="0"/>
                    <w:widowControl w:val="0"/>
                    <w:suppressLineNumbers w:val="0"/>
                    <w:kinsoku/>
                    <w:wordWrap/>
                    <w:overflowPunct/>
                    <w:topLinePunct w:val="0"/>
                    <w:autoSpaceDE/>
                    <w:autoSpaceDN/>
                    <w:bidi w:val="0"/>
                    <w:spacing w:before="0" w:beforeAutospacing="0" w:after="0" w:afterAutospacing="0"/>
                    <w:ind w:left="0" w:right="0"/>
                    <w:jc w:val="center"/>
                    <w:textAlignment w:val="auto"/>
                    <w:rPr>
                      <w:rFonts w:hint="default" w:ascii="Times New Roman" w:hAnsi="Times New Roman" w:eastAsia="宋体" w:cs="Times New Roman"/>
                      <w:color w:val="000000" w:themeColor="text1"/>
                      <w:sz w:val="21"/>
                      <w:szCs w:val="21"/>
                      <w:highlight w:val="none"/>
                      <w:u w:val="none" w:color="auto"/>
                      <w:lang w:val="zh-CN"/>
                      <w14:textFill>
                        <w14:solidFill>
                          <w14:schemeClr w14:val="tx1"/>
                        </w14:solidFill>
                      </w14:textFill>
                    </w:rPr>
                  </w:pPr>
                </w:p>
              </w:tc>
              <w:tc>
                <w:tcPr>
                  <w:tcW w:w="504" w:type="pct"/>
                  <w:noWrap w:val="0"/>
                  <w:vAlign w:val="center"/>
                </w:tcPr>
                <w:p w14:paraId="502A02F7">
                  <w:pPr>
                    <w:keepNext w:val="0"/>
                    <w:keepLines w:val="0"/>
                    <w:widowControl/>
                    <w:suppressLineNumbers w:val="0"/>
                    <w:jc w:val="center"/>
                    <w:textAlignment w:val="center"/>
                    <w:rPr>
                      <w:rFonts w:hint="default" w:cs="Times New Roman"/>
                      <w:color w:val="000000" w:themeColor="text1"/>
                      <w:sz w:val="21"/>
                      <w:szCs w:val="21"/>
                      <w:highlight w:val="none"/>
                      <w:u w:val="single" w:color="auto"/>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431.621</w:t>
                  </w:r>
                </w:p>
              </w:tc>
              <w:tc>
                <w:tcPr>
                  <w:tcW w:w="655" w:type="pct"/>
                  <w:noWrap w:val="0"/>
                  <w:vAlign w:val="center"/>
                </w:tcPr>
                <w:p w14:paraId="2A1A02CA">
                  <w:pPr>
                    <w:keepNext w:val="0"/>
                    <w:keepLines w:val="0"/>
                    <w:widowControl/>
                    <w:suppressLineNumbers w:val="0"/>
                    <w:jc w:val="center"/>
                    <w:textAlignment w:val="center"/>
                    <w:rPr>
                      <w:rFonts w:hint="default" w:cs="Times New Roman"/>
                      <w:color w:val="000000" w:themeColor="text1"/>
                      <w:sz w:val="21"/>
                      <w:szCs w:val="21"/>
                      <w:highlight w:val="none"/>
                      <w:u w:val="single" w:color="auto"/>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8.632</w:t>
                  </w:r>
                </w:p>
              </w:tc>
              <w:tc>
                <w:tcPr>
                  <w:tcW w:w="712" w:type="pct"/>
                  <w:shd w:val="clear" w:color="auto" w:fill="auto"/>
                  <w:noWrap w:val="0"/>
                  <w:vAlign w:val="center"/>
                </w:tcPr>
                <w:p w14:paraId="036364F5">
                  <w:pPr>
                    <w:keepNext w:val="0"/>
                    <w:keepLines w:val="0"/>
                    <w:pageBreakBefore w:val="0"/>
                    <w:widowControl w:val="0"/>
                    <w:suppressLineNumbers w:val="0"/>
                    <w:kinsoku/>
                    <w:wordWrap/>
                    <w:overflowPunct/>
                    <w:topLinePunct w:val="0"/>
                    <w:autoSpaceDE/>
                    <w:autoSpaceDN/>
                    <w:bidi w:val="0"/>
                    <w:spacing w:before="0" w:beforeAutospacing="0" w:after="0" w:afterAutospacing="0"/>
                    <w:ind w:left="0" w:leftChars="0" w:right="0" w:rightChars="0"/>
                    <w:jc w:val="center"/>
                    <w:textAlignment w:val="auto"/>
                    <w:rPr>
                      <w:rFonts w:hint="default" w:ascii="Times New Roman" w:hAnsi="Times New Roman" w:eastAsia="宋体"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zh-CN"/>
                      <w14:textFill>
                        <w14:solidFill>
                          <w14:schemeClr w14:val="tx1"/>
                        </w14:solidFill>
                      </w14:textFill>
                    </w:rPr>
                    <w:t>1-2次/a， 1h/次</w:t>
                  </w:r>
                </w:p>
              </w:tc>
              <w:tc>
                <w:tcPr>
                  <w:tcW w:w="504" w:type="pct"/>
                  <w:shd w:val="clear" w:color="auto" w:fill="auto"/>
                  <w:noWrap w:val="0"/>
                  <w:vAlign w:val="center"/>
                </w:tcPr>
                <w:p w14:paraId="6215F57A">
                  <w:pPr>
                    <w:keepNext w:val="0"/>
                    <w:keepLines w:val="0"/>
                    <w:pageBreakBefore w:val="0"/>
                    <w:widowControl w:val="0"/>
                    <w:suppressLineNumbers w:val="0"/>
                    <w:kinsoku/>
                    <w:wordWrap/>
                    <w:overflowPunct/>
                    <w:topLinePunct w:val="0"/>
                    <w:autoSpaceDE/>
                    <w:autoSpaceDN/>
                    <w:bidi w:val="0"/>
                    <w:spacing w:before="0" w:beforeAutospacing="0" w:after="0" w:afterAutospacing="0"/>
                    <w:ind w:left="0" w:leftChars="0" w:right="0" w:rightChars="0"/>
                    <w:jc w:val="center"/>
                    <w:textAlignment w:val="auto"/>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eastAsia" w:cs="Times New Roman"/>
                      <w:color w:val="000000" w:themeColor="text1"/>
                      <w:sz w:val="21"/>
                      <w:szCs w:val="21"/>
                      <w:highlight w:val="none"/>
                      <w:u w:val="none" w:color="auto"/>
                      <w:lang w:val="en-US" w:eastAsia="zh-CN"/>
                      <w14:textFill>
                        <w14:solidFill>
                          <w14:schemeClr w14:val="tx1"/>
                        </w14:solidFill>
                      </w14:textFill>
                    </w:rPr>
                    <w:t>10</w:t>
                  </w:r>
                </w:p>
              </w:tc>
              <w:tc>
                <w:tcPr>
                  <w:tcW w:w="420" w:type="pct"/>
                  <w:shd w:val="clear" w:color="auto" w:fill="auto"/>
                  <w:noWrap w:val="0"/>
                  <w:vAlign w:val="center"/>
                </w:tcPr>
                <w:p w14:paraId="7908A064">
                  <w:pPr>
                    <w:keepNext w:val="0"/>
                    <w:keepLines w:val="0"/>
                    <w:pageBreakBefore w:val="0"/>
                    <w:widowControl w:val="0"/>
                    <w:suppressLineNumbers w:val="0"/>
                    <w:kinsoku/>
                    <w:wordWrap/>
                    <w:overflowPunct/>
                    <w:topLinePunct w:val="0"/>
                    <w:autoSpaceDE/>
                    <w:autoSpaceDN/>
                    <w:bidi w:val="0"/>
                    <w:spacing w:before="0" w:beforeAutospacing="0" w:after="0" w:afterAutospacing="0"/>
                    <w:ind w:left="0" w:leftChars="0" w:right="0" w:rightChars="0"/>
                    <w:jc w:val="center"/>
                    <w:textAlignment w:val="auto"/>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eastAsia" w:cs="Times New Roman"/>
                      <w:color w:val="000000" w:themeColor="text1"/>
                      <w:sz w:val="21"/>
                      <w:szCs w:val="21"/>
                      <w:highlight w:val="none"/>
                      <w:u w:val="none" w:color="auto"/>
                      <w:lang w:val="en-US" w:eastAsia="zh-CN"/>
                      <w14:textFill>
                        <w14:solidFill>
                          <w14:schemeClr w14:val="tx1"/>
                        </w14:solidFill>
                      </w14:textFill>
                    </w:rPr>
                    <w:t>/</w:t>
                  </w:r>
                </w:p>
              </w:tc>
              <w:tc>
                <w:tcPr>
                  <w:tcW w:w="470" w:type="pct"/>
                  <w:shd w:val="clear" w:color="auto" w:fill="auto"/>
                  <w:noWrap w:val="0"/>
                  <w:vAlign w:val="center"/>
                </w:tcPr>
                <w:p w14:paraId="2B1FA590">
                  <w:pPr>
                    <w:keepNext w:val="0"/>
                    <w:keepLines w:val="0"/>
                    <w:pageBreakBefore w:val="0"/>
                    <w:widowControl w:val="0"/>
                    <w:suppressLineNumbers w:val="0"/>
                    <w:kinsoku/>
                    <w:wordWrap/>
                    <w:overflowPunct/>
                    <w:topLinePunct w:val="0"/>
                    <w:autoSpaceDE/>
                    <w:autoSpaceDN/>
                    <w:bidi w:val="0"/>
                    <w:spacing w:before="0" w:beforeAutospacing="0" w:after="0" w:afterAutospacing="0"/>
                    <w:ind w:left="0" w:leftChars="0" w:right="0" w:rightChars="0"/>
                    <w:jc w:val="center"/>
                    <w:textAlignment w:val="auto"/>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eastAsia" w:cs="Times New Roman"/>
                      <w:color w:val="000000" w:themeColor="text1"/>
                      <w:sz w:val="21"/>
                      <w:szCs w:val="21"/>
                      <w:highlight w:val="none"/>
                      <w:u w:val="none" w:color="auto"/>
                      <w:lang w:val="en-US" w:eastAsia="zh-CN"/>
                      <w14:textFill>
                        <w14:solidFill>
                          <w14:schemeClr w14:val="tx1"/>
                        </w14:solidFill>
                      </w14:textFill>
                    </w:rPr>
                    <w:t>超标</w:t>
                  </w:r>
                </w:p>
              </w:tc>
            </w:tr>
            <w:tr w14:paraId="5EFBBF6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95" w:type="pct"/>
                  <w:vMerge w:val="continue"/>
                  <w:shd w:val="clear" w:color="auto" w:fill="auto"/>
                  <w:noWrap w:val="0"/>
                  <w:vAlign w:val="center"/>
                </w:tcPr>
                <w:p w14:paraId="35B94E80">
                  <w:pPr>
                    <w:keepNext w:val="0"/>
                    <w:keepLines w:val="0"/>
                    <w:pageBreakBefore w:val="0"/>
                    <w:widowControl/>
                    <w:suppressLineNumbers w:val="0"/>
                    <w:kinsoku/>
                    <w:wordWrap/>
                    <w:overflowPunct/>
                    <w:topLinePunct w:val="0"/>
                    <w:autoSpaceDE/>
                    <w:autoSpaceDN/>
                    <w:bidi w:val="0"/>
                    <w:spacing w:before="0" w:beforeAutospacing="0" w:after="0" w:afterAutospacing="0"/>
                    <w:ind w:left="0" w:leftChars="0" w:right="0" w:rightChars="0"/>
                    <w:jc w:val="center"/>
                    <w:textAlignment w:val="center"/>
                    <w:outlineLvl w:val="9"/>
                    <w:rPr>
                      <w:rFonts w:hint="default" w:ascii="Times New Roman" w:hAnsi="Times New Roman" w:eastAsia="宋体" w:cs="Times New Roman"/>
                      <w:i w:val="0"/>
                      <w:iCs w:val="0"/>
                      <w:color w:val="000000" w:themeColor="text1"/>
                      <w:kern w:val="0"/>
                      <w:sz w:val="21"/>
                      <w:szCs w:val="21"/>
                      <w:highlight w:val="none"/>
                      <w:u w:val="none" w:color="auto"/>
                      <w:lang w:val="en-US" w:eastAsia="zh-CN" w:bidi="ar"/>
                      <w14:textFill>
                        <w14:solidFill>
                          <w14:schemeClr w14:val="tx1"/>
                        </w14:solidFill>
                      </w14:textFill>
                    </w:rPr>
                  </w:pPr>
                </w:p>
              </w:tc>
              <w:tc>
                <w:tcPr>
                  <w:tcW w:w="503" w:type="pct"/>
                  <w:shd w:val="clear" w:color="auto" w:fill="auto"/>
                  <w:noWrap w:val="0"/>
                  <w:vAlign w:val="center"/>
                </w:tcPr>
                <w:p w14:paraId="13AD84DA">
                  <w:pPr>
                    <w:pStyle w:val="56"/>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eastAsia" w:hAnsi="宋体"/>
                      <w:b w:val="0"/>
                      <w:bCs w:val="0"/>
                      <w:color w:val="000000" w:themeColor="text1"/>
                      <w:sz w:val="21"/>
                      <w:szCs w:val="21"/>
                      <w14:textFill>
                        <w14:solidFill>
                          <w14:schemeClr w14:val="tx1"/>
                        </w14:solidFill>
                      </w14:textFill>
                    </w:rPr>
                    <w:t>SO</w:t>
                  </w:r>
                  <w:r>
                    <w:rPr>
                      <w:rFonts w:hint="eastAsia" w:hAnsi="宋体"/>
                      <w:b w:val="0"/>
                      <w:bCs w:val="0"/>
                      <w:color w:val="000000" w:themeColor="text1"/>
                      <w:sz w:val="21"/>
                      <w:szCs w:val="21"/>
                      <w:vertAlign w:val="subscript"/>
                      <w14:textFill>
                        <w14:solidFill>
                          <w14:schemeClr w14:val="tx1"/>
                        </w14:solidFill>
                      </w14:textFill>
                    </w:rPr>
                    <w:t>2</w:t>
                  </w:r>
                </w:p>
              </w:tc>
              <w:tc>
                <w:tcPr>
                  <w:tcW w:w="634" w:type="pct"/>
                  <w:vMerge w:val="continue"/>
                  <w:noWrap w:val="0"/>
                  <w:vAlign w:val="center"/>
                </w:tcPr>
                <w:p w14:paraId="421A271F">
                  <w:pPr>
                    <w:keepNext w:val="0"/>
                    <w:keepLines w:val="0"/>
                    <w:pageBreakBefore w:val="0"/>
                    <w:widowControl w:val="0"/>
                    <w:suppressLineNumbers w:val="0"/>
                    <w:kinsoku/>
                    <w:wordWrap/>
                    <w:overflowPunct/>
                    <w:topLinePunct w:val="0"/>
                    <w:autoSpaceDE/>
                    <w:autoSpaceDN/>
                    <w:bidi w:val="0"/>
                    <w:spacing w:before="0" w:beforeAutospacing="0" w:after="0" w:afterAutospacing="0"/>
                    <w:ind w:left="0" w:right="0"/>
                    <w:jc w:val="center"/>
                    <w:textAlignment w:val="auto"/>
                    <w:rPr>
                      <w:rFonts w:hint="default" w:ascii="Times New Roman" w:hAnsi="Times New Roman" w:eastAsia="宋体" w:cs="Times New Roman"/>
                      <w:color w:val="000000" w:themeColor="text1"/>
                      <w:sz w:val="21"/>
                      <w:szCs w:val="21"/>
                      <w:highlight w:val="none"/>
                      <w:u w:val="none" w:color="auto"/>
                      <w:lang w:val="zh-CN"/>
                      <w14:textFill>
                        <w14:solidFill>
                          <w14:schemeClr w14:val="tx1"/>
                        </w14:solidFill>
                      </w14:textFill>
                    </w:rPr>
                  </w:pPr>
                </w:p>
              </w:tc>
              <w:tc>
                <w:tcPr>
                  <w:tcW w:w="504" w:type="pct"/>
                  <w:noWrap w:val="0"/>
                  <w:vAlign w:val="center"/>
                </w:tcPr>
                <w:p w14:paraId="22C9DA40">
                  <w:pPr>
                    <w:keepNext w:val="0"/>
                    <w:keepLines w:val="0"/>
                    <w:widowControl/>
                    <w:suppressLineNumbers w:val="0"/>
                    <w:jc w:val="center"/>
                    <w:textAlignment w:val="center"/>
                    <w:rPr>
                      <w:rFonts w:hint="default" w:cs="Times New Roman"/>
                      <w:color w:val="000000" w:themeColor="text1"/>
                      <w:sz w:val="21"/>
                      <w:szCs w:val="21"/>
                      <w:highlight w:val="none"/>
                      <w:u w:val="single" w:color="auto"/>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49.900</w:t>
                  </w:r>
                </w:p>
              </w:tc>
              <w:tc>
                <w:tcPr>
                  <w:tcW w:w="655" w:type="pct"/>
                  <w:noWrap w:val="0"/>
                  <w:vAlign w:val="center"/>
                </w:tcPr>
                <w:p w14:paraId="25EF8A87">
                  <w:pPr>
                    <w:keepNext w:val="0"/>
                    <w:keepLines w:val="0"/>
                    <w:widowControl/>
                    <w:suppressLineNumbers w:val="0"/>
                    <w:jc w:val="center"/>
                    <w:textAlignment w:val="center"/>
                    <w:rPr>
                      <w:rFonts w:hint="default" w:cs="Times New Roman"/>
                      <w:color w:val="000000" w:themeColor="text1"/>
                      <w:sz w:val="21"/>
                      <w:szCs w:val="21"/>
                      <w:highlight w:val="none"/>
                      <w:u w:val="single" w:color="auto"/>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0.998</w:t>
                  </w:r>
                </w:p>
              </w:tc>
              <w:tc>
                <w:tcPr>
                  <w:tcW w:w="712" w:type="pct"/>
                  <w:shd w:val="clear" w:color="auto" w:fill="auto"/>
                  <w:noWrap w:val="0"/>
                  <w:vAlign w:val="center"/>
                </w:tcPr>
                <w:p w14:paraId="1855FF4A">
                  <w:pPr>
                    <w:keepNext w:val="0"/>
                    <w:keepLines w:val="0"/>
                    <w:pageBreakBefore w:val="0"/>
                    <w:widowControl w:val="0"/>
                    <w:suppressLineNumbers w:val="0"/>
                    <w:kinsoku/>
                    <w:wordWrap/>
                    <w:overflowPunct/>
                    <w:topLinePunct w:val="0"/>
                    <w:autoSpaceDE/>
                    <w:autoSpaceDN/>
                    <w:bidi w:val="0"/>
                    <w:spacing w:before="0" w:beforeAutospacing="0" w:after="0" w:afterAutospacing="0"/>
                    <w:ind w:left="0" w:leftChars="0" w:right="0" w:rightChars="0"/>
                    <w:jc w:val="center"/>
                    <w:textAlignment w:val="auto"/>
                    <w:rPr>
                      <w:rFonts w:hint="default" w:ascii="Times New Roman" w:hAnsi="Times New Roman" w:eastAsia="宋体"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zh-CN"/>
                      <w14:textFill>
                        <w14:solidFill>
                          <w14:schemeClr w14:val="tx1"/>
                        </w14:solidFill>
                      </w14:textFill>
                    </w:rPr>
                    <w:t>1-2次/a， 1h/次</w:t>
                  </w:r>
                </w:p>
              </w:tc>
              <w:tc>
                <w:tcPr>
                  <w:tcW w:w="504" w:type="pct"/>
                  <w:shd w:val="clear" w:color="auto" w:fill="auto"/>
                  <w:noWrap w:val="0"/>
                  <w:vAlign w:val="center"/>
                </w:tcPr>
                <w:p w14:paraId="533E6CF7">
                  <w:pPr>
                    <w:keepNext w:val="0"/>
                    <w:keepLines w:val="0"/>
                    <w:pageBreakBefore w:val="0"/>
                    <w:widowControl w:val="0"/>
                    <w:suppressLineNumbers w:val="0"/>
                    <w:kinsoku/>
                    <w:wordWrap/>
                    <w:overflowPunct/>
                    <w:topLinePunct w:val="0"/>
                    <w:autoSpaceDE/>
                    <w:autoSpaceDN/>
                    <w:bidi w:val="0"/>
                    <w:spacing w:before="0" w:beforeAutospacing="0" w:after="0" w:afterAutospacing="0"/>
                    <w:ind w:left="0" w:leftChars="0" w:right="0" w:rightChars="0"/>
                    <w:jc w:val="center"/>
                    <w:textAlignment w:val="auto"/>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eastAsia" w:cs="Times New Roman"/>
                      <w:color w:val="000000" w:themeColor="text1"/>
                      <w:sz w:val="21"/>
                      <w:szCs w:val="21"/>
                      <w:highlight w:val="none"/>
                      <w:u w:val="none" w:color="auto"/>
                      <w:lang w:val="en-US" w:eastAsia="zh-CN"/>
                      <w14:textFill>
                        <w14:solidFill>
                          <w14:schemeClr w14:val="tx1"/>
                        </w14:solidFill>
                      </w14:textFill>
                    </w:rPr>
                    <w:t>35</w:t>
                  </w:r>
                </w:p>
              </w:tc>
              <w:tc>
                <w:tcPr>
                  <w:tcW w:w="420" w:type="pct"/>
                  <w:shd w:val="clear" w:color="auto" w:fill="auto"/>
                  <w:noWrap w:val="0"/>
                  <w:vAlign w:val="center"/>
                </w:tcPr>
                <w:p w14:paraId="55D69ADE">
                  <w:pPr>
                    <w:keepNext w:val="0"/>
                    <w:keepLines w:val="0"/>
                    <w:pageBreakBefore w:val="0"/>
                    <w:widowControl w:val="0"/>
                    <w:suppressLineNumbers w:val="0"/>
                    <w:kinsoku/>
                    <w:wordWrap/>
                    <w:overflowPunct/>
                    <w:topLinePunct w:val="0"/>
                    <w:autoSpaceDE/>
                    <w:autoSpaceDN/>
                    <w:bidi w:val="0"/>
                    <w:spacing w:before="0" w:beforeAutospacing="0" w:after="0" w:afterAutospacing="0"/>
                    <w:ind w:left="0" w:leftChars="0" w:right="0" w:rightChars="0"/>
                    <w:jc w:val="center"/>
                    <w:textAlignment w:val="auto"/>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w:t>
                  </w:r>
                </w:p>
              </w:tc>
              <w:tc>
                <w:tcPr>
                  <w:tcW w:w="470" w:type="pct"/>
                  <w:shd w:val="clear" w:color="auto" w:fill="auto"/>
                  <w:noWrap w:val="0"/>
                  <w:vAlign w:val="center"/>
                </w:tcPr>
                <w:p w14:paraId="4CDC0C4B">
                  <w:pPr>
                    <w:keepNext w:val="0"/>
                    <w:keepLines w:val="0"/>
                    <w:pageBreakBefore w:val="0"/>
                    <w:widowControl w:val="0"/>
                    <w:suppressLineNumbers w:val="0"/>
                    <w:kinsoku/>
                    <w:wordWrap/>
                    <w:overflowPunct/>
                    <w:topLinePunct w:val="0"/>
                    <w:autoSpaceDE/>
                    <w:autoSpaceDN/>
                    <w:bidi w:val="0"/>
                    <w:spacing w:before="0" w:beforeAutospacing="0" w:after="0" w:afterAutospacing="0"/>
                    <w:ind w:left="0" w:leftChars="0" w:right="0" w:rightChars="0"/>
                    <w:jc w:val="center"/>
                    <w:textAlignment w:val="auto"/>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eastAsia" w:cs="Times New Roman"/>
                      <w:color w:val="000000" w:themeColor="text1"/>
                      <w:sz w:val="21"/>
                      <w:szCs w:val="21"/>
                      <w:highlight w:val="none"/>
                      <w:u w:val="none" w:color="auto"/>
                      <w:lang w:val="en-US" w:eastAsia="zh-CN"/>
                      <w14:textFill>
                        <w14:solidFill>
                          <w14:schemeClr w14:val="tx1"/>
                        </w14:solidFill>
                      </w14:textFill>
                    </w:rPr>
                    <w:t>达标</w:t>
                  </w:r>
                </w:p>
              </w:tc>
            </w:tr>
            <w:tr w14:paraId="5046F2E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95" w:type="pct"/>
                  <w:vMerge w:val="continue"/>
                  <w:shd w:val="clear" w:color="auto" w:fill="auto"/>
                  <w:noWrap w:val="0"/>
                  <w:vAlign w:val="center"/>
                </w:tcPr>
                <w:p w14:paraId="01BFD955">
                  <w:pPr>
                    <w:keepNext w:val="0"/>
                    <w:keepLines w:val="0"/>
                    <w:pageBreakBefore w:val="0"/>
                    <w:widowControl/>
                    <w:suppressLineNumbers w:val="0"/>
                    <w:kinsoku/>
                    <w:wordWrap/>
                    <w:overflowPunct/>
                    <w:topLinePunct w:val="0"/>
                    <w:autoSpaceDE/>
                    <w:autoSpaceDN/>
                    <w:bidi w:val="0"/>
                    <w:spacing w:before="0" w:beforeAutospacing="0" w:after="0" w:afterAutospacing="0"/>
                    <w:ind w:left="0" w:leftChars="0" w:right="0" w:rightChars="0"/>
                    <w:jc w:val="center"/>
                    <w:textAlignment w:val="center"/>
                    <w:outlineLvl w:val="9"/>
                    <w:rPr>
                      <w:rFonts w:hint="default" w:ascii="Times New Roman" w:hAnsi="Times New Roman" w:eastAsia="宋体" w:cs="Times New Roman"/>
                      <w:i w:val="0"/>
                      <w:iCs w:val="0"/>
                      <w:color w:val="000000" w:themeColor="text1"/>
                      <w:kern w:val="0"/>
                      <w:sz w:val="21"/>
                      <w:szCs w:val="21"/>
                      <w:highlight w:val="none"/>
                      <w:u w:val="none" w:color="auto"/>
                      <w:lang w:val="en-US" w:eastAsia="zh-CN" w:bidi="ar"/>
                      <w14:textFill>
                        <w14:solidFill>
                          <w14:schemeClr w14:val="tx1"/>
                        </w14:solidFill>
                      </w14:textFill>
                    </w:rPr>
                  </w:pPr>
                </w:p>
              </w:tc>
              <w:tc>
                <w:tcPr>
                  <w:tcW w:w="503" w:type="pct"/>
                  <w:shd w:val="clear" w:color="auto" w:fill="auto"/>
                  <w:noWrap w:val="0"/>
                  <w:vAlign w:val="center"/>
                </w:tcPr>
                <w:p w14:paraId="5CBC394B">
                  <w:pPr>
                    <w:pStyle w:val="56"/>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eastAsia" w:hAnsi="宋体"/>
                      <w:b w:val="0"/>
                      <w:bCs w:val="0"/>
                      <w:color w:val="000000" w:themeColor="text1"/>
                      <w:sz w:val="21"/>
                      <w:szCs w:val="21"/>
                      <w14:textFill>
                        <w14:solidFill>
                          <w14:schemeClr w14:val="tx1"/>
                        </w14:solidFill>
                      </w14:textFill>
                    </w:rPr>
                    <w:t>NOx</w:t>
                  </w:r>
                </w:p>
              </w:tc>
              <w:tc>
                <w:tcPr>
                  <w:tcW w:w="634" w:type="pct"/>
                  <w:vMerge w:val="continue"/>
                  <w:noWrap w:val="0"/>
                  <w:vAlign w:val="center"/>
                </w:tcPr>
                <w:p w14:paraId="0F9E2B6F">
                  <w:pPr>
                    <w:keepNext w:val="0"/>
                    <w:keepLines w:val="0"/>
                    <w:pageBreakBefore w:val="0"/>
                    <w:widowControl w:val="0"/>
                    <w:suppressLineNumbers w:val="0"/>
                    <w:kinsoku/>
                    <w:wordWrap/>
                    <w:overflowPunct/>
                    <w:topLinePunct w:val="0"/>
                    <w:autoSpaceDE/>
                    <w:autoSpaceDN/>
                    <w:bidi w:val="0"/>
                    <w:spacing w:before="0" w:beforeAutospacing="0" w:after="0" w:afterAutospacing="0"/>
                    <w:ind w:left="0" w:right="0"/>
                    <w:jc w:val="center"/>
                    <w:textAlignment w:val="auto"/>
                    <w:rPr>
                      <w:rFonts w:hint="default" w:ascii="Times New Roman" w:hAnsi="Times New Roman" w:eastAsia="宋体" w:cs="Times New Roman"/>
                      <w:color w:val="000000" w:themeColor="text1"/>
                      <w:sz w:val="21"/>
                      <w:szCs w:val="21"/>
                      <w:highlight w:val="none"/>
                      <w:u w:val="none" w:color="auto"/>
                      <w:lang w:val="zh-CN"/>
                      <w14:textFill>
                        <w14:solidFill>
                          <w14:schemeClr w14:val="tx1"/>
                        </w14:solidFill>
                      </w14:textFill>
                    </w:rPr>
                  </w:pPr>
                </w:p>
              </w:tc>
              <w:tc>
                <w:tcPr>
                  <w:tcW w:w="504" w:type="pct"/>
                  <w:noWrap w:val="0"/>
                  <w:vAlign w:val="center"/>
                </w:tcPr>
                <w:p w14:paraId="63A5D2E0">
                  <w:pPr>
                    <w:keepNext w:val="0"/>
                    <w:keepLines w:val="0"/>
                    <w:widowControl/>
                    <w:suppressLineNumbers w:val="0"/>
                    <w:jc w:val="center"/>
                    <w:textAlignment w:val="center"/>
                    <w:rPr>
                      <w:rFonts w:hint="default" w:cs="Times New Roman"/>
                      <w:color w:val="000000" w:themeColor="text1"/>
                      <w:sz w:val="21"/>
                      <w:szCs w:val="21"/>
                      <w:highlight w:val="none"/>
                      <w:u w:val="single" w:color="auto"/>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45.400</w:t>
                  </w:r>
                </w:p>
              </w:tc>
              <w:tc>
                <w:tcPr>
                  <w:tcW w:w="655" w:type="pct"/>
                  <w:noWrap w:val="0"/>
                  <w:vAlign w:val="center"/>
                </w:tcPr>
                <w:p w14:paraId="3FD6477C">
                  <w:pPr>
                    <w:keepNext w:val="0"/>
                    <w:keepLines w:val="0"/>
                    <w:widowControl/>
                    <w:suppressLineNumbers w:val="0"/>
                    <w:jc w:val="center"/>
                    <w:textAlignment w:val="center"/>
                    <w:rPr>
                      <w:rFonts w:hint="default" w:cs="Times New Roman"/>
                      <w:color w:val="000000" w:themeColor="text1"/>
                      <w:sz w:val="21"/>
                      <w:szCs w:val="21"/>
                      <w:highlight w:val="none"/>
                      <w:u w:val="single" w:color="auto"/>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0.908</w:t>
                  </w:r>
                </w:p>
              </w:tc>
              <w:tc>
                <w:tcPr>
                  <w:tcW w:w="712" w:type="pct"/>
                  <w:shd w:val="clear" w:color="auto" w:fill="auto"/>
                  <w:noWrap w:val="0"/>
                  <w:vAlign w:val="center"/>
                </w:tcPr>
                <w:p w14:paraId="1B798757">
                  <w:pPr>
                    <w:keepNext w:val="0"/>
                    <w:keepLines w:val="0"/>
                    <w:pageBreakBefore w:val="0"/>
                    <w:widowControl w:val="0"/>
                    <w:suppressLineNumbers w:val="0"/>
                    <w:kinsoku/>
                    <w:wordWrap/>
                    <w:overflowPunct/>
                    <w:topLinePunct w:val="0"/>
                    <w:autoSpaceDE/>
                    <w:autoSpaceDN/>
                    <w:bidi w:val="0"/>
                    <w:spacing w:before="0" w:beforeAutospacing="0" w:after="0" w:afterAutospacing="0"/>
                    <w:ind w:left="0" w:leftChars="0" w:right="0" w:rightChars="0"/>
                    <w:jc w:val="center"/>
                    <w:textAlignment w:val="auto"/>
                    <w:rPr>
                      <w:rFonts w:hint="default" w:ascii="Times New Roman" w:hAnsi="Times New Roman" w:eastAsia="宋体"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zh-CN"/>
                      <w14:textFill>
                        <w14:solidFill>
                          <w14:schemeClr w14:val="tx1"/>
                        </w14:solidFill>
                      </w14:textFill>
                    </w:rPr>
                    <w:t>1-2次/a， 1h/次</w:t>
                  </w:r>
                </w:p>
              </w:tc>
              <w:tc>
                <w:tcPr>
                  <w:tcW w:w="504" w:type="pct"/>
                  <w:shd w:val="clear" w:color="auto" w:fill="auto"/>
                  <w:noWrap w:val="0"/>
                  <w:vAlign w:val="center"/>
                </w:tcPr>
                <w:p w14:paraId="2D687767">
                  <w:pPr>
                    <w:keepNext w:val="0"/>
                    <w:keepLines w:val="0"/>
                    <w:pageBreakBefore w:val="0"/>
                    <w:widowControl w:val="0"/>
                    <w:suppressLineNumbers w:val="0"/>
                    <w:kinsoku/>
                    <w:wordWrap/>
                    <w:overflowPunct/>
                    <w:topLinePunct w:val="0"/>
                    <w:autoSpaceDE/>
                    <w:autoSpaceDN/>
                    <w:bidi w:val="0"/>
                    <w:spacing w:before="0" w:beforeAutospacing="0" w:after="0" w:afterAutospacing="0"/>
                    <w:ind w:left="0" w:leftChars="0" w:right="0" w:rightChars="0"/>
                    <w:jc w:val="center"/>
                    <w:textAlignment w:val="auto"/>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eastAsia" w:cs="Times New Roman"/>
                      <w:color w:val="000000" w:themeColor="text1"/>
                      <w:sz w:val="21"/>
                      <w:szCs w:val="21"/>
                      <w:highlight w:val="none"/>
                      <w:u w:val="none" w:color="auto"/>
                      <w:lang w:val="en-US" w:eastAsia="zh-CN"/>
                      <w14:textFill>
                        <w14:solidFill>
                          <w14:schemeClr w14:val="tx1"/>
                        </w14:solidFill>
                      </w14:textFill>
                    </w:rPr>
                    <w:t>50</w:t>
                  </w:r>
                </w:p>
              </w:tc>
              <w:tc>
                <w:tcPr>
                  <w:tcW w:w="420" w:type="pct"/>
                  <w:shd w:val="clear" w:color="auto" w:fill="auto"/>
                  <w:noWrap w:val="0"/>
                  <w:vAlign w:val="center"/>
                </w:tcPr>
                <w:p w14:paraId="568A6719">
                  <w:pPr>
                    <w:keepNext w:val="0"/>
                    <w:keepLines w:val="0"/>
                    <w:pageBreakBefore w:val="0"/>
                    <w:widowControl w:val="0"/>
                    <w:suppressLineNumbers w:val="0"/>
                    <w:kinsoku/>
                    <w:wordWrap/>
                    <w:overflowPunct/>
                    <w:topLinePunct w:val="0"/>
                    <w:autoSpaceDE/>
                    <w:autoSpaceDN/>
                    <w:bidi w:val="0"/>
                    <w:spacing w:before="0" w:beforeAutospacing="0" w:after="0" w:afterAutospacing="0"/>
                    <w:ind w:left="0" w:leftChars="0" w:right="0" w:rightChars="0"/>
                    <w:jc w:val="center"/>
                    <w:textAlignment w:val="auto"/>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eastAsia" w:cs="Times New Roman"/>
                      <w:color w:val="000000" w:themeColor="text1"/>
                      <w:sz w:val="21"/>
                      <w:szCs w:val="21"/>
                      <w:highlight w:val="none"/>
                      <w:u w:val="none" w:color="auto"/>
                      <w:lang w:val="en-US" w:eastAsia="zh-CN"/>
                      <w14:textFill>
                        <w14:solidFill>
                          <w14:schemeClr w14:val="tx1"/>
                        </w14:solidFill>
                      </w14:textFill>
                    </w:rPr>
                    <w:t>/</w:t>
                  </w:r>
                </w:p>
              </w:tc>
              <w:tc>
                <w:tcPr>
                  <w:tcW w:w="470" w:type="pct"/>
                  <w:shd w:val="clear" w:color="auto" w:fill="auto"/>
                  <w:noWrap w:val="0"/>
                  <w:vAlign w:val="center"/>
                </w:tcPr>
                <w:p w14:paraId="2D3343CC">
                  <w:pPr>
                    <w:keepNext w:val="0"/>
                    <w:keepLines w:val="0"/>
                    <w:pageBreakBefore w:val="0"/>
                    <w:widowControl w:val="0"/>
                    <w:suppressLineNumbers w:val="0"/>
                    <w:kinsoku/>
                    <w:wordWrap/>
                    <w:overflowPunct/>
                    <w:topLinePunct w:val="0"/>
                    <w:autoSpaceDE/>
                    <w:autoSpaceDN/>
                    <w:bidi w:val="0"/>
                    <w:spacing w:before="0" w:beforeAutospacing="0" w:after="0" w:afterAutospacing="0"/>
                    <w:ind w:left="0" w:leftChars="0" w:right="0" w:rightChars="0"/>
                    <w:jc w:val="center"/>
                    <w:textAlignment w:val="auto"/>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eastAsia" w:cs="Times New Roman"/>
                      <w:color w:val="000000" w:themeColor="text1"/>
                      <w:sz w:val="21"/>
                      <w:szCs w:val="21"/>
                      <w:highlight w:val="none"/>
                      <w:u w:val="none" w:color="auto"/>
                      <w:lang w:val="en-US" w:eastAsia="zh-CN"/>
                      <w14:textFill>
                        <w14:solidFill>
                          <w14:schemeClr w14:val="tx1"/>
                        </w14:solidFill>
                      </w14:textFill>
                    </w:rPr>
                    <w:t>达标</w:t>
                  </w:r>
                </w:p>
              </w:tc>
            </w:tr>
            <w:tr w14:paraId="5A8C292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95" w:type="pct"/>
                  <w:shd w:val="clear" w:color="auto" w:fill="auto"/>
                  <w:noWrap w:val="0"/>
                  <w:vAlign w:val="center"/>
                </w:tcPr>
                <w:p w14:paraId="0C4FBB4F">
                  <w:pPr>
                    <w:keepNext w:val="0"/>
                    <w:keepLines w:val="0"/>
                    <w:pageBreakBefore w:val="0"/>
                    <w:widowControl/>
                    <w:suppressLineNumbers w:val="0"/>
                    <w:kinsoku/>
                    <w:wordWrap/>
                    <w:overflowPunct/>
                    <w:topLinePunct w:val="0"/>
                    <w:autoSpaceDE/>
                    <w:autoSpaceDN/>
                    <w:bidi w:val="0"/>
                    <w:spacing w:before="0" w:beforeAutospacing="0" w:after="0" w:afterAutospacing="0"/>
                    <w:ind w:left="0" w:leftChars="0" w:right="0" w:rightChars="0"/>
                    <w:jc w:val="center"/>
                    <w:textAlignment w:val="center"/>
                    <w:outlineLvl w:val="9"/>
                    <w:rPr>
                      <w:rFonts w:hint="default" w:ascii="Times New Roman" w:hAnsi="Times New Roman" w:eastAsia="宋体" w:cs="Times New Roman"/>
                      <w:i w:val="0"/>
                      <w:iCs w:val="0"/>
                      <w:color w:val="000000" w:themeColor="text1"/>
                      <w:kern w:val="0"/>
                      <w:sz w:val="21"/>
                      <w:szCs w:val="21"/>
                      <w:highlight w:val="none"/>
                      <w:u w:val="none" w:color="auto"/>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color="auto"/>
                      <w:lang w:val="en-US" w:eastAsia="zh-CN" w:bidi="ar"/>
                      <w14:textFill>
                        <w14:solidFill>
                          <w14:schemeClr w14:val="tx1"/>
                        </w14:solidFill>
                      </w14:textFill>
                    </w:rPr>
                    <w:t>DA003</w:t>
                  </w:r>
                </w:p>
              </w:tc>
              <w:tc>
                <w:tcPr>
                  <w:tcW w:w="503" w:type="pct"/>
                  <w:shd w:val="clear" w:color="auto" w:fill="auto"/>
                  <w:noWrap w:val="0"/>
                  <w:vAlign w:val="center"/>
                </w:tcPr>
                <w:p w14:paraId="5CA5A885">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eastAsia"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颗粒物</w:t>
                  </w:r>
                </w:p>
              </w:tc>
              <w:tc>
                <w:tcPr>
                  <w:tcW w:w="634" w:type="pct"/>
                  <w:vMerge w:val="continue"/>
                  <w:noWrap w:val="0"/>
                  <w:vAlign w:val="center"/>
                </w:tcPr>
                <w:p w14:paraId="505D91BD">
                  <w:pPr>
                    <w:keepNext w:val="0"/>
                    <w:keepLines w:val="0"/>
                    <w:pageBreakBefore w:val="0"/>
                    <w:widowControl w:val="0"/>
                    <w:suppressLineNumbers w:val="0"/>
                    <w:kinsoku/>
                    <w:wordWrap/>
                    <w:overflowPunct/>
                    <w:topLinePunct w:val="0"/>
                    <w:autoSpaceDE/>
                    <w:autoSpaceDN/>
                    <w:bidi w:val="0"/>
                    <w:spacing w:before="0" w:beforeAutospacing="0" w:after="0" w:afterAutospacing="0"/>
                    <w:ind w:left="0" w:right="0"/>
                    <w:jc w:val="center"/>
                    <w:textAlignment w:val="auto"/>
                    <w:rPr>
                      <w:rFonts w:hint="default" w:ascii="Times New Roman" w:hAnsi="Times New Roman" w:eastAsia="宋体" w:cs="Times New Roman"/>
                      <w:color w:val="000000" w:themeColor="text1"/>
                      <w:sz w:val="21"/>
                      <w:szCs w:val="21"/>
                      <w:highlight w:val="none"/>
                      <w:u w:val="none" w:color="auto"/>
                      <w:lang w:val="zh-CN"/>
                      <w14:textFill>
                        <w14:solidFill>
                          <w14:schemeClr w14:val="tx1"/>
                        </w14:solidFill>
                      </w14:textFill>
                    </w:rPr>
                  </w:pPr>
                </w:p>
              </w:tc>
              <w:tc>
                <w:tcPr>
                  <w:tcW w:w="504" w:type="pct"/>
                  <w:noWrap w:val="0"/>
                  <w:vAlign w:val="center"/>
                </w:tcPr>
                <w:p w14:paraId="09046DE6">
                  <w:pPr>
                    <w:keepNext w:val="0"/>
                    <w:keepLines w:val="0"/>
                    <w:widowControl/>
                    <w:suppressLineNumbers w:val="0"/>
                    <w:jc w:val="center"/>
                    <w:textAlignment w:val="center"/>
                    <w:rPr>
                      <w:rFonts w:hint="eastAsia" w:cs="Times New Roman"/>
                      <w:color w:val="000000" w:themeColor="text1"/>
                      <w:sz w:val="21"/>
                      <w:szCs w:val="21"/>
                      <w:highlight w:val="none"/>
                      <w:u w:val="singl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114.861</w:t>
                  </w:r>
                </w:p>
              </w:tc>
              <w:tc>
                <w:tcPr>
                  <w:tcW w:w="655" w:type="pct"/>
                  <w:noWrap w:val="0"/>
                  <w:vAlign w:val="center"/>
                </w:tcPr>
                <w:p w14:paraId="6534C1A5">
                  <w:pPr>
                    <w:keepNext w:val="0"/>
                    <w:keepLines w:val="0"/>
                    <w:widowControl/>
                    <w:suppressLineNumbers w:val="0"/>
                    <w:jc w:val="center"/>
                    <w:textAlignment w:val="center"/>
                    <w:rPr>
                      <w:rFonts w:hint="eastAsia" w:cs="Times New Roman"/>
                      <w:color w:val="000000" w:themeColor="text1"/>
                      <w:sz w:val="21"/>
                      <w:szCs w:val="21"/>
                      <w:highlight w:val="none"/>
                      <w:u w:val="singl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0.115</w:t>
                  </w:r>
                </w:p>
              </w:tc>
              <w:tc>
                <w:tcPr>
                  <w:tcW w:w="712" w:type="pct"/>
                  <w:shd w:val="clear" w:color="auto" w:fill="auto"/>
                  <w:noWrap w:val="0"/>
                  <w:vAlign w:val="center"/>
                </w:tcPr>
                <w:p w14:paraId="6F35F07C">
                  <w:pPr>
                    <w:keepNext w:val="0"/>
                    <w:keepLines w:val="0"/>
                    <w:pageBreakBefore w:val="0"/>
                    <w:widowControl w:val="0"/>
                    <w:suppressLineNumbers w:val="0"/>
                    <w:kinsoku/>
                    <w:wordWrap/>
                    <w:overflowPunct/>
                    <w:topLinePunct w:val="0"/>
                    <w:autoSpaceDE/>
                    <w:autoSpaceDN/>
                    <w:bidi w:val="0"/>
                    <w:spacing w:before="0" w:beforeAutospacing="0" w:after="0" w:afterAutospacing="0"/>
                    <w:ind w:left="0" w:leftChars="0" w:right="0" w:rightChars="0"/>
                    <w:jc w:val="center"/>
                    <w:textAlignment w:val="auto"/>
                    <w:rPr>
                      <w:rFonts w:hint="default" w:ascii="Times New Roman" w:hAnsi="Times New Roman" w:eastAsia="宋体"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zh-CN"/>
                      <w14:textFill>
                        <w14:solidFill>
                          <w14:schemeClr w14:val="tx1"/>
                        </w14:solidFill>
                      </w14:textFill>
                    </w:rPr>
                    <w:t>1-2次/a， 1h/次</w:t>
                  </w:r>
                </w:p>
              </w:tc>
              <w:tc>
                <w:tcPr>
                  <w:tcW w:w="504" w:type="pct"/>
                  <w:shd w:val="clear" w:color="auto" w:fill="auto"/>
                  <w:noWrap w:val="0"/>
                  <w:vAlign w:val="center"/>
                </w:tcPr>
                <w:p w14:paraId="50059E46">
                  <w:pPr>
                    <w:keepNext w:val="0"/>
                    <w:keepLines w:val="0"/>
                    <w:pageBreakBefore w:val="0"/>
                    <w:widowControl w:val="0"/>
                    <w:suppressLineNumbers w:val="0"/>
                    <w:kinsoku/>
                    <w:wordWrap/>
                    <w:overflowPunct/>
                    <w:topLinePunct w:val="0"/>
                    <w:autoSpaceDE/>
                    <w:autoSpaceDN/>
                    <w:bidi w:val="0"/>
                    <w:spacing w:before="0" w:beforeAutospacing="0" w:after="0" w:afterAutospacing="0"/>
                    <w:ind w:left="0" w:leftChars="0" w:right="0" w:rightChars="0"/>
                    <w:jc w:val="center"/>
                    <w:textAlignment w:val="auto"/>
                    <w:rPr>
                      <w:rFonts w:hint="eastAsia"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zh-CN"/>
                      <w14:textFill>
                        <w14:solidFill>
                          <w14:schemeClr w14:val="tx1"/>
                        </w14:solidFill>
                      </w14:textFill>
                    </w:rPr>
                    <w:t>10</w:t>
                  </w:r>
                </w:p>
              </w:tc>
              <w:tc>
                <w:tcPr>
                  <w:tcW w:w="420" w:type="pct"/>
                  <w:shd w:val="clear" w:color="auto" w:fill="auto"/>
                  <w:noWrap w:val="0"/>
                  <w:vAlign w:val="center"/>
                </w:tcPr>
                <w:p w14:paraId="067326AF">
                  <w:pPr>
                    <w:keepNext w:val="0"/>
                    <w:keepLines w:val="0"/>
                    <w:pageBreakBefore w:val="0"/>
                    <w:widowControl w:val="0"/>
                    <w:suppressLineNumbers w:val="0"/>
                    <w:kinsoku/>
                    <w:wordWrap/>
                    <w:overflowPunct/>
                    <w:topLinePunct w:val="0"/>
                    <w:autoSpaceDE/>
                    <w:autoSpaceDN/>
                    <w:bidi w:val="0"/>
                    <w:spacing w:before="0" w:beforeAutospacing="0" w:after="0" w:afterAutospacing="0"/>
                    <w:ind w:left="0" w:leftChars="0" w:right="0" w:rightChars="0"/>
                    <w:jc w:val="center"/>
                    <w:textAlignment w:val="auto"/>
                    <w:rPr>
                      <w:rFonts w:hint="eastAsia"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w:t>
                  </w:r>
                </w:p>
              </w:tc>
              <w:tc>
                <w:tcPr>
                  <w:tcW w:w="470" w:type="pct"/>
                  <w:shd w:val="clear" w:color="auto" w:fill="auto"/>
                  <w:noWrap w:val="0"/>
                  <w:vAlign w:val="center"/>
                </w:tcPr>
                <w:p w14:paraId="02D2B0EA">
                  <w:pPr>
                    <w:keepNext w:val="0"/>
                    <w:keepLines w:val="0"/>
                    <w:pageBreakBefore w:val="0"/>
                    <w:widowControl w:val="0"/>
                    <w:suppressLineNumbers w:val="0"/>
                    <w:kinsoku/>
                    <w:wordWrap/>
                    <w:overflowPunct/>
                    <w:topLinePunct w:val="0"/>
                    <w:autoSpaceDE/>
                    <w:autoSpaceDN/>
                    <w:bidi w:val="0"/>
                    <w:spacing w:before="0" w:beforeAutospacing="0" w:after="0" w:afterAutospacing="0"/>
                    <w:ind w:left="0" w:leftChars="0" w:right="0" w:rightChars="0"/>
                    <w:jc w:val="center"/>
                    <w:textAlignment w:val="auto"/>
                    <w:rPr>
                      <w:rFonts w:hint="eastAsia"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超标</w:t>
                  </w:r>
                </w:p>
              </w:tc>
            </w:tr>
          </w:tbl>
          <w:p w14:paraId="498A0B07">
            <w:pPr>
              <w:keepNext w:val="0"/>
              <w:keepLines w:val="0"/>
              <w:pageBreakBefore w:val="0"/>
              <w:suppressLineNumbers w:val="0"/>
              <w:tabs>
                <w:tab w:val="left" w:pos="1081"/>
              </w:tabs>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pP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由上表可知，非正常工况下，项DA0</w:t>
            </w:r>
            <w:r>
              <w:rPr>
                <w:rFonts w:hint="default" w:ascii="Times New Roman" w:hAnsi="Times New Roman" w:eastAsia="宋体" w:cs="Times New Roman"/>
                <w:color w:val="000000" w:themeColor="text1"/>
                <w:sz w:val="24"/>
                <w:szCs w:val="24"/>
                <w:highlight w:val="none"/>
                <w:u w:val="none" w:color="auto"/>
                <w:lang w:val="en-US" w:eastAsia="zh-CN"/>
                <w14:textFill>
                  <w14:solidFill>
                    <w14:schemeClr w14:val="tx1"/>
                  </w14:solidFill>
                </w14:textFill>
              </w:rPr>
              <w:t>01</w:t>
            </w: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-DA0</w:t>
            </w:r>
            <w:r>
              <w:rPr>
                <w:rFonts w:hint="default" w:ascii="Times New Roman" w:hAnsi="Times New Roman" w:eastAsia="宋体" w:cs="Times New Roman"/>
                <w:color w:val="000000" w:themeColor="text1"/>
                <w:sz w:val="24"/>
                <w:szCs w:val="24"/>
                <w:highlight w:val="none"/>
                <w:u w:val="none" w:color="auto"/>
                <w:lang w:val="en-US" w:eastAsia="zh-CN"/>
                <w14:textFill>
                  <w14:solidFill>
                    <w14:schemeClr w14:val="tx1"/>
                  </w14:solidFill>
                </w14:textFill>
              </w:rPr>
              <w:t>0</w:t>
            </w:r>
            <w:r>
              <w:rPr>
                <w:rFonts w:hint="eastAsia" w:cs="Times New Roman"/>
                <w:color w:val="000000" w:themeColor="text1"/>
                <w:sz w:val="24"/>
                <w:szCs w:val="24"/>
                <w:highlight w:val="none"/>
                <w:u w:val="none" w:color="auto"/>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均有污染物的排放浓度超标。为防止生产废气非正常工况排放，企业必须加强废气处理设施的管理，定期检修，确保废气处理设施正常运行，在废气处理设备停止运行或出现故障时，产生废气的各工序也必须相应停止生产。为杜绝废气非正常排放，应采取以下措施确保废气达标排放：</w:t>
            </w:r>
          </w:p>
          <w:p w14:paraId="31002B0F">
            <w:pPr>
              <w:keepNext w:val="0"/>
              <w:keepLines w:val="0"/>
              <w:pageBreakBefore w:val="0"/>
              <w:suppressLineNumbers w:val="0"/>
              <w:tabs>
                <w:tab w:val="left" w:pos="1081"/>
              </w:tabs>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pP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①安排专人负责环保设备的日常维护和管理，每隔固定时间检查、汇报情况，及时发现废气处理设备的隐患，确保废气处理系统正常运行；</w:t>
            </w:r>
          </w:p>
          <w:p w14:paraId="3C0CB75D">
            <w:pPr>
              <w:keepNext w:val="0"/>
              <w:keepLines w:val="0"/>
              <w:pageBreakBefore w:val="0"/>
              <w:suppressLineNumbers w:val="0"/>
              <w:tabs>
                <w:tab w:val="left" w:pos="1081"/>
              </w:tabs>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pP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②建立健全的环保管理机构，对环保管理人员和技术人员进行岗位培训，委托具有专业资质的环境检测单位对项目排放的各类污染物进行定期检测；</w:t>
            </w:r>
          </w:p>
          <w:p w14:paraId="2D4AEE2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pP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③应定期维护、检修废气净化装置，以保持废气处理装置的净化能力和净化容量。</w:t>
            </w:r>
          </w:p>
          <w:p w14:paraId="7E29307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bCs/>
                <w:color w:val="000000" w:themeColor="text1"/>
                <w:kern w:val="0"/>
                <w:sz w:val="24"/>
                <w:szCs w:val="24"/>
                <w:highlight w:val="none"/>
                <w:u w:val="none" w:color="auto"/>
                <w14:textFill>
                  <w14:solidFill>
                    <w14:schemeClr w14:val="tx1"/>
                  </w14:solidFill>
                </w14:textFill>
              </w:rPr>
            </w:pPr>
            <w:r>
              <w:rPr>
                <w:rFonts w:hint="eastAsia" w:ascii="Times New Roman" w:hAnsi="Times New Roman" w:eastAsia="宋体" w:cs="Times New Roman"/>
                <w:bCs/>
                <w:color w:val="000000" w:themeColor="text1"/>
                <w:kern w:val="0"/>
                <w:sz w:val="24"/>
                <w:szCs w:val="24"/>
                <w:highlight w:val="none"/>
                <w:u w:val="none" w:color="auto"/>
                <w:lang w:val="en-US" w:eastAsia="zh-CN"/>
                <w14:textFill>
                  <w14:solidFill>
                    <w14:schemeClr w14:val="tx1"/>
                  </w14:solidFill>
                </w14:textFill>
              </w:rPr>
              <w:t>1</w:t>
            </w:r>
            <w:r>
              <w:rPr>
                <w:rFonts w:hint="default" w:ascii="Times New Roman" w:hAnsi="Times New Roman" w:eastAsia="宋体" w:cs="Times New Roman"/>
                <w:bCs/>
                <w:color w:val="000000" w:themeColor="text1"/>
                <w:kern w:val="0"/>
                <w:sz w:val="24"/>
                <w:szCs w:val="24"/>
                <w:highlight w:val="none"/>
                <w:u w:val="none" w:color="auto"/>
                <w:lang w:val="en-US" w:eastAsia="zh-CN"/>
                <w14:textFill>
                  <w14:solidFill>
                    <w14:schemeClr w14:val="tx1"/>
                  </w14:solidFill>
                </w14:textFill>
              </w:rPr>
              <w:t>.7</w:t>
            </w:r>
            <w:r>
              <w:rPr>
                <w:rFonts w:hint="default" w:ascii="Times New Roman" w:hAnsi="Times New Roman" w:eastAsia="宋体" w:cs="Times New Roman"/>
                <w:bCs/>
                <w:color w:val="000000" w:themeColor="text1"/>
                <w:kern w:val="0"/>
                <w:sz w:val="24"/>
                <w:szCs w:val="24"/>
                <w:highlight w:val="none"/>
                <w:u w:val="none" w:color="auto"/>
                <w14:textFill>
                  <w14:solidFill>
                    <w14:schemeClr w14:val="tx1"/>
                  </w14:solidFill>
                </w14:textFill>
              </w:rPr>
              <w:t>废气治理措施可行性分析</w:t>
            </w:r>
          </w:p>
          <w:p w14:paraId="40898E11">
            <w:pPr>
              <w:keepNext w:val="0"/>
              <w:keepLines w:val="0"/>
              <w:pageBreakBefore w:val="0"/>
              <w:numPr>
                <w:ilvl w:val="0"/>
                <w:numId w:val="0"/>
              </w:numPr>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bCs/>
                <w:color w:val="000000" w:themeColor="text1"/>
                <w:kern w:val="0"/>
                <w:sz w:val="24"/>
                <w:szCs w:val="24"/>
                <w:highlight w:val="none"/>
                <w:u w:val="none" w:color="auto"/>
                <w14:textFill>
                  <w14:solidFill>
                    <w14:schemeClr w14:val="tx1"/>
                  </w14:solidFill>
                </w14:textFill>
              </w:rPr>
            </w:pPr>
            <w:r>
              <w:rPr>
                <w:rFonts w:hint="eastAsia" w:ascii="Times New Roman" w:hAnsi="Times New Roman" w:eastAsia="宋体" w:cs="Times New Roman"/>
                <w:bCs/>
                <w:color w:val="000000" w:themeColor="text1"/>
                <w:kern w:val="0"/>
                <w:sz w:val="24"/>
                <w:szCs w:val="24"/>
                <w:highlight w:val="none"/>
                <w:u w:val="none" w:color="auto"/>
                <w:lang w:val="en-US" w:eastAsia="zh-CN" w:bidi="ar-SA"/>
                <w14:textFill>
                  <w14:solidFill>
                    <w14:schemeClr w14:val="tx1"/>
                  </w14:solidFill>
                </w14:textFill>
              </w:rPr>
              <w:t>1</w:t>
            </w:r>
            <w:r>
              <w:rPr>
                <w:rFonts w:hint="default" w:ascii="Times New Roman" w:hAnsi="Times New Roman" w:eastAsia="宋体" w:cs="Times New Roman"/>
                <w:bCs/>
                <w:color w:val="000000" w:themeColor="text1"/>
                <w:kern w:val="0"/>
                <w:sz w:val="24"/>
                <w:szCs w:val="24"/>
                <w:highlight w:val="none"/>
                <w:u w:val="none" w:color="auto"/>
                <w:lang w:val="en-US" w:eastAsia="zh-CN" w:bidi="ar-SA"/>
                <w14:textFill>
                  <w14:solidFill>
                    <w14:schemeClr w14:val="tx1"/>
                  </w14:solidFill>
                </w14:textFill>
              </w:rPr>
              <w:t>.7.1</w:t>
            </w:r>
            <w:r>
              <w:rPr>
                <w:rFonts w:hint="default" w:ascii="Times New Roman" w:hAnsi="Times New Roman" w:cs="Times New Roman"/>
                <w:bCs/>
                <w:color w:val="000000" w:themeColor="text1"/>
                <w:kern w:val="0"/>
                <w:sz w:val="24"/>
                <w:szCs w:val="24"/>
                <w:highlight w:val="none"/>
                <w:u w:val="none" w:color="auto"/>
                <w:lang w:val="en-US" w:eastAsia="zh-CN"/>
                <w14:textFill>
                  <w14:solidFill>
                    <w14:schemeClr w14:val="tx1"/>
                  </w14:solidFill>
                </w14:textFill>
              </w:rPr>
              <w:t>废气</w:t>
            </w:r>
            <w:r>
              <w:rPr>
                <w:rFonts w:hint="default" w:ascii="Times New Roman" w:hAnsi="Times New Roman" w:eastAsia="宋体" w:cs="Times New Roman"/>
                <w:bCs/>
                <w:color w:val="000000" w:themeColor="text1"/>
                <w:kern w:val="0"/>
                <w:sz w:val="24"/>
                <w:szCs w:val="24"/>
                <w:highlight w:val="none"/>
                <w:u w:val="none" w:color="auto"/>
                <w14:textFill>
                  <w14:solidFill>
                    <w14:schemeClr w14:val="tx1"/>
                  </w14:solidFill>
                </w14:textFill>
              </w:rPr>
              <w:t>治理措施可行性分析</w:t>
            </w:r>
          </w:p>
          <w:p w14:paraId="248068E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瀹嬩綋" w:cs="Times New Roman"/>
                <w:color w:val="000000" w:themeColor="text1"/>
                <w:kern w:val="0"/>
                <w:sz w:val="24"/>
                <w:szCs w:val="24"/>
                <w:lang w:val="en-US" w:eastAsia="zh-CN" w:bidi="ar"/>
                <w14:textFill>
                  <w14:solidFill>
                    <w14:schemeClr w14:val="tx1"/>
                  </w14:solidFill>
                </w14:textFill>
              </w:rPr>
            </w:pPr>
            <w:r>
              <w:rPr>
                <w:rFonts w:hint="default" w:ascii="Times New Roman" w:hAnsi="Times New Roman" w:eastAsia="瀹嬩綋" w:cs="Times New Roman"/>
                <w:color w:val="000000" w:themeColor="text1"/>
                <w:kern w:val="0"/>
                <w:sz w:val="24"/>
                <w:szCs w:val="24"/>
                <w:lang w:val="en-US" w:eastAsia="zh-CN" w:bidi="ar"/>
                <w14:textFill>
                  <w14:solidFill>
                    <w14:schemeClr w14:val="tx1"/>
                  </w14:solidFill>
                </w14:textFill>
              </w:rPr>
              <w:t>（1）技术可行性</w:t>
            </w:r>
          </w:p>
          <w:p w14:paraId="0BB33EC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瀹嬩綋" w:cs="Times New Roman"/>
                <w:color w:val="000000" w:themeColor="text1"/>
                <w:kern w:val="0"/>
                <w:sz w:val="24"/>
                <w:szCs w:val="24"/>
                <w:u w:val="none" w:color="auto"/>
                <w:lang w:val="en-US" w:eastAsia="zh-CN" w:bidi="ar"/>
                <w14:textFill>
                  <w14:solidFill>
                    <w14:schemeClr w14:val="tx1"/>
                  </w14:solidFill>
                </w14:textFill>
              </w:rPr>
            </w:pPr>
            <w:r>
              <w:rPr>
                <w:rFonts w:hint="default" w:ascii="Times New Roman" w:hAnsi="Times New Roman" w:eastAsia="瀹嬩綋" w:cs="Times New Roman"/>
                <w:color w:val="000000" w:themeColor="text1"/>
                <w:kern w:val="0"/>
                <w:sz w:val="24"/>
                <w:szCs w:val="24"/>
                <w:u w:val="none" w:color="auto"/>
                <w:lang w:val="en-US" w:eastAsia="zh-CN" w:bidi="ar"/>
                <w14:textFill>
                  <w14:solidFill>
                    <w14:schemeClr w14:val="tx1"/>
                  </w14:solidFill>
                </w14:textFill>
              </w:rPr>
              <w:t>根据《排污许可证申请与核发技术规范 废弃资源加工工业》（</w:t>
            </w:r>
            <w:r>
              <w:rPr>
                <w:rFonts w:hint="default" w:ascii="Times New Roman" w:hAnsi="Times New Roman" w:eastAsia="宋体" w:cs="Times New Roman"/>
                <w:color w:val="000000" w:themeColor="text1"/>
                <w:kern w:val="0"/>
                <w:sz w:val="24"/>
                <w:szCs w:val="24"/>
                <w:u w:val="none" w:color="auto"/>
                <w:lang w:val="en-US" w:eastAsia="zh-CN" w:bidi="ar"/>
                <w14:textFill>
                  <w14:solidFill>
                    <w14:schemeClr w14:val="tx1"/>
                  </w14:solidFill>
                </w14:textFill>
              </w:rPr>
              <w:t>HJ 1034</w:t>
            </w:r>
            <w:r>
              <w:rPr>
                <w:rFonts w:hint="default" w:ascii="Times New Roman" w:hAnsi="Times New Roman" w:eastAsia="瀹嬩綋" w:cs="Times New Roman"/>
                <w:color w:val="000000" w:themeColor="text1"/>
                <w:kern w:val="0"/>
                <w:sz w:val="24"/>
                <w:szCs w:val="24"/>
                <w:u w:val="none" w:color="auto"/>
                <w:lang w:val="en-US" w:eastAsia="zh-CN" w:bidi="ar"/>
                <w14:textFill>
                  <w14:solidFill>
                    <w14:schemeClr w14:val="tx1"/>
                  </w14:solidFill>
                </w14:textFill>
              </w:rPr>
              <w:t>—</w:t>
            </w:r>
            <w:r>
              <w:rPr>
                <w:rFonts w:hint="default" w:ascii="Times New Roman" w:hAnsi="Times New Roman" w:eastAsia="宋体" w:cs="Times New Roman"/>
                <w:color w:val="000000" w:themeColor="text1"/>
                <w:kern w:val="0"/>
                <w:sz w:val="24"/>
                <w:szCs w:val="24"/>
                <w:u w:val="none" w:color="auto"/>
                <w:lang w:val="en-US" w:eastAsia="zh-CN" w:bidi="ar"/>
                <w14:textFill>
                  <w14:solidFill>
                    <w14:schemeClr w14:val="tx1"/>
                  </w14:solidFill>
                </w14:textFill>
              </w:rPr>
              <w:t>2019</w:t>
            </w:r>
            <w:r>
              <w:rPr>
                <w:rFonts w:hint="default" w:ascii="Times New Roman" w:hAnsi="Times New Roman" w:eastAsia="瀹嬩綋" w:cs="Times New Roman"/>
                <w:color w:val="000000" w:themeColor="text1"/>
                <w:kern w:val="0"/>
                <w:sz w:val="24"/>
                <w:szCs w:val="24"/>
                <w:u w:val="none" w:color="auto"/>
                <w:lang w:val="en-US" w:eastAsia="zh-CN" w:bidi="ar"/>
                <w14:textFill>
                  <w14:solidFill>
                    <w14:schemeClr w14:val="tx1"/>
                  </w14:solidFill>
                </w14:textFill>
              </w:rPr>
              <w:t>）废弃资源加工产生的颗粒物的污染防治设施名称及工艺包括：集气罩</w:t>
            </w:r>
            <w:r>
              <w:rPr>
                <w:rFonts w:hint="default" w:ascii="Times New Roman" w:hAnsi="Times New Roman" w:eastAsia="宋体" w:cs="Times New Roman"/>
                <w:color w:val="000000" w:themeColor="text1"/>
                <w:kern w:val="0"/>
                <w:sz w:val="24"/>
                <w:szCs w:val="24"/>
                <w:u w:val="none" w:color="auto"/>
                <w:lang w:val="en-US" w:eastAsia="zh-CN" w:bidi="ar"/>
                <w14:textFill>
                  <w14:solidFill>
                    <w14:schemeClr w14:val="tx1"/>
                  </w14:solidFill>
                </w14:textFill>
              </w:rPr>
              <w:t>+</w:t>
            </w:r>
            <w:r>
              <w:rPr>
                <w:rFonts w:hint="default" w:ascii="Times New Roman" w:hAnsi="Times New Roman" w:eastAsia="瀹嬩綋" w:cs="Times New Roman"/>
                <w:color w:val="000000" w:themeColor="text1"/>
                <w:kern w:val="0"/>
                <w:sz w:val="24"/>
                <w:szCs w:val="24"/>
                <w:u w:val="none" w:color="auto"/>
                <w:lang w:val="en-US" w:eastAsia="zh-CN" w:bidi="ar"/>
                <w14:textFill>
                  <w14:solidFill>
                    <w14:schemeClr w14:val="tx1"/>
                  </w14:solidFill>
                </w14:textFill>
              </w:rPr>
              <w:t>布袋除尘设备，旋风除尘器</w:t>
            </w:r>
            <w:r>
              <w:rPr>
                <w:rFonts w:hint="default" w:ascii="Times New Roman" w:hAnsi="Times New Roman" w:eastAsia="宋体" w:cs="Times New Roman"/>
                <w:color w:val="000000" w:themeColor="text1"/>
                <w:kern w:val="0"/>
                <w:sz w:val="24"/>
                <w:szCs w:val="24"/>
                <w:u w:val="none" w:color="auto"/>
                <w:lang w:val="en-US" w:eastAsia="zh-CN" w:bidi="ar"/>
                <w14:textFill>
                  <w14:solidFill>
                    <w14:schemeClr w14:val="tx1"/>
                  </w14:solidFill>
                </w14:textFill>
              </w:rPr>
              <w:t>+</w:t>
            </w:r>
            <w:r>
              <w:rPr>
                <w:rFonts w:hint="default" w:ascii="Times New Roman" w:hAnsi="Times New Roman" w:eastAsia="瀹嬩綋" w:cs="Times New Roman"/>
                <w:color w:val="000000" w:themeColor="text1"/>
                <w:kern w:val="0"/>
                <w:sz w:val="24"/>
                <w:szCs w:val="24"/>
                <w:u w:val="none" w:color="auto"/>
                <w:lang w:val="en-US" w:eastAsia="zh-CN" w:bidi="ar"/>
                <w14:textFill>
                  <w14:solidFill>
                    <w14:schemeClr w14:val="tx1"/>
                  </w14:solidFill>
                </w14:textFill>
              </w:rPr>
              <w:t>高效布袋除尘器。则本项目生物质颗粒生产线有组织粉尘废气采用集气罩+袋式除尘器，袋式除尘器为高效除尘，属于可行技术；本项目机制炭生产线破碎</w:t>
            </w:r>
            <w:r>
              <w:rPr>
                <w:rFonts w:hint="eastAsia" w:eastAsia="瀹嬩綋" w:cs="Times New Roman"/>
                <w:color w:val="000000" w:themeColor="text1"/>
                <w:kern w:val="0"/>
                <w:sz w:val="24"/>
                <w:szCs w:val="24"/>
                <w:u w:val="none" w:color="auto"/>
                <w:lang w:val="en-US" w:eastAsia="zh-CN" w:bidi="ar"/>
                <w14:textFill>
                  <w14:solidFill>
                    <w14:schemeClr w14:val="tx1"/>
                  </w14:solidFill>
                </w14:textFill>
              </w:rPr>
              <w:t>、</w:t>
            </w:r>
            <w:r>
              <w:rPr>
                <w:rFonts w:hint="default" w:ascii="Times New Roman" w:hAnsi="Times New Roman" w:eastAsia="瀹嬩綋" w:cs="Times New Roman"/>
                <w:color w:val="000000" w:themeColor="text1"/>
                <w:kern w:val="0"/>
                <w:sz w:val="24"/>
                <w:szCs w:val="24"/>
                <w:u w:val="none" w:color="auto"/>
                <w:lang w:val="en-US" w:eastAsia="zh-CN" w:bidi="ar"/>
                <w14:textFill>
                  <w14:solidFill>
                    <w14:schemeClr w14:val="tx1"/>
                  </w14:solidFill>
                </w14:textFill>
              </w:rPr>
              <w:t>筛分</w:t>
            </w:r>
            <w:r>
              <w:rPr>
                <w:rFonts w:hint="eastAsia" w:eastAsia="瀹嬩綋" w:cs="Times New Roman"/>
                <w:color w:val="000000" w:themeColor="text1"/>
                <w:kern w:val="0"/>
                <w:sz w:val="24"/>
                <w:szCs w:val="24"/>
                <w:u w:val="none" w:color="auto"/>
                <w:lang w:val="en-US" w:eastAsia="zh-CN" w:bidi="ar"/>
                <w14:textFill>
                  <w14:solidFill>
                    <w14:schemeClr w14:val="tx1"/>
                  </w14:solidFill>
                </w14:textFill>
              </w:rPr>
              <w:t>、冷却和锯切等工程</w:t>
            </w:r>
            <w:r>
              <w:rPr>
                <w:rFonts w:hint="default" w:ascii="Times New Roman" w:hAnsi="Times New Roman" w:eastAsia="瀹嬩綋" w:cs="Times New Roman"/>
                <w:color w:val="000000" w:themeColor="text1"/>
                <w:kern w:val="0"/>
                <w:sz w:val="24"/>
                <w:szCs w:val="24"/>
                <w:u w:val="none" w:color="auto"/>
                <w:lang w:val="en-US" w:eastAsia="zh-CN" w:bidi="ar"/>
                <w14:textFill>
                  <w14:solidFill>
                    <w14:schemeClr w14:val="tx1"/>
                  </w14:solidFill>
                </w14:textFill>
              </w:rPr>
              <w:t>采用集气罩+袋式除尘器处理为可行技术。</w:t>
            </w:r>
          </w:p>
          <w:p w14:paraId="4121EFD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瀹嬩綋" w:cs="Times New Roman"/>
                <w:color w:val="000000" w:themeColor="text1"/>
                <w:kern w:val="0"/>
                <w:sz w:val="24"/>
                <w:szCs w:val="24"/>
                <w:u w:val="none" w:color="auto"/>
                <w:lang w:val="en-US" w:eastAsia="zh-CN" w:bidi="ar"/>
                <w14:textFill>
                  <w14:solidFill>
                    <w14:schemeClr w14:val="tx1"/>
                  </w14:solidFill>
                </w14:textFill>
              </w:rPr>
            </w:pPr>
            <w:r>
              <w:rPr>
                <w:rFonts w:hint="default" w:ascii="Times New Roman" w:hAnsi="Times New Roman" w:eastAsia="瀹嬩綋" w:cs="Times New Roman"/>
                <w:color w:val="000000" w:themeColor="text1"/>
                <w:kern w:val="0"/>
                <w:sz w:val="24"/>
                <w:szCs w:val="24"/>
                <w:highlight w:val="none"/>
                <w:u w:val="none" w:color="auto"/>
                <w:lang w:val="en-US" w:eastAsia="zh-CN" w:bidi="ar"/>
                <w14:textFill>
                  <w14:solidFill>
                    <w14:schemeClr w14:val="tx1"/>
                  </w14:solidFill>
                </w14:textFill>
              </w:rPr>
              <w:t>根据《排污许可证申请与核发技术规范 工业炉窑》（</w:t>
            </w:r>
            <w:r>
              <w:rPr>
                <w:rFonts w:hint="default" w:ascii="Times New Roman" w:hAnsi="Times New Roman" w:eastAsia="宋体" w:cs="Times New Roman"/>
                <w:color w:val="000000" w:themeColor="text1"/>
                <w:kern w:val="0"/>
                <w:sz w:val="24"/>
                <w:szCs w:val="24"/>
                <w:highlight w:val="none"/>
                <w:u w:val="none" w:color="auto"/>
                <w:lang w:val="en-US" w:eastAsia="zh-CN" w:bidi="ar"/>
                <w14:textFill>
                  <w14:solidFill>
                    <w14:schemeClr w14:val="tx1"/>
                  </w14:solidFill>
                </w14:textFill>
              </w:rPr>
              <w:t>HJ953-2018</w:t>
            </w:r>
            <w:r>
              <w:rPr>
                <w:rFonts w:hint="default" w:ascii="Times New Roman" w:hAnsi="Times New Roman" w:eastAsia="瀹嬩綋" w:cs="Times New Roman"/>
                <w:color w:val="000000" w:themeColor="text1"/>
                <w:kern w:val="0"/>
                <w:sz w:val="24"/>
                <w:szCs w:val="24"/>
                <w:highlight w:val="none"/>
                <w:u w:val="none" w:color="auto"/>
                <w:lang w:val="en-US" w:eastAsia="zh-CN" w:bidi="ar"/>
                <w14:textFill>
                  <w14:solidFill>
                    <w14:schemeClr w14:val="tx1"/>
                  </w14:solidFill>
                </w14:textFill>
              </w:rPr>
              <w:t>）附录A中A.1废气可行技术参考表，颗粒物的可行技术有袋式除尘、静电除尘和电袋复合除尘；二氧化硫可行技术为燃气或净化后煤制气、干法与半干法脱硫、湿法脱硫。</w:t>
            </w:r>
            <w:r>
              <w:rPr>
                <w:rFonts w:hint="default" w:ascii="Times New Roman" w:hAnsi="Times New Roman" w:eastAsia="瀹嬩綋" w:cs="Times New Roman"/>
                <w:color w:val="000000" w:themeColor="text1"/>
                <w:kern w:val="0"/>
                <w:sz w:val="24"/>
                <w:szCs w:val="24"/>
                <w:u w:val="none" w:color="auto"/>
                <w:lang w:val="en-US" w:eastAsia="zh-CN" w:bidi="ar"/>
                <w14:textFill>
                  <w14:solidFill>
                    <w14:schemeClr w14:val="tx1"/>
                  </w14:solidFill>
                </w14:textFill>
              </w:rPr>
              <w:t>本项目机制炭生产线破碎</w:t>
            </w:r>
            <w:r>
              <w:rPr>
                <w:rFonts w:hint="eastAsia" w:eastAsia="瀹嬩綋" w:cs="Times New Roman"/>
                <w:color w:val="000000" w:themeColor="text1"/>
                <w:kern w:val="0"/>
                <w:sz w:val="24"/>
                <w:szCs w:val="24"/>
                <w:u w:val="none" w:color="auto"/>
                <w:lang w:val="en-US" w:eastAsia="zh-CN" w:bidi="ar"/>
                <w14:textFill>
                  <w14:solidFill>
                    <w14:schemeClr w14:val="tx1"/>
                  </w14:solidFill>
                </w14:textFill>
              </w:rPr>
              <w:t>、</w:t>
            </w:r>
            <w:r>
              <w:rPr>
                <w:rFonts w:hint="default" w:ascii="Times New Roman" w:hAnsi="Times New Roman" w:eastAsia="瀹嬩綋" w:cs="Times New Roman"/>
                <w:color w:val="000000" w:themeColor="text1"/>
                <w:kern w:val="0"/>
                <w:sz w:val="24"/>
                <w:szCs w:val="24"/>
                <w:u w:val="none" w:color="auto"/>
                <w:lang w:val="en-US" w:eastAsia="zh-CN" w:bidi="ar"/>
                <w14:textFill>
                  <w14:solidFill>
                    <w14:schemeClr w14:val="tx1"/>
                  </w14:solidFill>
                </w14:textFill>
              </w:rPr>
              <w:t>筛分</w:t>
            </w:r>
            <w:r>
              <w:rPr>
                <w:rFonts w:hint="eastAsia" w:eastAsia="瀹嬩綋" w:cs="Times New Roman"/>
                <w:color w:val="000000" w:themeColor="text1"/>
                <w:kern w:val="0"/>
                <w:sz w:val="24"/>
                <w:szCs w:val="24"/>
                <w:u w:val="none" w:color="auto"/>
                <w:lang w:val="en-US" w:eastAsia="zh-CN" w:bidi="ar"/>
                <w14:textFill>
                  <w14:solidFill>
                    <w14:schemeClr w14:val="tx1"/>
                  </w14:solidFill>
                </w14:textFill>
              </w:rPr>
              <w:t>、冷却和锯切等工程</w:t>
            </w:r>
            <w:r>
              <w:rPr>
                <w:rFonts w:hint="default" w:ascii="Times New Roman" w:hAnsi="Times New Roman" w:eastAsia="瀹嬩綋" w:cs="Times New Roman"/>
                <w:color w:val="000000" w:themeColor="text1"/>
                <w:kern w:val="0"/>
                <w:sz w:val="24"/>
                <w:szCs w:val="24"/>
                <w:u w:val="none" w:color="auto"/>
                <w:lang w:val="en-US" w:eastAsia="zh-CN" w:bidi="ar"/>
                <w14:textFill>
                  <w14:solidFill>
                    <w14:schemeClr w14:val="tx1"/>
                  </w14:solidFill>
                </w14:textFill>
              </w:rPr>
              <w:t>采用集气罩+袋式除尘器处理为可行技术，本项目制棒</w:t>
            </w:r>
            <w:r>
              <w:rPr>
                <w:rFonts w:hint="eastAsia" w:eastAsia="瀹嬩綋" w:cs="Times New Roman"/>
                <w:color w:val="000000" w:themeColor="text1"/>
                <w:kern w:val="0"/>
                <w:sz w:val="24"/>
                <w:szCs w:val="24"/>
                <w:u w:val="none" w:color="auto"/>
                <w:lang w:val="en-US" w:eastAsia="zh-CN" w:bidi="ar"/>
                <w14:textFill>
                  <w14:solidFill>
                    <w14:schemeClr w14:val="tx1"/>
                  </w14:solidFill>
                </w14:textFill>
              </w:rPr>
              <w:t>、烘干和炭化工序</w:t>
            </w:r>
            <w:r>
              <w:rPr>
                <w:rFonts w:hint="default" w:ascii="Times New Roman" w:hAnsi="Times New Roman" w:eastAsia="瀹嬩綋" w:cs="Times New Roman"/>
                <w:color w:val="000000" w:themeColor="text1"/>
                <w:kern w:val="0"/>
                <w:sz w:val="24"/>
                <w:szCs w:val="24"/>
                <w:u w:val="none" w:color="auto"/>
                <w:lang w:val="en-US" w:eastAsia="zh-CN" w:bidi="ar"/>
                <w14:textFill>
                  <w14:solidFill>
                    <w14:schemeClr w14:val="tx1"/>
                  </w14:solidFill>
                </w14:textFill>
              </w:rPr>
              <w:t>采用</w:t>
            </w:r>
            <w:r>
              <w:rPr>
                <w:rFonts w:hint="eastAsia" w:ascii="Times New Roman" w:hAnsi="Times New Roman" w:eastAsia="瀹嬩綋" w:cs="Times New Roman"/>
                <w:color w:val="000000" w:themeColor="text1"/>
                <w:kern w:val="0"/>
                <w:sz w:val="24"/>
                <w:szCs w:val="24"/>
                <w:u w:val="none" w:color="auto"/>
                <w:lang w:val="en-US" w:eastAsia="zh-CN" w:bidi="ar"/>
                <w14:textFill>
                  <w14:solidFill>
                    <w14:schemeClr w14:val="tx1"/>
                  </w14:solidFill>
                </w14:textFill>
              </w:rPr>
              <w:t>“碱喷淋+静电除尘器”</w:t>
            </w:r>
            <w:r>
              <w:rPr>
                <w:rFonts w:hint="default" w:ascii="Times New Roman" w:hAnsi="Times New Roman" w:eastAsia="瀹嬩綋" w:cs="Times New Roman"/>
                <w:color w:val="000000" w:themeColor="text1"/>
                <w:kern w:val="0"/>
                <w:sz w:val="24"/>
                <w:szCs w:val="24"/>
                <w:u w:val="none" w:color="auto"/>
                <w:lang w:val="en-US" w:eastAsia="zh-CN" w:bidi="ar"/>
                <w14:textFill>
                  <w14:solidFill>
                    <w14:schemeClr w14:val="tx1"/>
                  </w14:solidFill>
                </w14:textFill>
              </w:rPr>
              <w:t>处理为可行技术。</w:t>
            </w:r>
            <w:r>
              <w:rPr>
                <w:rFonts w:hint="eastAsia" w:ascii="Times New Roman" w:hAnsi="Times New Roman" w:eastAsia="瀹嬩綋" w:cs="Times New Roman"/>
                <w:color w:val="000000" w:themeColor="text1"/>
                <w:kern w:val="0"/>
                <w:sz w:val="24"/>
                <w:szCs w:val="24"/>
                <w:u w:val="none" w:color="auto"/>
                <w:lang w:val="en-US" w:eastAsia="zh-CN" w:bidi="ar"/>
                <w14:textFill>
                  <w14:solidFill>
                    <w14:schemeClr w14:val="tx1"/>
                  </w14:solidFill>
                </w14:textFill>
              </w:rPr>
              <w:t>二氧化硫采用碱喷淋，属于湿法脱硫，属于可行技术。</w:t>
            </w:r>
          </w:p>
          <w:p w14:paraId="1B2723DA">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b w:val="0"/>
                <w:bCs/>
                <w:color w:val="000000" w:themeColor="text1"/>
                <w:kern w:val="0"/>
                <w:sz w:val="24"/>
                <w:u w:val="none" w:color="auto"/>
                <w:lang w:val="en-US" w:eastAsia="zh-CN"/>
                <w14:textFill>
                  <w14:solidFill>
                    <w14:schemeClr w14:val="tx1"/>
                  </w14:solidFill>
                </w14:textFill>
              </w:rPr>
            </w:pPr>
            <w:r>
              <w:rPr>
                <w:rFonts w:hint="eastAsia"/>
                <w:b w:val="0"/>
                <w:bCs/>
                <w:color w:val="000000" w:themeColor="text1"/>
                <w:kern w:val="0"/>
                <w:sz w:val="24"/>
                <w:u w:val="none" w:color="auto"/>
                <w:lang w:val="en-US" w:eastAsia="zh-CN"/>
                <w14:textFill>
                  <w14:solidFill>
                    <w14:schemeClr w14:val="tx1"/>
                  </w14:solidFill>
                </w14:textFill>
              </w:rPr>
              <w:t>各废气治理设施工作原理：</w:t>
            </w:r>
          </w:p>
          <w:p w14:paraId="2E91750C">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000000" w:themeColor="text1"/>
                <w:kern w:val="2"/>
                <w:sz w:val="24"/>
                <w:szCs w:val="24"/>
                <w:highlight w:val="none"/>
                <w:u w:val="none" w:color="auto"/>
                <w:lang w:val="en-US" w:eastAsia="zh-CN" w:bidi="ar-SA"/>
                <w14:textFill>
                  <w14:solidFill>
                    <w14:schemeClr w14:val="tx1"/>
                  </w14:solidFill>
                </w14:textFill>
              </w:rPr>
            </w:pPr>
            <w:r>
              <w:rPr>
                <w:rFonts w:hint="eastAsia"/>
                <w:b w:val="0"/>
                <w:bCs/>
                <w:color w:val="000000" w:themeColor="text1"/>
                <w:kern w:val="0"/>
                <w:sz w:val="24"/>
                <w:u w:val="none" w:color="auto"/>
                <w:lang w:val="en-US" w:eastAsia="zh-CN"/>
                <w14:textFill>
                  <w14:solidFill>
                    <w14:schemeClr w14:val="tx1"/>
                  </w14:solidFill>
                </w14:textFill>
              </w:rPr>
              <w:t>袋式除尘器：本项目采用的袋式除尘器为覆膜袋式除尘器，</w:t>
            </w:r>
            <w:r>
              <w:rPr>
                <w:rFonts w:hint="default" w:ascii="Times New Roman" w:hAnsi="Times New Roman" w:eastAsia="宋体" w:cs="Times New Roman"/>
                <w:color w:val="000000" w:themeColor="text1"/>
                <w:kern w:val="2"/>
                <w:sz w:val="24"/>
                <w:szCs w:val="24"/>
                <w:highlight w:val="none"/>
                <w:u w:val="none" w:color="auto"/>
                <w:lang w:val="en-US" w:eastAsia="zh-CN" w:bidi="ar-SA"/>
                <w14:textFill>
                  <w14:solidFill>
                    <w14:schemeClr w14:val="tx1"/>
                  </w14:solidFill>
                </w14:textFill>
              </w:rPr>
              <w:t>覆膜袋式除尘器工作原理为：通过滤袋对空气中的粉尘进行过滤。当含尘气体通过滤袋时，较大的颗粒物会因重力作用沉降到底部，而较小的颗粒物则被滤袋截留在表面，形成一层粉尘层。随着过滤过程的进行，粉尘层的厚度逐渐增加，阻力也随之增大。为了恢复滤袋的过滤能力，需要进行清灰操作，通常采用压缩空气或电磁振动等方式将沉积在滤袋表面的粉尘清除‌。</w:t>
            </w:r>
          </w:p>
          <w:p w14:paraId="30C87BA5">
            <w:pPr>
              <w:keepNext w:val="0"/>
              <w:keepLines w:val="0"/>
              <w:pageBreakBefore w:val="0"/>
              <w:suppressLineNumbers w:val="0"/>
              <w:kinsoku/>
              <w:wordWrap/>
              <w:overflowPunct/>
              <w:topLinePunct w:val="0"/>
              <w:autoSpaceDE/>
              <w:autoSpaceDN/>
              <w:bidi w:val="0"/>
              <w:spacing w:before="0" w:beforeAutospacing="0" w:after="0" w:afterAutospacing="0" w:line="360" w:lineRule="auto"/>
              <w:ind w:left="0" w:right="0" w:firstLine="480" w:firstLineChars="200"/>
              <w:textAlignment w:val="auto"/>
              <w:rPr>
                <w:rFonts w:hint="eastAsia" w:ascii="Times New Roman" w:hAnsi="Times New Roman" w:eastAsia="宋体" w:cs="Times New Roman"/>
                <w:color w:val="000000" w:themeColor="text1"/>
                <w:kern w:val="2"/>
                <w:sz w:val="24"/>
                <w:szCs w:val="24"/>
                <w:highlight w:val="none"/>
                <w:u w:val="none" w:color="auto"/>
                <w:lang w:val="en-US" w:eastAsia="zh-CN" w:bidi="ar-SA"/>
                <w14:textFill>
                  <w14:solidFill>
                    <w14:schemeClr w14:val="tx1"/>
                  </w14:solidFill>
                </w14:textFill>
              </w:rPr>
            </w:pPr>
            <w:r>
              <w:rPr>
                <w:rFonts w:hint="eastAsia" w:ascii="Arial" w:hAnsi="Arial" w:eastAsia="宋体" w:cs="Arial"/>
                <w:i w:val="0"/>
                <w:iCs w:val="0"/>
                <w:caps w:val="0"/>
                <w:color w:val="000000" w:themeColor="text1"/>
                <w:spacing w:val="0"/>
                <w:sz w:val="24"/>
                <w:szCs w:val="24"/>
                <w:u w:val="none" w:color="auto"/>
                <w:shd w:val="clear" w:fill="FFFFFF"/>
                <w:lang w:val="en-US" w:eastAsia="zh-CN"/>
                <w14:textFill>
                  <w14:solidFill>
                    <w14:schemeClr w14:val="tx1"/>
                  </w14:solidFill>
                </w14:textFill>
              </w:rPr>
              <w:t>碱喷淋：</w:t>
            </w:r>
            <w:r>
              <w:rPr>
                <w:rFonts w:hint="default" w:ascii="Arial" w:hAnsi="Arial" w:eastAsia="宋体" w:cs="Arial"/>
                <w:i w:val="0"/>
                <w:iCs w:val="0"/>
                <w:caps w:val="0"/>
                <w:color w:val="000000" w:themeColor="text1"/>
                <w:spacing w:val="0"/>
                <w:sz w:val="24"/>
                <w:szCs w:val="24"/>
                <w:u w:val="none" w:color="auto"/>
                <w:shd w:val="clear" w:fill="FFFFFF"/>
                <w14:textFill>
                  <w14:solidFill>
                    <w14:schemeClr w14:val="tx1"/>
                  </w14:solidFill>
                </w14:textFill>
              </w:rPr>
              <w:t>碱喷淋的主要组成部分包括喷淋器、填料层、液池和底部出口等。当被处理的废气通过喷淋器进入填料层时，废气中的酸性气体会与喷淋器中的碱液发生化学反应。在这个过程中，酸性气体会和碱液中的氢离子结合，形成水和盐，从而将酸性气体中的酸成分中和掉。填料层的作用是增加废气与碱液的接触面积，从而提高反应效率。液池则是用于收集反应后的液体，并将其循环利用。经过处理的废气从底部出口排放，达到净化废气的目的</w:t>
            </w:r>
            <w:r>
              <w:rPr>
                <w:rFonts w:hint="eastAsia" w:ascii="Arial" w:hAnsi="Arial" w:eastAsia="宋体" w:cs="Arial"/>
                <w:i w:val="0"/>
                <w:iCs w:val="0"/>
                <w:caps w:val="0"/>
                <w:color w:val="000000" w:themeColor="text1"/>
                <w:spacing w:val="0"/>
                <w:sz w:val="24"/>
                <w:szCs w:val="24"/>
                <w:u w:val="none" w:color="auto"/>
                <w:shd w:val="clear" w:fill="FFFFFF"/>
                <w:lang w:eastAsia="zh-CN"/>
                <w14:textFill>
                  <w14:solidFill>
                    <w14:schemeClr w14:val="tx1"/>
                  </w14:solidFill>
                </w14:textFill>
              </w:rPr>
              <w:t>。</w:t>
            </w:r>
          </w:p>
          <w:p w14:paraId="6ADDC522">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cs="Times New Roman"/>
                <w:i w:val="0"/>
                <w:iCs w:val="0"/>
                <w:caps w:val="0"/>
                <w:color w:val="000000" w:themeColor="text1"/>
                <w:spacing w:val="0"/>
                <w:sz w:val="24"/>
                <w:szCs w:val="24"/>
                <w:u w:val="none" w:color="auto"/>
                <w:shd w:val="clear" w:fill="FFFFFF"/>
                <w:lang w:eastAsia="zh-CN"/>
                <w14:textFill>
                  <w14:solidFill>
                    <w14:schemeClr w14:val="tx1"/>
                  </w14:solidFill>
                </w14:textFill>
              </w:rPr>
            </w:pPr>
            <w:r>
              <w:rPr>
                <w:rFonts w:hint="eastAsia" w:ascii="Times New Roman" w:hAnsi="Times New Roman" w:cs="Times New Roman"/>
                <w:b w:val="0"/>
                <w:bCs w:val="0"/>
                <w:i w:val="0"/>
                <w:iCs w:val="0"/>
                <w:caps w:val="0"/>
                <w:color w:val="000000" w:themeColor="text1"/>
                <w:spacing w:val="0"/>
                <w:sz w:val="24"/>
                <w:szCs w:val="24"/>
                <w:u w:val="none" w:color="auto"/>
                <w:shd w:val="clear" w:fill="FFFFFF"/>
                <w:lang w:val="en-US" w:eastAsia="zh-CN"/>
                <w14:textFill>
                  <w14:solidFill>
                    <w14:schemeClr w14:val="tx1"/>
                  </w14:solidFill>
                </w14:textFill>
              </w:rPr>
              <w:t>静</w:t>
            </w:r>
            <w:r>
              <w:rPr>
                <w:rFonts w:hint="default" w:ascii="Times New Roman" w:hAnsi="Times New Roman" w:cs="Times New Roman"/>
                <w:b w:val="0"/>
                <w:bCs w:val="0"/>
                <w:i w:val="0"/>
                <w:iCs w:val="0"/>
                <w:caps w:val="0"/>
                <w:color w:val="000000" w:themeColor="text1"/>
                <w:spacing w:val="0"/>
                <w:sz w:val="24"/>
                <w:szCs w:val="24"/>
                <w:u w:val="none" w:color="auto"/>
                <w:shd w:val="clear" w:fill="FFFFFF"/>
                <w14:textFill>
                  <w14:solidFill>
                    <w14:schemeClr w14:val="tx1"/>
                  </w14:solidFill>
                </w14:textFill>
              </w:rPr>
              <w:t>电除尘器</w:t>
            </w:r>
            <w:r>
              <w:rPr>
                <w:rFonts w:hint="eastAsia" w:ascii="Times New Roman" w:hAnsi="Times New Roman" w:cs="Times New Roman"/>
                <w:b w:val="0"/>
                <w:bCs w:val="0"/>
                <w:i w:val="0"/>
                <w:iCs w:val="0"/>
                <w:caps w:val="0"/>
                <w:color w:val="000000" w:themeColor="text1"/>
                <w:spacing w:val="0"/>
                <w:sz w:val="24"/>
                <w:szCs w:val="24"/>
                <w:u w:val="none" w:color="auto"/>
                <w:shd w:val="clear" w:fill="FFFFFF"/>
                <w:lang w:eastAsia="zh-CN"/>
                <w14:textFill>
                  <w14:solidFill>
                    <w14:schemeClr w14:val="tx1"/>
                  </w14:solidFill>
                </w14:textFill>
              </w:rPr>
              <w:t>：静电除尘器工作原理:废气经过收集后进入静电除尘器，除尘器利用高压电场使烟气发生电离，气流中的粉尘荷电在电场作用下与气流分离。负极由不同断面形状的金属导线制成，叫放电电极。正极由不同几何形状的金属板制成，叫集尘电极。静电除尘器的性能受粉尘性质、设备构造和烟气流速等三个因素的影响。粉尘的比电阻是评价导电性的指标，它对除尘效率有直接的影响。比电阻过低，尘粒难以保持在集尘电极上，致使其重返气流。比电阻过高，到达集尘电极的尘粒电荷不易放出，在尘层之间形成电压梯度会产生局部击穿和放电现象。</w:t>
            </w:r>
          </w:p>
          <w:p w14:paraId="366300F5">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ascii="Times New Roman" w:hAnsi="Times New Roman" w:cs="Times New Roman"/>
                <w:color w:val="000000" w:themeColor="text1"/>
                <w:kern w:val="2"/>
                <w:sz w:val="24"/>
                <w:szCs w:val="24"/>
                <w:highlight w:val="none"/>
                <w:u w:val="none" w:color="auto"/>
                <w:lang w:val="en-US" w:eastAsia="zh-CN" w:bidi="ar-SA"/>
                <w14:textFill>
                  <w14:solidFill>
                    <w14:schemeClr w14:val="tx1"/>
                  </w14:solidFill>
                </w14:textFill>
              </w:rPr>
            </w:pPr>
            <w:r>
              <w:rPr>
                <w:rFonts w:hint="default" w:ascii="Times New Roman" w:hAnsi="Times New Roman" w:cs="Times New Roman"/>
                <w:color w:val="000000" w:themeColor="text1"/>
                <w:kern w:val="2"/>
                <w:sz w:val="24"/>
                <w:szCs w:val="24"/>
                <w:highlight w:val="none"/>
                <w:u w:val="none" w:color="auto"/>
                <w:lang w:val="en-US" w:eastAsia="zh-CN" w:bidi="ar-SA"/>
                <w14:textFill>
                  <w14:solidFill>
                    <w14:schemeClr w14:val="tx1"/>
                  </w14:solidFill>
                </w14:textFill>
              </w:rPr>
              <w:t>（2）</w:t>
            </w:r>
            <w:r>
              <w:rPr>
                <w:rFonts w:hint="eastAsia" w:ascii="Times New Roman" w:hAnsi="Times New Roman" w:cs="Times New Roman"/>
                <w:color w:val="000000" w:themeColor="text1"/>
                <w:kern w:val="2"/>
                <w:sz w:val="24"/>
                <w:szCs w:val="24"/>
                <w:highlight w:val="none"/>
                <w:u w:val="none" w:color="auto"/>
                <w:lang w:val="en-US" w:eastAsia="zh-CN" w:bidi="ar-SA"/>
                <w14:textFill>
                  <w14:solidFill>
                    <w14:schemeClr w14:val="tx1"/>
                  </w14:solidFill>
                </w14:textFill>
              </w:rPr>
              <w:t>废气处理措施及</w:t>
            </w:r>
            <w:r>
              <w:rPr>
                <w:rFonts w:hint="default" w:ascii="Times New Roman" w:hAnsi="Times New Roman" w:cs="Times New Roman"/>
                <w:color w:val="000000" w:themeColor="text1"/>
                <w:kern w:val="2"/>
                <w:sz w:val="24"/>
                <w:szCs w:val="24"/>
                <w:highlight w:val="none"/>
                <w:u w:val="none" w:color="auto"/>
                <w:lang w:val="en-US" w:eastAsia="zh-CN" w:bidi="ar-SA"/>
                <w14:textFill>
                  <w14:solidFill>
                    <w14:schemeClr w14:val="tx1"/>
                  </w14:solidFill>
                </w14:textFill>
              </w:rPr>
              <w:t>达标性</w:t>
            </w:r>
            <w:r>
              <w:rPr>
                <w:rFonts w:hint="eastAsia" w:ascii="Times New Roman" w:hAnsi="Times New Roman" w:cs="Times New Roman"/>
                <w:color w:val="000000" w:themeColor="text1"/>
                <w:kern w:val="2"/>
                <w:sz w:val="24"/>
                <w:szCs w:val="24"/>
                <w:highlight w:val="none"/>
                <w:u w:val="none" w:color="auto"/>
                <w:lang w:val="en-US" w:eastAsia="zh-CN" w:bidi="ar-SA"/>
                <w14:textFill>
                  <w14:solidFill>
                    <w14:schemeClr w14:val="tx1"/>
                  </w14:solidFill>
                </w14:textFill>
              </w:rPr>
              <w:t>分析</w:t>
            </w:r>
          </w:p>
          <w:p w14:paraId="4CC1ABA0">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bCs/>
                <w:color w:val="000000" w:themeColor="text1"/>
                <w:kern w:val="0"/>
                <w:sz w:val="24"/>
                <w:szCs w:val="24"/>
                <w:highlight w:val="none"/>
                <w:u w:val="none" w:color="auto"/>
                <w14:textFill>
                  <w14:solidFill>
                    <w14:schemeClr w14:val="tx1"/>
                  </w14:solidFill>
                </w14:textFill>
              </w:rPr>
            </w:pPr>
            <w:r>
              <w:rPr>
                <w:rFonts w:hint="default" w:ascii="Times New Roman" w:hAnsi="Times New Roman" w:cs="Times New Roman"/>
                <w:color w:val="000000" w:themeColor="text1"/>
                <w:kern w:val="2"/>
                <w:sz w:val="24"/>
                <w:szCs w:val="24"/>
                <w:highlight w:val="none"/>
                <w:u w:val="none" w:color="auto"/>
                <w:lang w:val="en-US" w:eastAsia="zh-CN" w:bidi="ar-SA"/>
                <w14:textFill>
                  <w14:solidFill>
                    <w14:schemeClr w14:val="tx1"/>
                  </w14:solidFill>
                </w14:textFill>
              </w:rPr>
              <w:t>①</w:t>
            </w:r>
            <w:r>
              <w:rPr>
                <w:rFonts w:hint="eastAsia"/>
                <w:color w:val="000000" w:themeColor="text1"/>
                <w:sz w:val="24"/>
                <w:szCs w:val="24"/>
                <w:u w:val="none" w:color="auto"/>
                <w:lang w:val="en-US" w:eastAsia="zh-CN"/>
                <w14:textFill>
                  <w14:solidFill>
                    <w14:schemeClr w14:val="tx1"/>
                  </w14:solidFill>
                </w14:textFill>
              </w:rPr>
              <w:t>机制炭生产线</w:t>
            </w:r>
            <w:r>
              <w:rPr>
                <w:rFonts w:hint="eastAsia"/>
                <w:color w:val="000000" w:themeColor="text1"/>
                <w:sz w:val="24"/>
                <w:szCs w:val="24"/>
                <w:highlight w:val="none"/>
                <w:u w:val="none" w:color="auto"/>
                <w:lang w:val="en-US" w:eastAsia="zh-CN"/>
                <w14:textFill>
                  <w14:solidFill>
                    <w14:schemeClr w14:val="tx1"/>
                  </w14:solidFill>
                </w14:textFill>
              </w:rPr>
              <w:t>粉碎、筛分以及包装工序设备进出口设</w:t>
            </w:r>
            <w:r>
              <w:rPr>
                <w:rFonts w:hint="eastAsia"/>
                <w:color w:val="000000" w:themeColor="text1"/>
                <w:sz w:val="24"/>
                <w:szCs w:val="24"/>
                <w:u w:val="none" w:color="auto"/>
                <w:lang w:val="en-US" w:eastAsia="zh-CN"/>
                <w14:textFill>
                  <w14:solidFill>
                    <w14:schemeClr w14:val="tx1"/>
                  </w14:solidFill>
                </w14:textFill>
              </w:rPr>
              <w:t>置集气罩，</w:t>
            </w:r>
            <w:r>
              <w:rPr>
                <w:rFonts w:hint="eastAsia"/>
                <w:b w:val="0"/>
                <w:bCs/>
                <w:color w:val="000000" w:themeColor="text1"/>
                <w:sz w:val="24"/>
                <w:szCs w:val="24"/>
                <w:highlight w:val="none"/>
                <w:u w:val="none" w:color="auto"/>
                <w:lang w:val="en-US" w:eastAsia="zh-CN"/>
                <w14:textFill>
                  <w14:solidFill>
                    <w14:schemeClr w14:val="tx1"/>
                  </w14:solidFill>
                </w14:textFill>
              </w:rPr>
              <w:t>冷却区和锯切区均设置集气罩</w:t>
            </w:r>
            <w:r>
              <w:rPr>
                <w:rFonts w:hint="eastAsia"/>
                <w:color w:val="000000" w:themeColor="text1"/>
                <w:sz w:val="24"/>
                <w:szCs w:val="24"/>
                <w:u w:val="none" w:color="auto"/>
                <w:lang w:val="en-US" w:eastAsia="zh-CN"/>
                <w14:textFill>
                  <w14:solidFill>
                    <w14:schemeClr w14:val="tx1"/>
                  </w14:solidFill>
                </w14:textFill>
              </w:rPr>
              <w:t>粉碎、筛分、冷却和锯切</w:t>
            </w:r>
            <w:r>
              <w:rPr>
                <w:rFonts w:hint="eastAsia"/>
                <w:color w:val="000000" w:themeColor="text1"/>
                <w:sz w:val="24"/>
                <w:szCs w:val="24"/>
                <w:highlight w:val="none"/>
                <w:u w:val="none" w:color="auto"/>
                <w:lang w:val="en-US" w:eastAsia="zh-CN"/>
                <w14:textFill>
                  <w14:solidFill>
                    <w14:schemeClr w14:val="tx1"/>
                  </w14:solidFill>
                </w14:textFill>
              </w:rPr>
              <w:t>以及包装</w:t>
            </w:r>
            <w:r>
              <w:rPr>
                <w:rFonts w:hint="eastAsia"/>
                <w:color w:val="000000" w:themeColor="text1"/>
                <w:sz w:val="24"/>
                <w:szCs w:val="24"/>
                <w:u w:val="none" w:color="auto"/>
                <w:lang w:val="en-US" w:eastAsia="zh-CN"/>
                <w14:textFill>
                  <w14:solidFill>
                    <w14:schemeClr w14:val="tx1"/>
                  </w14:solidFill>
                </w14:textFill>
              </w:rPr>
              <w:t>工序粉尘废气经集气罩收集后管道引至袋式除尘器（TA001）收集后，经1根15m高排气筒排放（DA001）。排放废气中颗粒物排放速率为0.047kg/h，排放浓度为7.75mg/m</w:t>
            </w:r>
            <w:r>
              <w:rPr>
                <w:rFonts w:hint="eastAsia"/>
                <w:color w:val="000000" w:themeColor="text1"/>
                <w:sz w:val="24"/>
                <w:szCs w:val="24"/>
                <w:u w:val="none" w:color="auto"/>
                <w:vertAlign w:val="superscript"/>
                <w:lang w:val="en-US" w:eastAsia="zh-CN"/>
                <w14:textFill>
                  <w14:solidFill>
                    <w14:schemeClr w14:val="tx1"/>
                  </w14:solidFill>
                </w14:textFill>
              </w:rPr>
              <w:t>3</w:t>
            </w:r>
            <w:r>
              <w:rPr>
                <w:rFonts w:hint="eastAsia"/>
                <w:color w:val="000000" w:themeColor="text1"/>
                <w:sz w:val="24"/>
                <w:szCs w:val="24"/>
                <w:u w:val="none" w:color="auto"/>
                <w:lang w:val="en-US" w:eastAsia="zh-CN"/>
                <w14:textFill>
                  <w14:solidFill>
                    <w14:schemeClr w14:val="tx1"/>
                  </w14:solidFill>
                </w14:textFill>
              </w:rPr>
              <w:t>，能够满足</w:t>
            </w: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《大气污染物综合排放标准》（GB16297-1996）表2</w:t>
            </w:r>
            <w:r>
              <w:rPr>
                <w:rFonts w:hint="default" w:ascii="Times New Roman" w:hAnsi="Times New Roman" w:eastAsia="宋体" w:cs="Times New Roman"/>
                <w:color w:val="000000" w:themeColor="text1"/>
                <w:sz w:val="24"/>
                <w:szCs w:val="24"/>
                <w:highlight w:val="none"/>
                <w:u w:val="none" w:color="auto"/>
                <w:lang w:val="en-US" w:eastAsia="zh-CN"/>
                <w14:textFill>
                  <w14:solidFill>
                    <w14:schemeClr w14:val="tx1"/>
                  </w14:solidFill>
                </w14:textFill>
              </w:rPr>
              <w:t>标准</w:t>
            </w:r>
            <w:r>
              <w:rPr>
                <w:rFonts w:hint="eastAsia" w:cs="Times New Roman"/>
                <w:color w:val="000000" w:themeColor="text1"/>
                <w:sz w:val="24"/>
                <w:szCs w:val="24"/>
                <w:highlight w:val="none"/>
                <w:u w:val="none" w:color="auto"/>
                <w:lang w:val="en-US" w:eastAsia="zh-CN"/>
                <w14:textFill>
                  <w14:solidFill>
                    <w14:schemeClr w14:val="tx1"/>
                  </w14:solidFill>
                </w14:textFill>
              </w:rPr>
              <w:t>（</w:t>
            </w:r>
            <w:r>
              <w:rPr>
                <w:rFonts w:hint="default" w:ascii="Times New Roman" w:hAnsi="Times New Roman" w:eastAsia="宋体" w:cs="Times New Roman"/>
                <w:bCs/>
                <w:color w:val="000000" w:themeColor="text1"/>
                <w:sz w:val="24"/>
                <w:szCs w:val="24"/>
                <w:highlight w:val="none"/>
                <w:u w:val="none" w:color="auto"/>
                <w14:textFill>
                  <w14:solidFill>
                    <w14:schemeClr w14:val="tx1"/>
                  </w14:solidFill>
                </w14:textFill>
              </w:rPr>
              <w:t>有组织排放最高允许浓度120mg/m</w:t>
            </w:r>
            <w:r>
              <w:rPr>
                <w:rFonts w:hint="default" w:ascii="Times New Roman" w:hAnsi="Times New Roman" w:eastAsia="宋体" w:cs="Times New Roman"/>
                <w:bCs/>
                <w:color w:val="000000" w:themeColor="text1"/>
                <w:sz w:val="24"/>
                <w:szCs w:val="24"/>
                <w:highlight w:val="none"/>
                <w:u w:val="none" w:color="auto"/>
                <w:vertAlign w:val="superscript"/>
                <w14:textFill>
                  <w14:solidFill>
                    <w14:schemeClr w14:val="tx1"/>
                  </w14:solidFill>
                </w14:textFill>
              </w:rPr>
              <w:t>3</w:t>
            </w:r>
            <w:r>
              <w:rPr>
                <w:rFonts w:hint="default" w:ascii="Times New Roman" w:hAnsi="Times New Roman" w:eastAsia="宋体" w:cs="Times New Roman"/>
                <w:bCs/>
                <w:color w:val="000000" w:themeColor="text1"/>
                <w:sz w:val="24"/>
                <w:szCs w:val="24"/>
                <w:highlight w:val="none"/>
                <w:u w:val="none" w:color="auto"/>
                <w14:textFill>
                  <w14:solidFill>
                    <w14:schemeClr w14:val="tx1"/>
                  </w14:solidFill>
                </w14:textFill>
              </w:rPr>
              <w:t>；</w:t>
            </w: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最大允许排放速率3.5kg/h</w:t>
            </w:r>
            <w:r>
              <w:rPr>
                <w:rFonts w:hint="eastAsia" w:cs="Times New Roman"/>
                <w:color w:val="000000" w:themeColor="text1"/>
                <w:sz w:val="24"/>
                <w:szCs w:val="24"/>
                <w:highlight w:val="none"/>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u w:val="none" w:color="auto"/>
                <w:lang w:val="en-US" w:eastAsia="zh-CN"/>
                <w14:textFill>
                  <w14:solidFill>
                    <w14:schemeClr w14:val="tx1"/>
                  </w14:solidFill>
                </w14:textFill>
              </w:rPr>
              <w:t>《河南省重污染天气</w:t>
            </w:r>
            <w:r>
              <w:rPr>
                <w:rFonts w:hint="eastAsia" w:cs="Times New Roman"/>
                <w:color w:val="000000" w:themeColor="text1"/>
                <w:sz w:val="24"/>
                <w:szCs w:val="24"/>
                <w:highlight w:val="none"/>
                <w:u w:val="none" w:color="auto"/>
                <w:lang w:val="en-US" w:eastAsia="zh-CN"/>
                <w14:textFill>
                  <w14:solidFill>
                    <w14:schemeClr w14:val="tx1"/>
                  </w14:solidFill>
                </w14:textFill>
              </w:rPr>
              <w:t>通用</w:t>
            </w:r>
            <w:r>
              <w:rPr>
                <w:rFonts w:hint="default" w:ascii="Times New Roman" w:hAnsi="Times New Roman" w:eastAsia="宋体" w:cs="Times New Roman"/>
                <w:color w:val="000000" w:themeColor="text1"/>
                <w:sz w:val="24"/>
                <w:szCs w:val="24"/>
                <w:highlight w:val="none"/>
                <w:u w:val="none" w:color="auto"/>
                <w:lang w:val="en-US" w:eastAsia="zh-CN"/>
                <w14:textFill>
                  <w14:solidFill>
                    <w14:schemeClr w14:val="tx1"/>
                  </w14:solidFill>
                </w14:textFill>
              </w:rPr>
              <w:t>行业应急减排措施制定技术指南》（202</w:t>
            </w:r>
            <w:r>
              <w:rPr>
                <w:rFonts w:hint="eastAsia" w:cs="Times New Roman"/>
                <w:color w:val="000000" w:themeColor="text1"/>
                <w:sz w:val="24"/>
                <w:szCs w:val="24"/>
                <w:highlight w:val="none"/>
                <w:u w:val="none" w:color="auto"/>
                <w:lang w:val="en-US" w:eastAsia="zh-CN"/>
                <w14:textFill>
                  <w14:solidFill>
                    <w14:schemeClr w14:val="tx1"/>
                  </w14:solidFill>
                </w14:textFill>
              </w:rPr>
              <w:t>4</w:t>
            </w:r>
            <w:r>
              <w:rPr>
                <w:rFonts w:hint="default" w:ascii="Times New Roman" w:hAnsi="Times New Roman" w:eastAsia="宋体" w:cs="Times New Roman"/>
                <w:color w:val="000000" w:themeColor="text1"/>
                <w:sz w:val="24"/>
                <w:szCs w:val="24"/>
                <w:highlight w:val="none"/>
                <w:u w:val="none" w:color="auto"/>
                <w:lang w:val="en-US" w:eastAsia="zh-CN"/>
                <w14:textFill>
                  <w14:solidFill>
                    <w14:schemeClr w14:val="tx1"/>
                  </w14:solidFill>
                </w14:textFill>
              </w:rPr>
              <w:t>年修订版）</w:t>
            </w:r>
            <w:r>
              <w:rPr>
                <w:rFonts w:hint="eastAsia" w:cs="Times New Roman"/>
                <w:color w:val="000000" w:themeColor="text1"/>
                <w:sz w:val="24"/>
                <w:szCs w:val="24"/>
                <w:highlight w:val="none"/>
                <w:u w:val="none" w:color="auto"/>
                <w:lang w:val="en-US" w:eastAsia="zh-CN"/>
                <w14:textFill>
                  <w14:solidFill>
                    <w14:schemeClr w14:val="tx1"/>
                  </w14:solidFill>
                </w14:textFill>
              </w:rPr>
              <w:t>中</w:t>
            </w:r>
            <w:r>
              <w:rPr>
                <w:rFonts w:hint="default" w:ascii="Times New Roman" w:hAnsi="Times New Roman" w:eastAsia="宋体" w:cs="Times New Roman"/>
                <w:color w:val="000000" w:themeColor="text1"/>
                <w:sz w:val="24"/>
                <w:szCs w:val="24"/>
                <w:highlight w:val="none"/>
                <w:u w:val="none" w:color="auto"/>
                <w:lang w:val="en-US" w:eastAsia="zh-CN"/>
                <w14:textFill>
                  <w14:solidFill>
                    <w14:schemeClr w14:val="tx1"/>
                  </w14:solidFill>
                </w14:textFill>
              </w:rPr>
              <w:t>“</w:t>
            </w:r>
            <w:r>
              <w:rPr>
                <w:rFonts w:hint="eastAsia" w:cs="Times New Roman"/>
                <w:color w:val="000000" w:themeColor="text1"/>
                <w:sz w:val="24"/>
                <w:szCs w:val="24"/>
                <w:highlight w:val="none"/>
                <w:u w:val="none" w:color="auto"/>
                <w:lang w:val="en-US" w:eastAsia="zh-CN"/>
                <w14:textFill>
                  <w14:solidFill>
                    <w14:schemeClr w14:val="tx1"/>
                  </w14:solidFill>
                </w14:textFill>
              </w:rPr>
              <w:t>涉PM企业</w:t>
            </w:r>
            <w:r>
              <w:rPr>
                <w:rFonts w:hint="default" w:ascii="Times New Roman" w:hAnsi="Times New Roman" w:eastAsia="宋体" w:cs="Times New Roman"/>
                <w:color w:val="000000" w:themeColor="text1"/>
                <w:sz w:val="24"/>
                <w:szCs w:val="24"/>
                <w:highlight w:val="none"/>
                <w:u w:val="none" w:color="auto"/>
                <w:lang w:val="en-US" w:eastAsia="zh-CN"/>
                <w14:textFill>
                  <w14:solidFill>
                    <w14:schemeClr w14:val="tx1"/>
                  </w14:solidFill>
                </w14:textFill>
              </w:rPr>
              <w:t>”</w:t>
            </w:r>
            <w:r>
              <w:rPr>
                <w:rFonts w:hint="eastAsia" w:cs="Times New Roman"/>
                <w:color w:val="000000" w:themeColor="text1"/>
                <w:sz w:val="24"/>
                <w:szCs w:val="24"/>
                <w:highlight w:val="none"/>
                <w:u w:val="none" w:color="auto"/>
                <w:lang w:val="en-US" w:eastAsia="zh-CN"/>
                <w14:textFill>
                  <w14:solidFill>
                    <w14:schemeClr w14:val="tx1"/>
                  </w14:solidFill>
                </w14:textFill>
              </w:rPr>
              <w:t>（PM排放限值</w:t>
            </w:r>
            <w:r>
              <w:rPr>
                <w:rFonts w:hint="default" w:ascii="Times New Roman" w:hAnsi="Times New Roman" w:eastAsia="宋体" w:cs="Times New Roman"/>
                <w:bCs/>
                <w:color w:val="000000" w:themeColor="text1"/>
                <w:sz w:val="24"/>
                <w:szCs w:val="24"/>
                <w:highlight w:val="none"/>
                <w:u w:val="none" w:color="auto"/>
                <w14:textFill>
                  <w14:solidFill>
                    <w14:schemeClr w14:val="tx1"/>
                  </w14:solidFill>
                </w14:textFill>
              </w:rPr>
              <w:t>10mg/m</w:t>
            </w:r>
            <w:r>
              <w:rPr>
                <w:rFonts w:hint="default" w:ascii="Times New Roman" w:hAnsi="Times New Roman" w:eastAsia="宋体" w:cs="Times New Roman"/>
                <w:bCs/>
                <w:color w:val="000000" w:themeColor="text1"/>
                <w:sz w:val="24"/>
                <w:szCs w:val="24"/>
                <w:highlight w:val="none"/>
                <w:u w:val="none" w:color="auto"/>
                <w:vertAlign w:val="superscript"/>
                <w14:textFill>
                  <w14:solidFill>
                    <w14:schemeClr w14:val="tx1"/>
                  </w14:solidFill>
                </w14:textFill>
              </w:rPr>
              <w:t>3</w:t>
            </w:r>
            <w:r>
              <w:rPr>
                <w:rFonts w:hint="eastAsia" w:cs="Times New Roman"/>
                <w:bCs/>
                <w:color w:val="000000" w:themeColor="text1"/>
                <w:sz w:val="24"/>
                <w:szCs w:val="24"/>
                <w:highlight w:val="none"/>
                <w:u w:val="none" w:color="auto"/>
                <w:lang w:eastAsia="zh-CN"/>
                <w14:textFill>
                  <w14:solidFill>
                    <w14:schemeClr w14:val="tx1"/>
                  </w14:solidFill>
                </w14:textFill>
              </w:rPr>
              <w:t>）</w:t>
            </w:r>
            <w:r>
              <w:rPr>
                <w:rFonts w:hint="eastAsia" w:cs="Times New Roman"/>
                <w:bCs/>
                <w:color w:val="000000" w:themeColor="text1"/>
                <w:sz w:val="24"/>
                <w:szCs w:val="24"/>
                <w:highlight w:val="none"/>
                <w:u w:val="none" w:color="auto"/>
                <w:lang w:val="en-US" w:eastAsia="zh-CN"/>
                <w14:textFill>
                  <w14:solidFill>
                    <w14:schemeClr w14:val="tx1"/>
                  </w14:solidFill>
                </w14:textFill>
              </w:rPr>
              <w:t>的限值要求。</w:t>
            </w:r>
          </w:p>
          <w:p w14:paraId="68294B7D">
            <w:pPr>
              <w:keepNext w:val="0"/>
              <w:keepLines w:val="0"/>
              <w:pageBreakBefore w:val="0"/>
              <w:widowControl/>
              <w:numPr>
                <w:ilvl w:val="0"/>
                <w:numId w:val="0"/>
              </w:numPr>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eastAsia"/>
                <w:b w:val="0"/>
                <w:bCs/>
                <w:color w:val="000000" w:themeColor="text1"/>
                <w:sz w:val="24"/>
                <w:szCs w:val="24"/>
                <w:highlight w:val="none"/>
                <w:u w:val="none" w:color="auto"/>
                <w:lang w:val="en-US" w:eastAsia="zh-CN"/>
                <w14:textFill>
                  <w14:solidFill>
                    <w14:schemeClr w14:val="tx1"/>
                  </w14:solidFill>
                </w14:textFill>
              </w:rPr>
            </w:pPr>
            <w:r>
              <w:rPr>
                <w:rFonts w:hint="eastAsia"/>
                <w:color w:val="000000" w:themeColor="text1"/>
                <w:sz w:val="24"/>
                <w:szCs w:val="24"/>
                <w:u w:val="none" w:color="auto"/>
                <w:lang w:val="en-US" w:eastAsia="zh-CN"/>
                <w14:textFill>
                  <w14:solidFill>
                    <w14:schemeClr w14:val="tx1"/>
                  </w14:solidFill>
                </w14:textFill>
              </w:rPr>
              <w:t>②机制炭生产线</w:t>
            </w:r>
            <w:r>
              <w:rPr>
                <w:rFonts w:hint="eastAsia"/>
                <w:color w:val="000000" w:themeColor="text1"/>
                <w:sz w:val="24"/>
                <w:szCs w:val="24"/>
                <w:u w:val="none" w:color="auto"/>
                <w14:textFill>
                  <w14:solidFill>
                    <w14:schemeClr w14:val="tx1"/>
                  </w14:solidFill>
                </w14:textFill>
              </w:rPr>
              <w:t>烘干工序、制棒工序废气</w:t>
            </w:r>
            <w:r>
              <w:rPr>
                <w:rFonts w:hint="eastAsia"/>
                <w:color w:val="000000" w:themeColor="text1"/>
                <w:sz w:val="24"/>
                <w:szCs w:val="24"/>
                <w:u w:val="none" w:color="auto"/>
                <w:lang w:eastAsia="zh-CN"/>
                <w14:textFill>
                  <w14:solidFill>
                    <w14:schemeClr w14:val="tx1"/>
                  </w14:solidFill>
                </w14:textFill>
              </w:rPr>
              <w:t>：</w:t>
            </w:r>
            <w:r>
              <w:rPr>
                <w:rFonts w:hint="eastAsia"/>
                <w:color w:val="000000" w:themeColor="text1"/>
                <w:sz w:val="24"/>
                <w:szCs w:val="24"/>
                <w:u w:val="none" w:color="auto"/>
                <w:lang w:val="en-US" w:eastAsia="zh-CN"/>
                <w14:textFill>
                  <w14:solidFill>
                    <w14:schemeClr w14:val="tx1"/>
                  </w14:solidFill>
                </w14:textFill>
              </w:rPr>
              <w:t>烘干时：机制炭生产线制棒废气引入烘干机作为热源，最终与炭化炉点火和炭化初始阶段燃料燃烧废气、烘干废气一起经“碱喷淋+静电除尘装置”处理后经15m高排气筒（DA002）排放；非烘干时，制棒废气、炭化炉点火和炭化初始阶段燃料燃烧废气一起经“碱喷淋+静电除尘装置”处理后经15m高排气筒（DA002）排放</w:t>
            </w:r>
            <w:r>
              <w:rPr>
                <w:rFonts w:hint="eastAsia" w:ascii="宋体" w:hAnsi="宋体" w:cs="宋体"/>
                <w:color w:val="000000" w:themeColor="text1"/>
                <w:kern w:val="0"/>
                <w:sz w:val="24"/>
                <w:szCs w:val="24"/>
                <w:u w:val="none" w:color="auto"/>
                <w:lang w:val="en-US" w:eastAsia="zh-CN" w:bidi="ar"/>
                <w14:textFill>
                  <w14:solidFill>
                    <w14:schemeClr w14:val="tx1"/>
                  </w14:solidFill>
                </w14:textFill>
              </w:rPr>
              <w:t>。</w:t>
            </w:r>
            <w:r>
              <w:rPr>
                <w:rFonts w:hint="eastAsia"/>
                <w:color w:val="000000" w:themeColor="text1"/>
                <w:sz w:val="24"/>
                <w:szCs w:val="24"/>
                <w:highlight w:val="none"/>
                <w:u w:val="none" w:color="auto"/>
                <w:lang w:val="en-US" w:eastAsia="zh-CN"/>
                <w14:textFill>
                  <w14:solidFill>
                    <w14:schemeClr w14:val="tx1"/>
                  </w14:solidFill>
                </w14:textFill>
              </w:rPr>
              <w:t>经处理后</w:t>
            </w:r>
            <w:r>
              <w:rPr>
                <w:rFonts w:hint="eastAsia"/>
                <w:color w:val="000000" w:themeColor="text1"/>
                <w:sz w:val="24"/>
                <w:szCs w:val="24"/>
                <w:u w:val="none" w:color="auto"/>
                <w:lang w:val="en-US" w:eastAsia="zh-CN"/>
                <w14:textFill>
                  <w14:solidFill>
                    <w14:schemeClr w14:val="tx1"/>
                  </w14:solidFill>
                </w14:textFill>
              </w:rPr>
              <w:t>废气中颗粒物排放浓度和速率能够满足</w:t>
            </w: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《大气污染物综合排放标准》（GB16297-1996）表2</w:t>
            </w:r>
            <w:r>
              <w:rPr>
                <w:rFonts w:hint="default" w:ascii="Times New Roman" w:hAnsi="Times New Roman" w:eastAsia="宋体" w:cs="Times New Roman"/>
                <w:color w:val="000000" w:themeColor="text1"/>
                <w:sz w:val="24"/>
                <w:szCs w:val="24"/>
                <w:highlight w:val="none"/>
                <w:u w:val="none" w:color="auto"/>
                <w:lang w:val="en-US" w:eastAsia="zh-CN"/>
                <w14:textFill>
                  <w14:solidFill>
                    <w14:schemeClr w14:val="tx1"/>
                  </w14:solidFill>
                </w14:textFill>
              </w:rPr>
              <w:t>标准</w:t>
            </w:r>
            <w:r>
              <w:rPr>
                <w:rFonts w:hint="eastAsia" w:cs="Times New Roman"/>
                <w:color w:val="000000" w:themeColor="text1"/>
                <w:sz w:val="24"/>
                <w:szCs w:val="24"/>
                <w:highlight w:val="none"/>
                <w:u w:val="none" w:color="auto"/>
                <w:lang w:val="en-US" w:eastAsia="zh-CN"/>
                <w14:textFill>
                  <w14:solidFill>
                    <w14:schemeClr w14:val="tx1"/>
                  </w14:solidFill>
                </w14:textFill>
              </w:rPr>
              <w:t>（</w:t>
            </w:r>
            <w:r>
              <w:rPr>
                <w:rFonts w:hint="default" w:ascii="Times New Roman" w:hAnsi="Times New Roman" w:eastAsia="宋体" w:cs="Times New Roman"/>
                <w:bCs/>
                <w:color w:val="000000" w:themeColor="text1"/>
                <w:sz w:val="24"/>
                <w:szCs w:val="24"/>
                <w:highlight w:val="none"/>
                <w:u w:val="none" w:color="auto"/>
                <w14:textFill>
                  <w14:solidFill>
                    <w14:schemeClr w14:val="tx1"/>
                  </w14:solidFill>
                </w14:textFill>
              </w:rPr>
              <w:t>有组织排放最高允许浓度120mg/m</w:t>
            </w:r>
            <w:r>
              <w:rPr>
                <w:rFonts w:hint="default" w:ascii="Times New Roman" w:hAnsi="Times New Roman" w:eastAsia="宋体" w:cs="Times New Roman"/>
                <w:bCs/>
                <w:color w:val="000000" w:themeColor="text1"/>
                <w:sz w:val="24"/>
                <w:szCs w:val="24"/>
                <w:highlight w:val="none"/>
                <w:u w:val="none" w:color="auto"/>
                <w:vertAlign w:val="superscript"/>
                <w14:textFill>
                  <w14:solidFill>
                    <w14:schemeClr w14:val="tx1"/>
                  </w14:solidFill>
                </w14:textFill>
              </w:rPr>
              <w:t>3</w:t>
            </w:r>
            <w:r>
              <w:rPr>
                <w:rFonts w:hint="default" w:ascii="Times New Roman" w:hAnsi="Times New Roman" w:eastAsia="宋体" w:cs="Times New Roman"/>
                <w:bCs/>
                <w:color w:val="000000" w:themeColor="text1"/>
                <w:sz w:val="24"/>
                <w:szCs w:val="24"/>
                <w:highlight w:val="none"/>
                <w:u w:val="none" w:color="auto"/>
                <w14:textFill>
                  <w14:solidFill>
                    <w14:schemeClr w14:val="tx1"/>
                  </w14:solidFill>
                </w14:textFill>
              </w:rPr>
              <w:t>；</w:t>
            </w: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最大允许排放速率3.5kg/h</w:t>
            </w:r>
            <w:r>
              <w:rPr>
                <w:rFonts w:hint="eastAsia" w:cs="Times New Roman"/>
                <w:color w:val="000000" w:themeColor="text1"/>
                <w:sz w:val="24"/>
                <w:szCs w:val="24"/>
                <w:highlight w:val="none"/>
                <w:u w:val="none" w:color="auto"/>
                <w:lang w:val="en-US" w:eastAsia="zh-CN"/>
                <w14:textFill>
                  <w14:solidFill>
                    <w14:schemeClr w14:val="tx1"/>
                  </w14:solidFill>
                </w14:textFill>
              </w:rPr>
              <w:t>）、</w:t>
            </w:r>
            <w:r>
              <w:rPr>
                <w:rFonts w:hint="eastAsia"/>
                <w:b w:val="0"/>
                <w:bCs/>
                <w:color w:val="000000" w:themeColor="text1"/>
                <w:sz w:val="24"/>
                <w:szCs w:val="24"/>
                <w:highlight w:val="none"/>
                <w:u w:val="none" w:color="auto"/>
                <w:lang w:val="en-US" w:eastAsia="zh-CN"/>
                <w14:textFill>
                  <w14:solidFill>
                    <w14:schemeClr w14:val="tx1"/>
                  </w14:solidFill>
                </w14:textFill>
              </w:rPr>
              <w:t>《河南省重污染天气通用行业应急减排措施制定技术指南》（2024年修订版）</w:t>
            </w:r>
            <w:r>
              <w:rPr>
                <w:rFonts w:hint="eastAsia" w:ascii="Times New Roman" w:hAnsi="Times New Roman" w:eastAsia="宋体" w:cs="Times New Roman"/>
                <w:b w:val="0"/>
                <w:bCs/>
                <w:color w:val="000000" w:themeColor="text1"/>
                <w:sz w:val="24"/>
                <w:szCs w:val="24"/>
                <w:highlight w:val="none"/>
                <w:u w:val="none" w:color="auto"/>
                <w:lang w:val="en-US" w:eastAsia="zh-CN"/>
                <w14:textFill>
                  <w14:solidFill>
                    <w14:schemeClr w14:val="tx1"/>
                  </w14:solidFill>
                </w14:textFill>
              </w:rPr>
              <w:t>中涉PM企业基本要求（</w:t>
            </w:r>
            <w:r>
              <w:rPr>
                <w:rFonts w:hint="default" w:ascii="Times New Roman" w:hAnsi="Times New Roman" w:eastAsia="宋体" w:cs="Times New Roman"/>
                <w:b w:val="0"/>
                <w:bCs/>
                <w:color w:val="000000" w:themeColor="text1"/>
                <w:sz w:val="24"/>
                <w:szCs w:val="24"/>
                <w:highlight w:val="none"/>
                <w:u w:val="none" w:color="auto"/>
                <w:lang w:val="en-US" w:eastAsia="zh-CN"/>
                <w14:textFill>
                  <w14:solidFill>
                    <w14:schemeClr w14:val="tx1"/>
                  </w14:solidFill>
                </w14:textFill>
              </w:rPr>
              <w:t>PM</w:t>
            </w:r>
            <w:r>
              <w:rPr>
                <w:rFonts w:hint="eastAsia" w:ascii="Times New Roman" w:hAnsi="Times New Roman" w:eastAsia="宋体" w:cs="Times New Roman"/>
                <w:b w:val="0"/>
                <w:bCs/>
                <w:color w:val="000000" w:themeColor="text1"/>
                <w:sz w:val="24"/>
                <w:szCs w:val="24"/>
                <w:highlight w:val="none"/>
                <w:u w:val="none" w:color="auto"/>
                <w:lang w:val="en-US" w:eastAsia="zh-CN"/>
                <w14:textFill>
                  <w14:solidFill>
                    <w14:schemeClr w14:val="tx1"/>
                  </w14:solidFill>
                </w14:textFill>
              </w:rPr>
              <w:t>排放浓度不高于</w:t>
            </w:r>
            <w:r>
              <w:rPr>
                <w:rFonts w:hint="default" w:ascii="Times New Roman" w:hAnsi="Times New Roman" w:eastAsia="宋体" w:cs="Times New Roman"/>
                <w:b w:val="0"/>
                <w:bCs/>
                <w:color w:val="000000" w:themeColor="text1"/>
                <w:sz w:val="24"/>
                <w:szCs w:val="24"/>
                <w:highlight w:val="none"/>
                <w:u w:val="none" w:color="auto"/>
                <w:lang w:val="en-US" w:eastAsia="zh-CN"/>
                <w14:textFill>
                  <w14:solidFill>
                    <w14:schemeClr w14:val="tx1"/>
                  </w14:solidFill>
                </w14:textFill>
              </w:rPr>
              <w:t>10mg/m</w:t>
            </w:r>
            <w:r>
              <w:rPr>
                <w:rFonts w:hint="default" w:ascii="Times New Roman" w:hAnsi="Times New Roman" w:eastAsia="宋体" w:cs="Times New Roman"/>
                <w:b w:val="0"/>
                <w:bCs/>
                <w:color w:val="000000" w:themeColor="text1"/>
                <w:sz w:val="24"/>
                <w:szCs w:val="24"/>
                <w:highlight w:val="none"/>
                <w:u w:val="none" w:color="auto"/>
                <w:vertAlign w:val="superscript"/>
                <w:lang w:val="en-US" w:eastAsia="zh-CN"/>
                <w14:textFill>
                  <w14:solidFill>
                    <w14:schemeClr w14:val="tx1"/>
                  </w14:solidFill>
                </w14:textFill>
              </w:rPr>
              <w:t>3</w:t>
            </w:r>
            <w:r>
              <w:rPr>
                <w:rFonts w:hint="eastAsia" w:ascii="Times New Roman" w:hAnsi="Times New Roman" w:eastAsia="宋体" w:cs="Times New Roman"/>
                <w:b w:val="0"/>
                <w:bCs/>
                <w:color w:val="000000" w:themeColor="text1"/>
                <w:sz w:val="24"/>
                <w:szCs w:val="24"/>
                <w:highlight w:val="none"/>
                <w:u w:val="none" w:color="auto"/>
                <w:lang w:val="en-US" w:eastAsia="zh-CN"/>
                <w14:textFill>
                  <w14:solidFill>
                    <w14:schemeClr w14:val="tx1"/>
                  </w14:solidFill>
                </w14:textFill>
              </w:rPr>
              <w:t>），</w:t>
            </w:r>
            <w:r>
              <w:rPr>
                <w:rFonts w:hint="eastAsia" w:cs="Times New Roman"/>
                <w:b w:val="0"/>
                <w:bCs/>
                <w:color w:val="000000" w:themeColor="text1"/>
                <w:sz w:val="24"/>
                <w:szCs w:val="24"/>
                <w:highlight w:val="none"/>
                <w:u w:val="none" w:color="auto"/>
                <w:lang w:val="en-US" w:eastAsia="zh-CN"/>
                <w14:textFill>
                  <w14:solidFill>
                    <w14:schemeClr w14:val="tx1"/>
                  </w14:solidFill>
                </w14:textFill>
              </w:rPr>
              <w:t>以及《</w:t>
            </w:r>
            <w:r>
              <w:rPr>
                <w:rFonts w:hint="eastAsia"/>
                <w:b w:val="0"/>
                <w:bCs/>
                <w:color w:val="000000" w:themeColor="text1"/>
                <w:sz w:val="24"/>
                <w:szCs w:val="24"/>
                <w:highlight w:val="none"/>
                <w:u w:val="none" w:color="auto"/>
                <w:lang w:val="en-US" w:eastAsia="zh-CN"/>
                <w14:textFill>
                  <w14:solidFill>
                    <w14:schemeClr w14:val="tx1"/>
                  </w14:solidFill>
                </w14:textFill>
              </w:rPr>
              <w:t>河南省工业炉窑大气污染物排放标准》(DB41/1066-2020)排放限值以及《河南省重污染天气通用行业应急减排措施制定技术指南》（2024年修订版）中涉锅炉/炉窑企业绩效分级指标中：干燥炉（燃气）PM排放浓度不超过10mg/m</w:t>
            </w:r>
            <w:r>
              <w:rPr>
                <w:rFonts w:hint="eastAsia"/>
                <w:b w:val="0"/>
                <w:bCs/>
                <w:color w:val="000000" w:themeColor="text1"/>
                <w:sz w:val="24"/>
                <w:szCs w:val="24"/>
                <w:highlight w:val="none"/>
                <w:u w:val="none" w:color="auto"/>
                <w:vertAlign w:val="superscript"/>
                <w:lang w:val="en-US" w:eastAsia="zh-CN"/>
                <w14:textFill>
                  <w14:solidFill>
                    <w14:schemeClr w14:val="tx1"/>
                  </w14:solidFill>
                </w14:textFill>
              </w:rPr>
              <w:t>3</w:t>
            </w:r>
            <w:r>
              <w:rPr>
                <w:rFonts w:hint="eastAsia"/>
                <w:b w:val="0"/>
                <w:bCs/>
                <w:color w:val="000000" w:themeColor="text1"/>
                <w:sz w:val="24"/>
                <w:szCs w:val="24"/>
                <w:highlight w:val="none"/>
                <w:u w:val="none" w:color="auto"/>
                <w:lang w:val="en-US" w:eastAsia="zh-CN"/>
                <w14:textFill>
                  <w14:solidFill>
                    <w14:schemeClr w14:val="tx1"/>
                  </w14:solidFill>
                </w14:textFill>
              </w:rPr>
              <w:t>要求；</w:t>
            </w:r>
            <w:r>
              <w:rPr>
                <w:rFonts w:hint="eastAsia"/>
                <w:color w:val="000000" w:themeColor="text1"/>
                <w:sz w:val="24"/>
                <w:szCs w:val="24"/>
                <w:highlight w:val="none"/>
                <w:u w:val="none" w:color="auto"/>
                <w14:textFill>
                  <w14:solidFill>
                    <w14:schemeClr w14:val="tx1"/>
                  </w14:solidFill>
                </w14:textFill>
              </w:rPr>
              <w:t>SO</w:t>
            </w:r>
            <w:r>
              <w:rPr>
                <w:rFonts w:hint="eastAsia"/>
                <w:color w:val="000000" w:themeColor="text1"/>
                <w:sz w:val="24"/>
                <w:szCs w:val="24"/>
                <w:highlight w:val="none"/>
                <w:u w:val="none" w:color="auto"/>
                <w:vertAlign w:val="subscript"/>
                <w14:textFill>
                  <w14:solidFill>
                    <w14:schemeClr w14:val="tx1"/>
                  </w14:solidFill>
                </w14:textFill>
              </w:rPr>
              <w:t>2</w:t>
            </w:r>
            <w:r>
              <w:rPr>
                <w:rFonts w:hint="eastAsia"/>
                <w:color w:val="000000" w:themeColor="text1"/>
                <w:sz w:val="24"/>
                <w:szCs w:val="24"/>
                <w:highlight w:val="none"/>
                <w:u w:val="none" w:color="auto"/>
                <w:lang w:val="en-US" w:eastAsia="zh-CN"/>
                <w14:textFill>
                  <w14:solidFill>
                    <w14:schemeClr w14:val="tx1"/>
                  </w14:solidFill>
                </w14:textFill>
              </w:rPr>
              <w:t>和</w:t>
            </w:r>
            <w:r>
              <w:rPr>
                <w:rFonts w:hint="eastAsia"/>
                <w:color w:val="000000" w:themeColor="text1"/>
                <w:sz w:val="24"/>
                <w:szCs w:val="24"/>
                <w:highlight w:val="none"/>
                <w:u w:val="none" w:color="auto"/>
                <w14:textFill>
                  <w14:solidFill>
                    <w14:schemeClr w14:val="tx1"/>
                  </w14:solidFill>
                </w14:textFill>
              </w:rPr>
              <w:t>NO</w:t>
            </w:r>
            <w:r>
              <w:rPr>
                <w:rFonts w:hint="eastAsia"/>
                <w:color w:val="000000" w:themeColor="text1"/>
                <w:sz w:val="24"/>
                <w:szCs w:val="24"/>
                <w:highlight w:val="none"/>
                <w:u w:val="none" w:color="auto"/>
                <w:vertAlign w:val="subscript"/>
                <w14:textFill>
                  <w14:solidFill>
                    <w14:schemeClr w14:val="tx1"/>
                  </w14:solidFill>
                </w14:textFill>
              </w:rPr>
              <w:t>X</w:t>
            </w:r>
            <w:r>
              <w:rPr>
                <w:rFonts w:hint="eastAsia"/>
                <w:color w:val="000000" w:themeColor="text1"/>
                <w:sz w:val="24"/>
                <w:szCs w:val="24"/>
                <w:highlight w:val="none"/>
                <w:u w:val="none" w:color="auto"/>
                <w:vertAlign w:val="subscript"/>
                <w:lang w:val="en-US" w:eastAsia="zh-CN"/>
                <w14:textFill>
                  <w14:solidFill>
                    <w14:schemeClr w14:val="tx1"/>
                  </w14:solidFill>
                </w14:textFill>
              </w:rPr>
              <w:t xml:space="preserve"> </w:t>
            </w:r>
            <w:r>
              <w:rPr>
                <w:rFonts w:hint="eastAsia"/>
                <w:b w:val="0"/>
                <w:bCs/>
                <w:color w:val="000000" w:themeColor="text1"/>
                <w:sz w:val="24"/>
                <w:szCs w:val="24"/>
                <w:highlight w:val="none"/>
                <w:u w:val="none" w:color="auto"/>
                <w:lang w:val="en-US" w:eastAsia="zh-CN"/>
                <w14:textFill>
                  <w14:solidFill>
                    <w14:schemeClr w14:val="tx1"/>
                  </w14:solidFill>
                </w14:textFill>
              </w:rPr>
              <w:t>的排放浓度均能够满足《河南省工业炉窑大气污染物排放标准》(DB41/1066-2020)排放限值以及《河南省重污染天气通用行业应急减排措施制定技术指南》（2024年修订版）中涉锅炉/炉窑企业绩效分级指标中：干燥炉（燃气）SO</w:t>
            </w:r>
            <w:r>
              <w:rPr>
                <w:rFonts w:hint="eastAsia"/>
                <w:b w:val="0"/>
                <w:bCs/>
                <w:color w:val="000000" w:themeColor="text1"/>
                <w:sz w:val="24"/>
                <w:szCs w:val="24"/>
                <w:highlight w:val="none"/>
                <w:u w:val="none" w:color="auto"/>
                <w:vertAlign w:val="subscript"/>
                <w:lang w:val="en-US" w:eastAsia="zh-CN"/>
                <w14:textFill>
                  <w14:solidFill>
                    <w14:schemeClr w14:val="tx1"/>
                  </w14:solidFill>
                </w14:textFill>
              </w:rPr>
              <w:t>2</w:t>
            </w:r>
            <w:r>
              <w:rPr>
                <w:rFonts w:hint="eastAsia"/>
                <w:b w:val="0"/>
                <w:bCs/>
                <w:color w:val="000000" w:themeColor="text1"/>
                <w:sz w:val="24"/>
                <w:szCs w:val="24"/>
                <w:highlight w:val="none"/>
                <w:u w:val="none" w:color="auto"/>
                <w:lang w:val="en-US" w:eastAsia="zh-CN"/>
                <w14:textFill>
                  <w14:solidFill>
                    <w14:schemeClr w14:val="tx1"/>
                  </w14:solidFill>
                </w14:textFill>
              </w:rPr>
              <w:t>、NOx排放浓度不超过35、50mg/m</w:t>
            </w:r>
            <w:r>
              <w:rPr>
                <w:rFonts w:hint="eastAsia"/>
                <w:b w:val="0"/>
                <w:bCs/>
                <w:color w:val="000000" w:themeColor="text1"/>
                <w:sz w:val="24"/>
                <w:szCs w:val="24"/>
                <w:highlight w:val="none"/>
                <w:u w:val="none" w:color="auto"/>
                <w:vertAlign w:val="superscript"/>
                <w:lang w:val="en-US" w:eastAsia="zh-CN"/>
                <w14:textFill>
                  <w14:solidFill>
                    <w14:schemeClr w14:val="tx1"/>
                  </w14:solidFill>
                </w14:textFill>
              </w:rPr>
              <w:t>3</w:t>
            </w:r>
            <w:r>
              <w:rPr>
                <w:rFonts w:hint="eastAsia"/>
                <w:b w:val="0"/>
                <w:bCs/>
                <w:color w:val="000000" w:themeColor="text1"/>
                <w:sz w:val="24"/>
                <w:szCs w:val="24"/>
                <w:highlight w:val="none"/>
                <w:u w:val="none" w:color="auto"/>
                <w:lang w:val="en-US" w:eastAsia="zh-CN"/>
                <w14:textFill>
                  <w14:solidFill>
                    <w14:schemeClr w14:val="tx1"/>
                  </w14:solidFill>
                </w14:textFill>
              </w:rPr>
              <w:t>要求。</w:t>
            </w:r>
          </w:p>
          <w:p w14:paraId="179D8782">
            <w:pPr>
              <w:keepNext w:val="0"/>
              <w:keepLines w:val="0"/>
              <w:pageBreakBefore w:val="0"/>
              <w:widowControl/>
              <w:numPr>
                <w:ilvl w:val="0"/>
                <w:numId w:val="0"/>
              </w:numPr>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default"/>
                <w:b w:val="0"/>
                <w:bCs/>
                <w:color w:val="000000" w:themeColor="text1"/>
                <w:sz w:val="24"/>
                <w:szCs w:val="24"/>
                <w:highlight w:val="none"/>
                <w:u w:val="none" w:color="auto"/>
                <w:lang w:val="en-US" w:eastAsia="zh-CN"/>
                <w14:textFill>
                  <w14:solidFill>
                    <w14:schemeClr w14:val="tx1"/>
                  </w14:solidFill>
                </w14:textFill>
              </w:rPr>
            </w:pPr>
            <w:r>
              <w:rPr>
                <w:rFonts w:hint="eastAsia"/>
                <w:color w:val="000000" w:themeColor="text1"/>
                <w:sz w:val="24"/>
                <w:szCs w:val="24"/>
                <w:u w:val="none" w:color="auto"/>
                <w:lang w:val="en-US" w:eastAsia="zh-CN"/>
                <w14:textFill>
                  <w14:solidFill>
                    <w14:schemeClr w14:val="tx1"/>
                  </w14:solidFill>
                </w14:textFill>
              </w:rPr>
              <w:t>③</w:t>
            </w:r>
            <w:r>
              <w:rPr>
                <w:rFonts w:hint="default" w:ascii="Times New Roman" w:hAnsi="Times New Roman" w:eastAsia="瀹嬩綋" w:cs="Times New Roman"/>
                <w:color w:val="000000" w:themeColor="text1"/>
                <w:kern w:val="0"/>
                <w:sz w:val="24"/>
                <w:szCs w:val="24"/>
                <w:u w:val="none" w:color="auto"/>
                <w:lang w:val="en-US" w:eastAsia="zh-CN" w:bidi="ar"/>
                <w14:textFill>
                  <w14:solidFill>
                    <w14:schemeClr w14:val="tx1"/>
                  </w14:solidFill>
                </w14:textFill>
              </w:rPr>
              <w:t>本项目</w:t>
            </w:r>
            <w:r>
              <w:rPr>
                <w:rFonts w:hint="eastAsia" w:ascii="瀹嬩綋" w:hAnsi="瀹嬩綋" w:eastAsia="瀹嬩綋" w:cs="瀹嬩綋"/>
                <w:color w:val="000000" w:themeColor="text1"/>
                <w:kern w:val="0"/>
                <w:sz w:val="24"/>
                <w:szCs w:val="24"/>
                <w:u w:val="none" w:color="auto"/>
                <w:lang w:val="en-US" w:eastAsia="zh-CN" w:bidi="ar"/>
                <w14:textFill>
                  <w14:solidFill>
                    <w14:schemeClr w14:val="tx1"/>
                  </w14:solidFill>
                </w14:textFill>
              </w:rPr>
              <w:t>生物质颗粒生产线</w:t>
            </w:r>
            <w:r>
              <w:rPr>
                <w:rFonts w:hint="eastAsia"/>
                <w:color w:val="000000" w:themeColor="text1"/>
                <w:sz w:val="24"/>
                <w:u w:val="none" w:color="auto"/>
                <w14:textFill>
                  <w14:solidFill>
                    <w14:schemeClr w14:val="tx1"/>
                  </w14:solidFill>
                </w14:textFill>
              </w:rPr>
              <w:t>破碎、</w:t>
            </w:r>
            <w:r>
              <w:rPr>
                <w:rFonts w:hint="eastAsia"/>
                <w:color w:val="000000" w:themeColor="text1"/>
                <w:sz w:val="24"/>
                <w:u w:val="none" w:color="auto"/>
                <w:lang w:val="en-US" w:eastAsia="zh-CN"/>
                <w14:textFill>
                  <w14:solidFill>
                    <w14:schemeClr w14:val="tx1"/>
                  </w14:solidFill>
                </w14:textFill>
              </w:rPr>
              <w:t>筛分</w:t>
            </w:r>
            <w:r>
              <w:rPr>
                <w:rFonts w:hint="eastAsia"/>
                <w:color w:val="000000" w:themeColor="text1"/>
                <w:sz w:val="24"/>
                <w:u w:val="none" w:color="auto"/>
                <w14:textFill>
                  <w14:solidFill>
                    <w14:schemeClr w14:val="tx1"/>
                  </w14:solidFill>
                </w14:textFill>
              </w:rPr>
              <w:t>、</w:t>
            </w:r>
            <w:r>
              <w:rPr>
                <w:rFonts w:hint="eastAsia"/>
                <w:color w:val="000000" w:themeColor="text1"/>
                <w:sz w:val="24"/>
                <w:u w:val="none" w:color="auto"/>
                <w:lang w:val="en-US" w:eastAsia="zh-CN"/>
                <w14:textFill>
                  <w14:solidFill>
                    <w14:schemeClr w14:val="tx1"/>
                  </w14:solidFill>
                </w14:textFill>
              </w:rPr>
              <w:t>造粒和包装等</w:t>
            </w:r>
            <w:r>
              <w:rPr>
                <w:rFonts w:hint="eastAsia"/>
                <w:color w:val="000000" w:themeColor="text1"/>
                <w:sz w:val="24"/>
                <w:u w:val="none" w:color="auto"/>
                <w14:textFill>
                  <w14:solidFill>
                    <w14:schemeClr w14:val="tx1"/>
                  </w14:solidFill>
                </w14:textFill>
              </w:rPr>
              <w:t>过程中产生的</w:t>
            </w:r>
            <w:r>
              <w:rPr>
                <w:rFonts w:hint="eastAsia" w:ascii="瀹嬩綋" w:hAnsi="瀹嬩綋" w:eastAsia="瀹嬩綋" w:cs="瀹嬩綋"/>
                <w:color w:val="000000" w:themeColor="text1"/>
                <w:kern w:val="0"/>
                <w:sz w:val="24"/>
                <w:szCs w:val="24"/>
                <w:u w:val="none" w:color="auto"/>
                <w:lang w:val="en-US" w:eastAsia="zh-CN" w:bidi="ar"/>
                <w14:textFill>
                  <w14:solidFill>
                    <w14:schemeClr w14:val="tx1"/>
                  </w14:solidFill>
                </w14:textFill>
              </w:rPr>
              <w:t>有组织粉尘废气采用集气罩收集后引至袋式除尘器</w:t>
            </w:r>
            <w:r>
              <w:rPr>
                <w:rFonts w:hint="default" w:ascii="Times New Roman" w:hAnsi="Times New Roman" w:eastAsia="宋体" w:cs="Times New Roman"/>
                <w:color w:val="000000" w:themeColor="text1"/>
                <w:sz w:val="24"/>
                <w:szCs w:val="24"/>
                <w:highlight w:val="none"/>
                <w:u w:val="none" w:color="auto"/>
                <w:lang w:val="en-US" w:eastAsia="zh-CN"/>
                <w14:textFill>
                  <w14:solidFill>
                    <w14:schemeClr w14:val="tx1"/>
                  </w14:solidFill>
                </w14:textFill>
              </w:rPr>
              <w:t>（TA00</w:t>
            </w:r>
            <w:r>
              <w:rPr>
                <w:rFonts w:hint="eastAsia" w:ascii="Times New Roman" w:hAnsi="Times New Roman" w:eastAsia="宋体" w:cs="Times New Roman"/>
                <w:color w:val="000000" w:themeColor="text1"/>
                <w:sz w:val="24"/>
                <w:szCs w:val="24"/>
                <w:highlight w:val="none"/>
                <w:u w:val="none" w:color="auto"/>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24"/>
                <w:highlight w:val="none"/>
                <w:u w:val="none" w:color="auto"/>
                <w:lang w:val="en-US" w:eastAsia="zh-CN"/>
                <w14:textFill>
                  <w14:solidFill>
                    <w14:schemeClr w14:val="tx1"/>
                  </w14:solidFill>
                </w14:textFill>
              </w:rPr>
              <w:t>）处理达标后经1根15m高排气筒DA00</w:t>
            </w:r>
            <w:r>
              <w:rPr>
                <w:rFonts w:hint="eastAsia" w:ascii="Times New Roman" w:hAnsi="Times New Roman" w:eastAsia="宋体" w:cs="Times New Roman"/>
                <w:color w:val="000000" w:themeColor="text1"/>
                <w:sz w:val="24"/>
                <w:szCs w:val="24"/>
                <w:highlight w:val="none"/>
                <w:u w:val="none" w:color="auto"/>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24"/>
                <w:highlight w:val="none"/>
                <w:u w:val="none" w:color="auto"/>
                <w:lang w:val="en-US" w:eastAsia="zh-CN"/>
                <w14:textFill>
                  <w14:solidFill>
                    <w14:schemeClr w14:val="tx1"/>
                  </w14:solidFill>
                </w14:textFill>
              </w:rPr>
              <w:t>引至高空排放</w:t>
            </w:r>
            <w:r>
              <w:rPr>
                <w:rFonts w:hint="default" w:ascii="Times New Roman" w:hAnsi="Times New Roman" w:eastAsia="宋体" w:cs="Times New Roman"/>
                <w:bCs/>
                <w:color w:val="000000" w:themeColor="text1"/>
                <w:kern w:val="0"/>
                <w:sz w:val="24"/>
                <w:szCs w:val="24"/>
                <w:highlight w:val="none"/>
                <w:u w:val="none" w:color="auto"/>
                <w:lang w:val="en-US" w:eastAsia="zh-CN"/>
                <w14:textFill>
                  <w14:solidFill>
                    <w14:schemeClr w14:val="tx1"/>
                  </w14:solidFill>
                </w14:textFill>
              </w:rPr>
              <w:t>，</w:t>
            </w:r>
            <w:r>
              <w:rPr>
                <w:rFonts w:hint="default"/>
                <w:bCs/>
                <w:color w:val="000000" w:themeColor="text1"/>
                <w:sz w:val="24"/>
                <w:szCs w:val="24"/>
                <w:u w:val="none" w:color="auto"/>
                <w:lang w:bidi="en-US"/>
                <w14:textFill>
                  <w14:solidFill>
                    <w14:schemeClr w14:val="tx1"/>
                  </w14:solidFill>
                </w14:textFill>
              </w:rPr>
              <w:t>处理后排放量为</w:t>
            </w:r>
            <w:r>
              <w:rPr>
                <w:rFonts w:hint="eastAsia"/>
                <w:bCs/>
                <w:color w:val="000000" w:themeColor="text1"/>
                <w:sz w:val="24"/>
                <w:szCs w:val="24"/>
                <w:u w:val="none" w:color="auto"/>
                <w:lang w:bidi="en-US"/>
                <w14:textFill>
                  <w14:solidFill>
                    <w14:schemeClr w14:val="tx1"/>
                  </w14:solidFill>
                </w14:textFill>
              </w:rPr>
              <w:t>0.</w:t>
            </w:r>
            <w:r>
              <w:rPr>
                <w:rFonts w:hint="eastAsia"/>
                <w:bCs/>
                <w:color w:val="000000" w:themeColor="text1"/>
                <w:sz w:val="24"/>
                <w:szCs w:val="24"/>
                <w:u w:val="none" w:color="auto"/>
                <w:lang w:val="en-US" w:eastAsia="zh-CN" w:bidi="en-US"/>
                <w14:textFill>
                  <w14:solidFill>
                    <w14:schemeClr w14:val="tx1"/>
                  </w14:solidFill>
                </w14:textFill>
              </w:rPr>
              <w:t>004</w:t>
            </w:r>
            <w:r>
              <w:rPr>
                <w:rFonts w:hint="default"/>
                <w:bCs/>
                <w:color w:val="000000" w:themeColor="text1"/>
                <w:sz w:val="24"/>
                <w:szCs w:val="24"/>
                <w:u w:val="none" w:color="auto"/>
                <w:lang w:bidi="en-US"/>
                <w14:textFill>
                  <w14:solidFill>
                    <w14:schemeClr w14:val="tx1"/>
                  </w14:solidFill>
                </w14:textFill>
              </w:rPr>
              <w:t>t/a，</w:t>
            </w:r>
            <w:r>
              <w:rPr>
                <w:rFonts w:hint="eastAsia"/>
                <w:bCs/>
                <w:color w:val="000000" w:themeColor="text1"/>
                <w:sz w:val="24"/>
                <w:szCs w:val="24"/>
                <w:u w:val="none" w:color="auto"/>
                <w:lang w:bidi="en-US"/>
                <w14:textFill>
                  <w14:solidFill>
                    <w14:schemeClr w14:val="tx1"/>
                  </w14:solidFill>
                </w14:textFill>
              </w:rPr>
              <w:t>0.</w:t>
            </w:r>
            <w:r>
              <w:rPr>
                <w:rFonts w:hint="eastAsia"/>
                <w:bCs/>
                <w:color w:val="000000" w:themeColor="text1"/>
                <w:sz w:val="24"/>
                <w:szCs w:val="24"/>
                <w:u w:val="none" w:color="auto"/>
                <w:lang w:val="en-US" w:eastAsia="zh-CN" w:bidi="en-US"/>
                <w14:textFill>
                  <w14:solidFill>
                    <w14:schemeClr w14:val="tx1"/>
                  </w14:solidFill>
                </w14:textFill>
              </w:rPr>
              <w:t>001</w:t>
            </w:r>
            <w:r>
              <w:rPr>
                <w:rFonts w:hint="default"/>
                <w:bCs/>
                <w:color w:val="000000" w:themeColor="text1"/>
                <w:sz w:val="24"/>
                <w:szCs w:val="24"/>
                <w:u w:val="none" w:color="auto"/>
                <w:lang w:bidi="en-US"/>
                <w14:textFill>
                  <w14:solidFill>
                    <w14:schemeClr w14:val="tx1"/>
                  </w14:solidFill>
                </w14:textFill>
              </w:rPr>
              <w:t>kg/h，排放浓度为</w:t>
            </w:r>
            <w:r>
              <w:rPr>
                <w:rFonts w:hint="eastAsia"/>
                <w:bCs/>
                <w:color w:val="000000" w:themeColor="text1"/>
                <w:sz w:val="24"/>
                <w:szCs w:val="24"/>
                <w:u w:val="none" w:color="auto"/>
                <w:lang w:val="en-US" w:eastAsia="zh-CN" w:bidi="en-US"/>
                <w14:textFill>
                  <w14:solidFill>
                    <w14:schemeClr w14:val="tx1"/>
                  </w14:solidFill>
                </w14:textFill>
              </w:rPr>
              <w:t>1.149</w:t>
            </w:r>
            <w:r>
              <w:rPr>
                <w:rFonts w:hint="default"/>
                <w:bCs/>
                <w:color w:val="000000" w:themeColor="text1"/>
                <w:sz w:val="24"/>
                <w:szCs w:val="24"/>
                <w:u w:val="none" w:color="auto"/>
                <w:lang w:bidi="en-US"/>
                <w14:textFill>
                  <w14:solidFill>
                    <w14:schemeClr w14:val="tx1"/>
                  </w14:solidFill>
                </w14:textFill>
              </w:rPr>
              <w:t>mg/m</w:t>
            </w:r>
            <w:r>
              <w:rPr>
                <w:rFonts w:hint="default"/>
                <w:bCs/>
                <w:color w:val="000000" w:themeColor="text1"/>
                <w:sz w:val="24"/>
                <w:szCs w:val="24"/>
                <w:u w:val="none" w:color="auto"/>
                <w:vertAlign w:val="superscript"/>
                <w:lang w:bidi="en-US"/>
                <w14:textFill>
                  <w14:solidFill>
                    <w14:schemeClr w14:val="tx1"/>
                  </w14:solidFill>
                </w14:textFill>
              </w:rPr>
              <w:t>3</w:t>
            </w:r>
            <w:r>
              <w:rPr>
                <w:rFonts w:hint="eastAsia"/>
                <w:bCs/>
                <w:color w:val="000000" w:themeColor="text1"/>
                <w:sz w:val="24"/>
                <w:szCs w:val="24"/>
                <w:u w:val="none" w:color="auto"/>
                <w:lang w:eastAsia="zh-CN" w:bidi="en-US"/>
                <w14:textFill>
                  <w14:solidFill>
                    <w14:schemeClr w14:val="tx1"/>
                  </w14:solidFill>
                </w14:textFill>
              </w:rPr>
              <w:t>。</w:t>
            </w:r>
            <w:r>
              <w:rPr>
                <w:rFonts w:hint="default"/>
                <w:bCs/>
                <w:color w:val="000000" w:themeColor="text1"/>
                <w:sz w:val="24"/>
                <w:szCs w:val="24"/>
                <w:u w:val="none" w:color="auto"/>
                <w:lang w:bidi="en-US"/>
                <w14:textFill>
                  <w14:solidFill>
                    <w14:schemeClr w14:val="tx1"/>
                  </w14:solidFill>
                </w14:textFill>
              </w:rPr>
              <w:t>满足</w:t>
            </w:r>
            <w:r>
              <w:rPr>
                <w:rFonts w:hint="eastAsia"/>
                <w:color w:val="000000" w:themeColor="text1"/>
                <w:sz w:val="24"/>
                <w:szCs w:val="24"/>
                <w:u w:val="none" w:color="auto"/>
                <w14:textFill>
                  <w14:solidFill>
                    <w14:schemeClr w14:val="tx1"/>
                  </w14:solidFill>
                </w14:textFill>
              </w:rPr>
              <w:t>《大气污染物综合排放标准》（GB16297-1996）中</w:t>
            </w:r>
            <w:r>
              <w:rPr>
                <w:rFonts w:hint="eastAsia"/>
                <w:color w:val="000000" w:themeColor="text1"/>
                <w:sz w:val="24"/>
                <w:szCs w:val="24"/>
                <w:u w:val="none" w:color="auto"/>
                <w:lang w:val="en-US" w:eastAsia="zh-CN"/>
                <w14:textFill>
                  <w14:solidFill>
                    <w14:schemeClr w14:val="tx1"/>
                  </w14:solidFill>
                </w14:textFill>
              </w:rPr>
              <w:t>表2</w:t>
            </w:r>
            <w:r>
              <w:rPr>
                <w:rFonts w:hint="eastAsia"/>
                <w:color w:val="000000" w:themeColor="text1"/>
                <w:sz w:val="24"/>
                <w:szCs w:val="24"/>
                <w:u w:val="none" w:color="auto"/>
                <w14:textFill>
                  <w14:solidFill>
                    <w14:schemeClr w14:val="tx1"/>
                  </w14:solidFill>
                </w14:textFill>
              </w:rPr>
              <w:t>二级标准</w:t>
            </w:r>
            <w:r>
              <w:rPr>
                <w:rFonts w:hint="eastAsia"/>
                <w:color w:val="000000" w:themeColor="text1"/>
                <w:sz w:val="24"/>
                <w:szCs w:val="24"/>
                <w:u w:val="none" w:color="auto"/>
                <w:lang w:eastAsia="zh-CN"/>
                <w14:textFill>
                  <w14:solidFill>
                    <w14:schemeClr w14:val="tx1"/>
                  </w14:solidFill>
                </w14:textFill>
              </w:rPr>
              <w:t>（</w:t>
            </w:r>
            <w:r>
              <w:rPr>
                <w:rFonts w:hint="eastAsia"/>
                <w:color w:val="000000" w:themeColor="text1"/>
                <w:sz w:val="24"/>
                <w:szCs w:val="24"/>
                <w:u w:val="none" w:color="auto"/>
                <w:lang w:val="en-US" w:eastAsia="zh-CN"/>
                <w14:textFill>
                  <w14:solidFill>
                    <w14:schemeClr w14:val="tx1"/>
                  </w14:solidFill>
                </w14:textFill>
              </w:rPr>
              <w:t>颗粒物最大允许排放浓度120</w:t>
            </w:r>
            <w:r>
              <w:rPr>
                <w:rFonts w:hint="default"/>
                <w:bCs/>
                <w:color w:val="000000" w:themeColor="text1"/>
                <w:sz w:val="24"/>
                <w:szCs w:val="24"/>
                <w:u w:val="none" w:color="auto"/>
                <w:lang w:bidi="en-US"/>
                <w14:textFill>
                  <w14:solidFill>
                    <w14:schemeClr w14:val="tx1"/>
                  </w14:solidFill>
                </w14:textFill>
              </w:rPr>
              <w:t>mg/m</w:t>
            </w:r>
            <w:r>
              <w:rPr>
                <w:rFonts w:hint="default"/>
                <w:bCs/>
                <w:color w:val="000000" w:themeColor="text1"/>
                <w:sz w:val="24"/>
                <w:szCs w:val="24"/>
                <w:u w:val="none" w:color="auto"/>
                <w:vertAlign w:val="superscript"/>
                <w:lang w:bidi="en-US"/>
                <w14:textFill>
                  <w14:solidFill>
                    <w14:schemeClr w14:val="tx1"/>
                  </w14:solidFill>
                </w14:textFill>
              </w:rPr>
              <w:t>3</w:t>
            </w:r>
            <w:r>
              <w:rPr>
                <w:rFonts w:hint="eastAsia"/>
                <w:bCs/>
                <w:color w:val="000000" w:themeColor="text1"/>
                <w:sz w:val="24"/>
                <w:szCs w:val="24"/>
                <w:u w:val="none" w:color="auto"/>
                <w:lang w:eastAsia="zh-CN" w:bidi="en-US"/>
                <w14:textFill>
                  <w14:solidFill>
                    <w14:schemeClr w14:val="tx1"/>
                  </w14:solidFill>
                </w14:textFill>
              </w:rPr>
              <w:t>，</w:t>
            </w:r>
            <w:r>
              <w:rPr>
                <w:rFonts w:hint="eastAsia"/>
                <w:bCs/>
                <w:color w:val="000000" w:themeColor="text1"/>
                <w:sz w:val="24"/>
                <w:szCs w:val="24"/>
                <w:u w:val="none" w:color="auto"/>
                <w:lang w:val="en-US" w:eastAsia="zh-CN" w:bidi="en-US"/>
                <w14:textFill>
                  <w14:solidFill>
                    <w14:schemeClr w14:val="tx1"/>
                  </w14:solidFill>
                </w14:textFill>
              </w:rPr>
              <w:t>最大允许排放速率3.5kg/h</w:t>
            </w:r>
            <w:r>
              <w:rPr>
                <w:rFonts w:hint="eastAsia"/>
                <w:color w:val="000000" w:themeColor="text1"/>
                <w:sz w:val="24"/>
                <w:szCs w:val="24"/>
                <w:u w:val="none" w:color="auto"/>
                <w:lang w:eastAsia="zh-CN"/>
                <w14:textFill>
                  <w14:solidFill>
                    <w14:schemeClr w14:val="tx1"/>
                  </w14:solidFill>
                </w14:textFill>
              </w:rPr>
              <w:t>）</w:t>
            </w:r>
            <w:r>
              <w:rPr>
                <w:rFonts w:hint="eastAsia"/>
                <w:color w:val="000000" w:themeColor="text1"/>
                <w:sz w:val="24"/>
                <w:szCs w:val="24"/>
                <w:u w:val="none" w:color="auto"/>
                <w:lang w:val="en-US" w:eastAsia="zh-CN"/>
                <w14:textFill>
                  <w14:solidFill>
                    <w14:schemeClr w14:val="tx1"/>
                  </w14:solidFill>
                </w14:textFill>
              </w:rPr>
              <w:t>以及</w:t>
            </w:r>
            <w:r>
              <w:rPr>
                <w:rFonts w:hint="default" w:ascii="Times New Roman"/>
                <w:b w:val="0"/>
                <w:bCs w:val="0"/>
                <w:color w:val="000000" w:themeColor="text1"/>
                <w:sz w:val="24"/>
                <w:szCs w:val="24"/>
                <w:u w:val="none" w:color="auto"/>
                <w14:textFill>
                  <w14:solidFill>
                    <w14:schemeClr w14:val="tx1"/>
                  </w14:solidFill>
                </w14:textFill>
              </w:rPr>
              <w:t>《河南省重污染天气通用行业应急减排措施制定技术指南（202</w:t>
            </w:r>
            <w:r>
              <w:rPr>
                <w:rFonts w:hint="eastAsia" w:ascii="Times New Roman"/>
                <w:b w:val="0"/>
                <w:bCs w:val="0"/>
                <w:color w:val="000000" w:themeColor="text1"/>
                <w:sz w:val="24"/>
                <w:szCs w:val="24"/>
                <w:u w:val="none" w:color="auto"/>
                <w:lang w:val="en-US" w:eastAsia="zh-CN"/>
                <w14:textFill>
                  <w14:solidFill>
                    <w14:schemeClr w14:val="tx1"/>
                  </w14:solidFill>
                </w14:textFill>
              </w:rPr>
              <w:t>4</w:t>
            </w:r>
            <w:r>
              <w:rPr>
                <w:rFonts w:hint="default" w:ascii="Times New Roman"/>
                <w:b w:val="0"/>
                <w:bCs w:val="0"/>
                <w:color w:val="000000" w:themeColor="text1"/>
                <w:sz w:val="24"/>
                <w:szCs w:val="24"/>
                <w:u w:val="none" w:color="auto"/>
                <w14:textFill>
                  <w14:solidFill>
                    <w14:schemeClr w14:val="tx1"/>
                  </w14:solidFill>
                </w14:textFill>
              </w:rPr>
              <w:t>年修订版)》</w:t>
            </w:r>
            <w:r>
              <w:rPr>
                <w:rFonts w:hint="eastAsia"/>
                <w:b w:val="0"/>
                <w:bCs w:val="0"/>
                <w:color w:val="000000" w:themeColor="text1"/>
                <w:sz w:val="24"/>
                <w:szCs w:val="24"/>
                <w:u w:val="none" w:color="auto"/>
                <w:lang w:val="en-US" w:eastAsia="zh-CN"/>
                <w14:textFill>
                  <w14:solidFill>
                    <w14:schemeClr w14:val="tx1"/>
                  </w14:solidFill>
                </w14:textFill>
              </w:rPr>
              <w:t>中通用</w:t>
            </w:r>
            <w:r>
              <w:rPr>
                <w:rFonts w:hint="default"/>
                <w:b w:val="0"/>
                <w:bCs w:val="0"/>
                <w:color w:val="000000" w:themeColor="text1"/>
                <w:sz w:val="24"/>
                <w:szCs w:val="24"/>
                <w:u w:val="none" w:color="auto"/>
                <w14:textFill>
                  <w14:solidFill>
                    <w14:schemeClr w14:val="tx1"/>
                  </w14:solidFill>
                </w14:textFill>
              </w:rPr>
              <w:t>涉</w:t>
            </w:r>
            <w:r>
              <w:rPr>
                <w:rFonts w:hint="eastAsia"/>
                <w:b w:val="0"/>
                <w:bCs w:val="0"/>
                <w:color w:val="000000" w:themeColor="text1"/>
                <w:sz w:val="24"/>
                <w:szCs w:val="24"/>
                <w:u w:val="none" w:color="auto"/>
                <w:lang w:val="en-US" w:eastAsia="zh-CN"/>
                <w14:textFill>
                  <w14:solidFill>
                    <w14:schemeClr w14:val="tx1"/>
                  </w14:solidFill>
                </w14:textFill>
              </w:rPr>
              <w:t>PM</w:t>
            </w:r>
            <w:r>
              <w:rPr>
                <w:rFonts w:hint="default"/>
                <w:b w:val="0"/>
                <w:bCs w:val="0"/>
                <w:color w:val="000000" w:themeColor="text1"/>
                <w:sz w:val="24"/>
                <w:szCs w:val="24"/>
                <w:u w:val="none" w:color="auto"/>
                <w14:textFill>
                  <w14:solidFill>
                    <w14:schemeClr w14:val="tx1"/>
                  </w14:solidFill>
                </w14:textFill>
              </w:rPr>
              <w:t>企业</w:t>
            </w:r>
            <w:r>
              <w:rPr>
                <w:rFonts w:hint="eastAsia"/>
                <w:b w:val="0"/>
                <w:bCs w:val="0"/>
                <w:color w:val="000000" w:themeColor="text1"/>
                <w:sz w:val="24"/>
                <w:szCs w:val="24"/>
                <w:u w:val="none" w:color="auto"/>
                <w:lang w:val="en-US" w:eastAsia="zh-CN"/>
                <w14:textFill>
                  <w14:solidFill>
                    <w14:schemeClr w14:val="tx1"/>
                  </w14:solidFill>
                </w14:textFill>
              </w:rPr>
              <w:t>“PM排放限值不高于10mg/m</w:t>
            </w:r>
            <w:r>
              <w:rPr>
                <w:rFonts w:hint="eastAsia"/>
                <w:b w:val="0"/>
                <w:bCs w:val="0"/>
                <w:color w:val="000000" w:themeColor="text1"/>
                <w:sz w:val="24"/>
                <w:szCs w:val="24"/>
                <w:u w:val="none" w:color="auto"/>
                <w:vertAlign w:val="superscript"/>
                <w:lang w:val="en-US" w:eastAsia="zh-CN"/>
                <w14:textFill>
                  <w14:solidFill>
                    <w14:schemeClr w14:val="tx1"/>
                  </w14:solidFill>
                </w14:textFill>
              </w:rPr>
              <w:t>3</w:t>
            </w:r>
            <w:r>
              <w:rPr>
                <w:rFonts w:hint="eastAsia"/>
                <w:b w:val="0"/>
                <w:bCs w:val="0"/>
                <w:color w:val="000000" w:themeColor="text1"/>
                <w:sz w:val="24"/>
                <w:szCs w:val="24"/>
                <w:u w:val="none" w:color="auto"/>
                <w:lang w:val="en-US" w:eastAsia="zh-CN"/>
                <w14:textFill>
                  <w14:solidFill>
                    <w14:schemeClr w14:val="tx1"/>
                  </w14:solidFill>
                </w14:textFill>
              </w:rPr>
              <w:t>”</w:t>
            </w:r>
            <w:r>
              <w:rPr>
                <w:rFonts w:hint="default" w:ascii="Times New Roman" w:hAnsi="Times New Roman" w:eastAsia="宋体" w:cs="Times New Roman"/>
                <w:bCs/>
                <w:color w:val="000000" w:themeColor="text1"/>
                <w:kern w:val="0"/>
                <w:sz w:val="24"/>
                <w:szCs w:val="24"/>
                <w:highlight w:val="none"/>
                <w:u w:val="none" w:color="auto"/>
                <w14:textFill>
                  <w14:solidFill>
                    <w14:schemeClr w14:val="tx1"/>
                  </w14:solidFill>
                </w14:textFill>
              </w:rPr>
              <w:t>排放限值要求，废气处理措施可行。</w:t>
            </w:r>
          </w:p>
          <w:p w14:paraId="408C5E8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pPr>
            <w:r>
              <w:rPr>
                <w:rFonts w:hint="eastAsia" w:ascii="Times New Roman" w:hAnsi="Times New Roman" w:eastAsia="宋体" w:cs="Times New Roman"/>
                <w:color w:val="000000" w:themeColor="text1"/>
                <w:sz w:val="24"/>
                <w:szCs w:val="24"/>
                <w:highlight w:val="none"/>
                <w:u w:val="none" w:color="auto"/>
                <w:lang w:val="en-US" w:eastAsia="zh-CN"/>
                <w14:textFill>
                  <w14:solidFill>
                    <w14:schemeClr w14:val="tx1"/>
                  </w14:solidFill>
                </w14:textFill>
              </w:rPr>
              <w:t>1</w:t>
            </w:r>
            <w:r>
              <w:rPr>
                <w:rFonts w:hint="default" w:ascii="Times New Roman" w:hAnsi="Times New Roman" w:eastAsia="宋体" w:cs="Times New Roman"/>
                <w:color w:val="000000" w:themeColor="text1"/>
                <w:sz w:val="24"/>
                <w:szCs w:val="24"/>
                <w:highlight w:val="none"/>
                <w:u w:val="none" w:color="auto"/>
                <w:lang w:val="en-US" w:eastAsia="zh-CN"/>
                <w14:textFill>
                  <w14:solidFill>
                    <w14:schemeClr w14:val="tx1"/>
                  </w14:solidFill>
                </w14:textFill>
              </w:rPr>
              <w:t>.7.2</w:t>
            </w: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无组织粉尘治理措施分析</w:t>
            </w:r>
          </w:p>
          <w:p w14:paraId="095BCBA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pP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企业生产过程中应做到“生产过程收尘到位，物料运输抑尘到位，厂区道路除尘到位，裸露土地绿化到位，无组织排放监控到位。”“企业生产车间和物料堆场实施全密闭”，全面实现“一密闭、五到位”。无组织粉尘防治措施具体如下：</w:t>
            </w:r>
          </w:p>
          <w:p w14:paraId="53018402">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pP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①</w:t>
            </w:r>
            <w:r>
              <w:rPr>
                <w:rFonts w:hint="eastAsia" w:cs="Times New Roman"/>
                <w:color w:val="000000" w:themeColor="text1"/>
                <w:sz w:val="24"/>
                <w:szCs w:val="24"/>
                <w:highlight w:val="none"/>
                <w:u w:val="none" w:color="auto"/>
                <w:lang w:val="en-US" w:eastAsia="zh-CN"/>
                <w14:textFill>
                  <w14:solidFill>
                    <w14:schemeClr w14:val="tx1"/>
                  </w14:solidFill>
                </w14:textFill>
              </w:rPr>
              <w:t>散装容易起尘</w:t>
            </w: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原料运输车辆要封闭遮盖，原料装卸在封闭车间内进行；</w:t>
            </w:r>
          </w:p>
          <w:p w14:paraId="38BB48CE">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pP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②各生产工序均在封闭</w:t>
            </w:r>
            <w:r>
              <w:rPr>
                <w:rFonts w:hint="eastAsia" w:cs="Times New Roman"/>
                <w:color w:val="000000" w:themeColor="text1"/>
                <w:sz w:val="24"/>
                <w:szCs w:val="24"/>
                <w:highlight w:val="none"/>
                <w:u w:val="none" w:color="auto"/>
                <w:lang w:val="en-US" w:eastAsia="zh-CN"/>
                <w14:textFill>
                  <w14:solidFill>
                    <w14:schemeClr w14:val="tx1"/>
                  </w14:solidFill>
                </w14:textFill>
              </w:rPr>
              <w:t>厂房</w:t>
            </w: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内进行；</w:t>
            </w:r>
            <w:r>
              <w:rPr>
                <w:rFonts w:hint="eastAsia" w:cs="Times New Roman"/>
                <w:color w:val="000000" w:themeColor="text1"/>
                <w:sz w:val="24"/>
                <w:szCs w:val="24"/>
                <w:highlight w:val="none"/>
                <w:u w:val="none" w:color="auto"/>
                <w:lang w:val="en-US" w:eastAsia="zh-CN"/>
                <w14:textFill>
                  <w14:solidFill>
                    <w14:schemeClr w14:val="tx1"/>
                  </w14:solidFill>
                </w14:textFill>
              </w:rPr>
              <w:t>散装容易起尘</w:t>
            </w: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 xml:space="preserve">原料物料输送用皮带输送机设置密闭输送廊道，可有效减少无组织粉尘排放； </w:t>
            </w:r>
          </w:p>
          <w:p w14:paraId="3038A3AC">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pP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③及时对厂区地面及道路进行洒水降尘清扫，厂区运输道路出现裂纹、浅坑时，应及时进行修补，避免灰尘积存造成扬尘。</w:t>
            </w:r>
          </w:p>
          <w:p w14:paraId="1D3F6BEB">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pP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经采取上述措施后，项目生产过程无组织排放粉尘可得到有效去除，预计对周围大气环境影响较小。</w:t>
            </w:r>
          </w:p>
          <w:p w14:paraId="6A17E330">
            <w:pPr>
              <w:pStyle w:val="8"/>
              <w:keepNext w:val="0"/>
              <w:keepLines w:val="0"/>
              <w:pageBreakBefore w:val="0"/>
              <w:kinsoku/>
              <w:wordWrap/>
              <w:overflowPunct/>
              <w:topLinePunct w:val="0"/>
              <w:autoSpaceDE/>
              <w:autoSpaceDN/>
              <w:bidi w:val="0"/>
              <w:adjustRightInd w:val="0"/>
              <w:snapToGrid w:val="0"/>
              <w:spacing w:before="0" w:beforeAutospacing="0" w:after="0" w:line="360" w:lineRule="auto"/>
              <w:ind w:left="0" w:leftChars="0" w:right="0" w:firstLine="480" w:firstLineChars="200"/>
              <w:jc w:val="both"/>
              <w:textAlignment w:val="auto"/>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pPr>
            <w:r>
              <w:rPr>
                <w:rFonts w:hint="default" w:ascii="Times New Roman" w:hAnsi="Times New Roman" w:eastAsia="宋体" w:cs="Times New Roman"/>
                <w:color w:val="000000" w:themeColor="text1"/>
                <w:sz w:val="24"/>
                <w:szCs w:val="24"/>
                <w:highlight w:val="none"/>
                <w:u w:val="none" w:color="auto"/>
                <w:lang w:val="en-US" w:eastAsia="zh-CN"/>
                <w14:textFill>
                  <w14:solidFill>
                    <w14:schemeClr w14:val="tx1"/>
                  </w14:solidFill>
                </w14:textFill>
              </w:rPr>
              <w:t>2.8</w:t>
            </w: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环境影响分析</w:t>
            </w:r>
          </w:p>
          <w:p w14:paraId="7B5BFC28">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pP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综上所述，项目采取本环评提出的大气污染防治措施后，营运期废气均能实现达标排放，对周围大气环境影响较小。但应注意非正常工况情况，采取必要措施，最大程度上减少污染物排放。</w:t>
            </w:r>
          </w:p>
          <w:p w14:paraId="1C48F74B">
            <w:pPr>
              <w:keepNext w:val="0"/>
              <w:keepLines w:val="0"/>
              <w:pageBreakBefore w:val="0"/>
              <w:widowControl w:val="0"/>
              <w:suppressLineNumbers w:val="0"/>
              <w:tabs>
                <w:tab w:val="left" w:pos="1081"/>
              </w:tabs>
              <w:kinsoku/>
              <w:wordWrap/>
              <w:overflowPunct/>
              <w:topLinePunct w:val="0"/>
              <w:autoSpaceDE/>
              <w:autoSpaceDN/>
              <w:bidi w:val="0"/>
              <w:adjustRightInd w:val="0"/>
              <w:snapToGrid w:val="0"/>
              <w:spacing w:before="0" w:beforeAutospacing="0" w:after="0" w:afterAutospacing="0" w:line="360" w:lineRule="auto"/>
              <w:ind w:left="0" w:leftChars="0" w:right="0" w:firstLine="482" w:firstLineChars="200"/>
              <w:jc w:val="both"/>
              <w:textAlignment w:val="auto"/>
              <w:outlineLvl w:val="9"/>
              <w:rPr>
                <w:rFonts w:hint="default" w:ascii="Times New Roman" w:hAnsi="Times New Roman" w:eastAsia="宋体" w:cs="Times New Roman"/>
                <w:b/>
                <w:color w:val="000000" w:themeColor="text1"/>
                <w:sz w:val="24"/>
                <w:szCs w:val="24"/>
                <w:highlight w:val="none"/>
                <w:u w:val="none" w:color="auto"/>
                <w14:textFill>
                  <w14:solidFill>
                    <w14:schemeClr w14:val="tx1"/>
                  </w14:solidFill>
                </w14:textFill>
              </w:rPr>
            </w:pPr>
            <w:r>
              <w:rPr>
                <w:rFonts w:hint="eastAsia" w:ascii="Times New Roman" w:hAnsi="Times New Roman" w:eastAsia="宋体" w:cs="Times New Roman"/>
                <w:b/>
                <w:color w:val="000000" w:themeColor="text1"/>
                <w:sz w:val="24"/>
                <w:szCs w:val="24"/>
                <w:highlight w:val="none"/>
                <w:u w:val="none" w:color="auto"/>
                <w:lang w:val="en-US" w:eastAsia="zh-CN"/>
                <w14:textFill>
                  <w14:solidFill>
                    <w14:schemeClr w14:val="tx1"/>
                  </w14:solidFill>
                </w14:textFill>
              </w:rPr>
              <w:t>2</w:t>
            </w:r>
            <w:r>
              <w:rPr>
                <w:rFonts w:hint="default" w:ascii="Times New Roman" w:hAnsi="Times New Roman" w:eastAsia="宋体" w:cs="Times New Roman"/>
                <w:b/>
                <w:color w:val="000000" w:themeColor="text1"/>
                <w:sz w:val="24"/>
                <w:szCs w:val="24"/>
                <w:highlight w:val="none"/>
                <w:u w:val="none" w:color="auto"/>
                <w14:textFill>
                  <w14:solidFill>
                    <w14:schemeClr w14:val="tx1"/>
                  </w14:solidFill>
                </w14:textFill>
              </w:rPr>
              <w:t>、废水</w:t>
            </w:r>
          </w:p>
          <w:p w14:paraId="171B1F2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jc w:val="both"/>
              <w:textAlignment w:val="auto"/>
              <w:outlineLvl w:val="9"/>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pPr>
            <w:r>
              <w:rPr>
                <w:rFonts w:hint="eastAsia" w:ascii="Times New Roman" w:hAnsi="Times New Roman" w:eastAsia="宋体" w:cs="Times New Roman"/>
                <w:color w:val="000000" w:themeColor="text1"/>
                <w:sz w:val="24"/>
                <w:szCs w:val="24"/>
                <w:highlight w:val="none"/>
                <w:u w:val="none" w:color="auto"/>
                <w:lang w:val="en-US" w:eastAsia="zh-CN"/>
                <w14:textFill>
                  <w14:solidFill>
                    <w14:schemeClr w14:val="tx1"/>
                  </w14:solidFill>
                </w14:textFill>
              </w:rPr>
              <w:t>2</w:t>
            </w: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.1废水源强分析</w:t>
            </w:r>
          </w:p>
          <w:p w14:paraId="481B2BF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jc w:val="both"/>
              <w:textAlignment w:val="auto"/>
              <w:outlineLvl w:val="9"/>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pPr>
            <w:r>
              <w:rPr>
                <w:rFonts w:hint="default" w:ascii="Times New Roman" w:hAnsi="Times New Roman" w:eastAsia="宋体" w:cs="Times New Roman"/>
                <w:color w:val="000000" w:themeColor="text1"/>
                <w:sz w:val="24"/>
                <w:szCs w:val="24"/>
                <w:highlight w:val="none"/>
                <w:u w:val="none" w:color="auto"/>
                <w:lang w:val="en-US" w:eastAsia="zh-CN"/>
                <w14:textFill>
                  <w14:solidFill>
                    <w14:schemeClr w14:val="tx1"/>
                  </w14:solidFill>
                </w14:textFill>
              </w:rPr>
              <w:t>本项目营运期废水主要为职工生活污水</w:t>
            </w: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w:t>
            </w:r>
          </w:p>
          <w:p w14:paraId="5589D50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left"/>
              <w:textAlignment w:val="auto"/>
              <w:outlineLvl w:val="9"/>
              <w:rPr>
                <w:rFonts w:hint="default" w:ascii="Times New Roman" w:hAnsi="Times New Roman" w:eastAsia="宋体" w:cs="Times New Roman"/>
                <w:b w:val="0"/>
                <w:bCs/>
                <w:color w:val="000000" w:themeColor="text1"/>
                <w:sz w:val="24"/>
                <w:szCs w:val="24"/>
                <w:highlight w:val="none"/>
                <w:u w:val="none" w:color="auto"/>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u w:val="none" w:color="auto"/>
                <w14:textFill>
                  <w14:solidFill>
                    <w14:schemeClr w14:val="tx1"/>
                  </w14:solidFill>
                </w14:textFill>
              </w:rPr>
              <w:t>本项目职工</w:t>
            </w:r>
            <w:r>
              <w:rPr>
                <w:rFonts w:hint="eastAsia" w:cs="Times New Roman"/>
                <w:b w:val="0"/>
                <w:bCs/>
                <w:color w:val="000000" w:themeColor="text1"/>
                <w:sz w:val="24"/>
                <w:szCs w:val="24"/>
                <w:highlight w:val="none"/>
                <w:u w:val="none" w:color="auto"/>
                <w:lang w:val="en-US" w:eastAsia="zh-CN"/>
                <w14:textFill>
                  <w14:solidFill>
                    <w14:schemeClr w14:val="tx1"/>
                  </w14:solidFill>
                </w14:textFill>
              </w:rPr>
              <w:t>20</w:t>
            </w:r>
            <w:r>
              <w:rPr>
                <w:rFonts w:hint="default" w:ascii="Times New Roman" w:hAnsi="Times New Roman" w:eastAsia="宋体" w:cs="Times New Roman"/>
                <w:b w:val="0"/>
                <w:bCs/>
                <w:color w:val="000000" w:themeColor="text1"/>
                <w:sz w:val="24"/>
                <w:szCs w:val="24"/>
                <w:highlight w:val="none"/>
                <w:u w:val="none" w:color="auto"/>
                <w14:textFill>
                  <w14:solidFill>
                    <w14:schemeClr w14:val="tx1"/>
                  </w14:solidFill>
                </w14:textFill>
              </w:rPr>
              <w:t>人，均为附近居民，不在厂区食宿，参照《河南省地方标准-工业与城镇生活用水定额》（DB41/T385-2014），生活用水量按照50L/人·d计。则本项目生活用水量约为</w:t>
            </w:r>
            <w:r>
              <w:rPr>
                <w:rFonts w:hint="eastAsia" w:ascii="Times New Roman" w:hAnsi="Times New Roman" w:eastAsia="宋体" w:cs="Times New Roman"/>
                <w:b w:val="0"/>
                <w:bCs/>
                <w:color w:val="000000" w:themeColor="text1"/>
                <w:sz w:val="24"/>
                <w:szCs w:val="24"/>
                <w:highlight w:val="none"/>
                <w:u w:val="none" w:color="auto"/>
                <w:lang w:val="en-US" w:eastAsia="zh-CN"/>
                <w14:textFill>
                  <w14:solidFill>
                    <w14:schemeClr w14:val="tx1"/>
                  </w14:solidFill>
                </w14:textFill>
              </w:rPr>
              <w:t>1.0</w:t>
            </w:r>
            <w:r>
              <w:rPr>
                <w:rFonts w:hint="default" w:ascii="Times New Roman" w:hAnsi="Times New Roman" w:eastAsia="宋体" w:cs="Times New Roman"/>
                <w:b w:val="0"/>
                <w:bCs/>
                <w:color w:val="000000" w:themeColor="text1"/>
                <w:sz w:val="24"/>
                <w:szCs w:val="24"/>
                <w:highlight w:val="none"/>
                <w:u w:val="none" w:color="auto"/>
                <w14:textFill>
                  <w14:solidFill>
                    <w14:schemeClr w14:val="tx1"/>
                  </w14:solidFill>
                </w14:textFill>
              </w:rPr>
              <w:t>m</w:t>
            </w:r>
            <w:r>
              <w:rPr>
                <w:rFonts w:hint="default" w:ascii="Times New Roman" w:hAnsi="Times New Roman" w:eastAsia="宋体" w:cs="Times New Roman"/>
                <w:b w:val="0"/>
                <w:bCs/>
                <w:color w:val="000000" w:themeColor="text1"/>
                <w:sz w:val="24"/>
                <w:szCs w:val="24"/>
                <w:highlight w:val="none"/>
                <w:u w:val="none" w:color="auto"/>
                <w:vertAlign w:val="superscript"/>
                <w14:textFill>
                  <w14:solidFill>
                    <w14:schemeClr w14:val="tx1"/>
                  </w14:solidFill>
                </w14:textFill>
              </w:rPr>
              <w:t>3</w:t>
            </w:r>
            <w:r>
              <w:rPr>
                <w:rFonts w:hint="default" w:ascii="Times New Roman" w:hAnsi="Times New Roman" w:eastAsia="宋体" w:cs="Times New Roman"/>
                <w:b w:val="0"/>
                <w:bCs/>
                <w:color w:val="000000" w:themeColor="text1"/>
                <w:sz w:val="24"/>
                <w:szCs w:val="24"/>
                <w:highlight w:val="none"/>
                <w:u w:val="none" w:color="auto"/>
                <w14:textFill>
                  <w14:solidFill>
                    <w14:schemeClr w14:val="tx1"/>
                  </w14:solidFill>
                </w14:textFill>
              </w:rPr>
              <w:t>/d</w:t>
            </w:r>
            <w:r>
              <w:rPr>
                <w:rFonts w:hint="eastAsia" w:cs="Times New Roman"/>
                <w:b w:val="0"/>
                <w:bCs/>
                <w:color w:val="000000" w:themeColor="text1"/>
                <w:sz w:val="24"/>
                <w:szCs w:val="24"/>
                <w:highlight w:val="none"/>
                <w:u w:val="none" w:color="auto"/>
                <w:lang w:eastAsia="zh-CN"/>
                <w14:textFill>
                  <w14:solidFill>
                    <w14:schemeClr w14:val="tx1"/>
                  </w14:solidFill>
                </w14:textFill>
              </w:rPr>
              <w:t>（</w:t>
            </w:r>
            <w:r>
              <w:rPr>
                <w:rFonts w:hint="eastAsia" w:cs="Times New Roman"/>
                <w:b w:val="0"/>
                <w:bCs/>
                <w:color w:val="000000" w:themeColor="text1"/>
                <w:sz w:val="24"/>
                <w:szCs w:val="24"/>
                <w:highlight w:val="none"/>
                <w:u w:val="none" w:color="auto"/>
                <w:lang w:val="en-US" w:eastAsia="zh-CN"/>
                <w14:textFill>
                  <w14:solidFill>
                    <w14:schemeClr w14:val="tx1"/>
                  </w14:solidFill>
                </w14:textFill>
              </w:rPr>
              <w:t>300</w:t>
            </w:r>
            <w:r>
              <w:rPr>
                <w:rFonts w:hint="default" w:ascii="Times New Roman" w:hAnsi="Times New Roman" w:eastAsia="宋体" w:cs="Times New Roman"/>
                <w:b w:val="0"/>
                <w:bCs/>
                <w:color w:val="000000" w:themeColor="text1"/>
                <w:sz w:val="24"/>
                <w:szCs w:val="24"/>
                <w:highlight w:val="none"/>
                <w:u w:val="none" w:color="auto"/>
                <w14:textFill>
                  <w14:solidFill>
                    <w14:schemeClr w14:val="tx1"/>
                  </w14:solidFill>
                </w14:textFill>
              </w:rPr>
              <w:t>m</w:t>
            </w:r>
            <w:r>
              <w:rPr>
                <w:rFonts w:hint="default" w:ascii="Times New Roman" w:hAnsi="Times New Roman" w:eastAsia="宋体" w:cs="Times New Roman"/>
                <w:b w:val="0"/>
                <w:bCs/>
                <w:color w:val="000000" w:themeColor="text1"/>
                <w:sz w:val="24"/>
                <w:szCs w:val="24"/>
                <w:highlight w:val="none"/>
                <w:u w:val="none" w:color="auto"/>
                <w:vertAlign w:val="superscript"/>
                <w14:textFill>
                  <w14:solidFill>
                    <w14:schemeClr w14:val="tx1"/>
                  </w14:solidFill>
                </w14:textFill>
              </w:rPr>
              <w:t>3</w:t>
            </w:r>
            <w:r>
              <w:rPr>
                <w:rFonts w:hint="default" w:ascii="Times New Roman" w:hAnsi="Times New Roman" w:eastAsia="宋体" w:cs="Times New Roman"/>
                <w:b w:val="0"/>
                <w:bCs/>
                <w:color w:val="000000" w:themeColor="text1"/>
                <w:sz w:val="24"/>
                <w:szCs w:val="24"/>
                <w:highlight w:val="none"/>
                <w:u w:val="none" w:color="auto"/>
                <w14:textFill>
                  <w14:solidFill>
                    <w14:schemeClr w14:val="tx1"/>
                  </w14:solidFill>
                </w14:textFill>
              </w:rPr>
              <w:t>/</w:t>
            </w:r>
            <w:r>
              <w:rPr>
                <w:rFonts w:hint="eastAsia" w:eastAsia="宋体" w:cs="Times New Roman"/>
                <w:b w:val="0"/>
                <w:bCs/>
                <w:color w:val="000000" w:themeColor="text1"/>
                <w:sz w:val="24"/>
                <w:szCs w:val="24"/>
                <w:highlight w:val="none"/>
                <w:u w:val="none" w:color="auto"/>
                <w:lang w:val="en-US" w:eastAsia="zh-CN"/>
                <w14:textFill>
                  <w14:solidFill>
                    <w14:schemeClr w14:val="tx1"/>
                  </w14:solidFill>
                </w14:textFill>
              </w:rPr>
              <w:t>a</w:t>
            </w:r>
            <w:r>
              <w:rPr>
                <w:rFonts w:hint="eastAsia" w:cs="Times New Roman"/>
                <w:b w:val="0"/>
                <w:bCs/>
                <w:color w:val="000000" w:themeColor="text1"/>
                <w:sz w:val="24"/>
                <w:szCs w:val="24"/>
                <w:highlight w:val="none"/>
                <w:u w:val="none" w:color="auto"/>
                <w:lang w:eastAsia="zh-CN"/>
                <w14:textFill>
                  <w14:solidFill>
                    <w14:schemeClr w14:val="tx1"/>
                  </w14:solidFill>
                </w14:textFill>
              </w:rPr>
              <w:t>）</w:t>
            </w:r>
            <w:r>
              <w:rPr>
                <w:rFonts w:hint="default" w:ascii="Times New Roman" w:hAnsi="Times New Roman" w:eastAsia="宋体" w:cs="Times New Roman"/>
                <w:b w:val="0"/>
                <w:bCs/>
                <w:color w:val="000000" w:themeColor="text1"/>
                <w:sz w:val="24"/>
                <w:szCs w:val="24"/>
                <w:highlight w:val="none"/>
                <w:u w:val="none" w:color="auto"/>
                <w14:textFill>
                  <w14:solidFill>
                    <w14:schemeClr w14:val="tx1"/>
                  </w14:solidFill>
                </w14:textFill>
              </w:rPr>
              <w:t>，产污系数以0.8计，生活污水产生量为</w:t>
            </w:r>
            <w:r>
              <w:rPr>
                <w:rFonts w:hint="eastAsia" w:ascii="Times New Roman" w:hAnsi="Times New Roman" w:eastAsia="宋体" w:cs="Times New Roman"/>
                <w:b w:val="0"/>
                <w:bCs/>
                <w:color w:val="000000" w:themeColor="text1"/>
                <w:sz w:val="24"/>
                <w:szCs w:val="24"/>
                <w:highlight w:val="none"/>
                <w:u w:val="none" w:color="auto"/>
                <w:lang w:val="en-US" w:eastAsia="zh-CN"/>
                <w14:textFill>
                  <w14:solidFill>
                    <w14:schemeClr w14:val="tx1"/>
                  </w14:solidFill>
                </w14:textFill>
              </w:rPr>
              <w:t>0.8</w:t>
            </w:r>
            <w:r>
              <w:rPr>
                <w:rFonts w:hint="default" w:ascii="Times New Roman" w:hAnsi="Times New Roman" w:eastAsia="宋体" w:cs="Times New Roman"/>
                <w:b w:val="0"/>
                <w:bCs/>
                <w:color w:val="000000" w:themeColor="text1"/>
                <w:sz w:val="24"/>
                <w:szCs w:val="24"/>
                <w:highlight w:val="none"/>
                <w:u w:val="none" w:color="auto"/>
                <w14:textFill>
                  <w14:solidFill>
                    <w14:schemeClr w14:val="tx1"/>
                  </w14:solidFill>
                </w14:textFill>
              </w:rPr>
              <w:t>m</w:t>
            </w:r>
            <w:r>
              <w:rPr>
                <w:rFonts w:hint="default" w:ascii="Times New Roman" w:hAnsi="Times New Roman" w:eastAsia="宋体" w:cs="Times New Roman"/>
                <w:b w:val="0"/>
                <w:bCs/>
                <w:color w:val="000000" w:themeColor="text1"/>
                <w:sz w:val="24"/>
                <w:szCs w:val="24"/>
                <w:highlight w:val="none"/>
                <w:u w:val="none" w:color="auto"/>
                <w:vertAlign w:val="superscript"/>
                <w14:textFill>
                  <w14:solidFill>
                    <w14:schemeClr w14:val="tx1"/>
                  </w14:solidFill>
                </w14:textFill>
              </w:rPr>
              <w:t>3</w:t>
            </w:r>
            <w:r>
              <w:rPr>
                <w:rFonts w:hint="default" w:ascii="Times New Roman" w:hAnsi="Times New Roman" w:eastAsia="宋体" w:cs="Times New Roman"/>
                <w:b w:val="0"/>
                <w:bCs/>
                <w:color w:val="000000" w:themeColor="text1"/>
                <w:sz w:val="24"/>
                <w:szCs w:val="24"/>
                <w:highlight w:val="none"/>
                <w:u w:val="none" w:color="auto"/>
                <w14:textFill>
                  <w14:solidFill>
                    <w14:schemeClr w14:val="tx1"/>
                  </w14:solidFill>
                </w14:textFill>
              </w:rPr>
              <w:t>/d</w:t>
            </w:r>
            <w:r>
              <w:rPr>
                <w:rFonts w:hint="eastAsia" w:cs="Times New Roman"/>
                <w:b w:val="0"/>
                <w:bCs/>
                <w:color w:val="000000" w:themeColor="text1"/>
                <w:sz w:val="24"/>
                <w:szCs w:val="24"/>
                <w:highlight w:val="none"/>
                <w:u w:val="none" w:color="auto"/>
                <w:lang w:eastAsia="zh-CN"/>
                <w14:textFill>
                  <w14:solidFill>
                    <w14:schemeClr w14:val="tx1"/>
                  </w14:solidFill>
                </w14:textFill>
              </w:rPr>
              <w:t>（</w:t>
            </w:r>
            <w:r>
              <w:rPr>
                <w:rFonts w:hint="eastAsia" w:cs="Times New Roman"/>
                <w:b w:val="0"/>
                <w:bCs/>
                <w:color w:val="000000" w:themeColor="text1"/>
                <w:sz w:val="24"/>
                <w:szCs w:val="24"/>
                <w:highlight w:val="none"/>
                <w:u w:val="none" w:color="auto"/>
                <w:lang w:val="en-US" w:eastAsia="zh-CN"/>
                <w14:textFill>
                  <w14:solidFill>
                    <w14:schemeClr w14:val="tx1"/>
                  </w14:solidFill>
                </w14:textFill>
              </w:rPr>
              <w:t>240</w:t>
            </w:r>
            <w:r>
              <w:rPr>
                <w:rFonts w:hint="default" w:ascii="Times New Roman" w:hAnsi="Times New Roman" w:eastAsia="宋体" w:cs="Times New Roman"/>
                <w:b w:val="0"/>
                <w:bCs/>
                <w:color w:val="000000" w:themeColor="text1"/>
                <w:sz w:val="24"/>
                <w:szCs w:val="24"/>
                <w:highlight w:val="none"/>
                <w:u w:val="none" w:color="auto"/>
                <w14:textFill>
                  <w14:solidFill>
                    <w14:schemeClr w14:val="tx1"/>
                  </w14:solidFill>
                </w14:textFill>
              </w:rPr>
              <w:t>m</w:t>
            </w:r>
            <w:r>
              <w:rPr>
                <w:rFonts w:hint="default" w:ascii="Times New Roman" w:hAnsi="Times New Roman" w:eastAsia="宋体" w:cs="Times New Roman"/>
                <w:b w:val="0"/>
                <w:bCs/>
                <w:color w:val="000000" w:themeColor="text1"/>
                <w:sz w:val="24"/>
                <w:szCs w:val="24"/>
                <w:highlight w:val="none"/>
                <w:u w:val="none" w:color="auto"/>
                <w:vertAlign w:val="superscript"/>
                <w14:textFill>
                  <w14:solidFill>
                    <w14:schemeClr w14:val="tx1"/>
                  </w14:solidFill>
                </w14:textFill>
              </w:rPr>
              <w:t>3</w:t>
            </w:r>
            <w:r>
              <w:rPr>
                <w:rFonts w:hint="default" w:ascii="Times New Roman" w:hAnsi="Times New Roman" w:eastAsia="宋体" w:cs="Times New Roman"/>
                <w:b w:val="0"/>
                <w:bCs/>
                <w:color w:val="000000" w:themeColor="text1"/>
                <w:sz w:val="24"/>
                <w:szCs w:val="24"/>
                <w:highlight w:val="none"/>
                <w:u w:val="none" w:color="auto"/>
                <w14:textFill>
                  <w14:solidFill>
                    <w14:schemeClr w14:val="tx1"/>
                  </w14:solidFill>
                </w14:textFill>
              </w:rPr>
              <w:t>/</w:t>
            </w:r>
            <w:r>
              <w:rPr>
                <w:rFonts w:hint="eastAsia" w:eastAsia="宋体" w:cs="Times New Roman"/>
                <w:b w:val="0"/>
                <w:bCs/>
                <w:color w:val="000000" w:themeColor="text1"/>
                <w:sz w:val="24"/>
                <w:szCs w:val="24"/>
                <w:highlight w:val="none"/>
                <w:u w:val="none" w:color="auto"/>
                <w:lang w:val="en-US" w:eastAsia="zh-CN"/>
                <w14:textFill>
                  <w14:solidFill>
                    <w14:schemeClr w14:val="tx1"/>
                  </w14:solidFill>
                </w14:textFill>
              </w:rPr>
              <w:t>a</w:t>
            </w:r>
            <w:r>
              <w:rPr>
                <w:rFonts w:hint="eastAsia" w:cs="Times New Roman"/>
                <w:b w:val="0"/>
                <w:bCs/>
                <w:color w:val="000000" w:themeColor="text1"/>
                <w:sz w:val="24"/>
                <w:szCs w:val="24"/>
                <w:highlight w:val="none"/>
                <w:u w:val="none" w:color="auto"/>
                <w:lang w:eastAsia="zh-CN"/>
                <w14:textFill>
                  <w14:solidFill>
                    <w14:schemeClr w14:val="tx1"/>
                  </w14:solidFill>
                </w14:textFill>
              </w:rPr>
              <w:t>）</w:t>
            </w:r>
            <w:r>
              <w:rPr>
                <w:rFonts w:hint="default" w:ascii="Times New Roman" w:hAnsi="Times New Roman" w:eastAsia="宋体" w:cs="Times New Roman"/>
                <w:b w:val="0"/>
                <w:bCs/>
                <w:color w:val="000000" w:themeColor="text1"/>
                <w:sz w:val="24"/>
                <w:szCs w:val="24"/>
                <w:highlight w:val="none"/>
                <w:u w:val="none" w:color="auto"/>
                <w:lang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废水中主要污染物为COD、BOD</w:t>
            </w:r>
            <w:r>
              <w:rPr>
                <w:rFonts w:hint="default" w:ascii="Times New Roman" w:hAnsi="Times New Roman" w:eastAsia="宋体" w:cs="Times New Roman"/>
                <w:color w:val="000000" w:themeColor="text1"/>
                <w:sz w:val="24"/>
                <w:szCs w:val="24"/>
                <w:highlight w:val="none"/>
                <w:u w:val="none" w:color="auto"/>
                <w:vertAlign w:val="subscript"/>
                <w14:textFill>
                  <w14:solidFill>
                    <w14:schemeClr w14:val="tx1"/>
                  </w14:solidFill>
                </w14:textFill>
              </w:rPr>
              <w:t>5</w:t>
            </w: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、NH</w:t>
            </w:r>
            <w:r>
              <w:rPr>
                <w:rFonts w:hint="default" w:ascii="Times New Roman" w:hAnsi="Times New Roman" w:eastAsia="宋体" w:cs="Times New Roman"/>
                <w:color w:val="000000" w:themeColor="text1"/>
                <w:sz w:val="24"/>
                <w:szCs w:val="24"/>
                <w:highlight w:val="none"/>
                <w:u w:val="none" w:color="auto"/>
                <w:vertAlign w:val="subscript"/>
                <w14:textFill>
                  <w14:solidFill>
                    <w14:schemeClr w14:val="tx1"/>
                  </w14:solidFill>
                </w14:textFill>
              </w:rPr>
              <w:t>3</w:t>
            </w: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-N、SS，产生浓度分别为350mg/L、250mg/L、30mg/L、280mg/L</w:t>
            </w:r>
            <w:r>
              <w:rPr>
                <w:rFonts w:hint="default" w:ascii="Times New Roman" w:hAnsi="Times New Roman" w:eastAsia="宋体" w:cs="Times New Roman"/>
                <w:color w:val="000000" w:themeColor="text1"/>
                <w:sz w:val="24"/>
                <w:szCs w:val="24"/>
                <w:highlight w:val="none"/>
                <w:u w:val="none" w:color="auto"/>
                <w:lang w:eastAsia="zh-CN"/>
                <w14:textFill>
                  <w14:solidFill>
                    <w14:schemeClr w14:val="tx1"/>
                  </w14:solidFill>
                </w14:textFill>
              </w:rPr>
              <w:t>。</w:t>
            </w:r>
            <w:r>
              <w:rPr>
                <w:rFonts w:hint="default" w:ascii="Times New Roman" w:hAnsi="Times New Roman" w:eastAsia="宋体" w:cs="Times New Roman"/>
                <w:color w:val="000000" w:themeColor="text1"/>
                <w:kern w:val="0"/>
                <w:sz w:val="24"/>
                <w:szCs w:val="24"/>
                <w:highlight w:val="none"/>
                <w:u w:val="none" w:color="auto"/>
                <w:lang w:val="en-US" w:eastAsia="zh-CN"/>
                <w14:textFill>
                  <w14:solidFill>
                    <w14:schemeClr w14:val="tx1"/>
                  </w14:solidFill>
                </w14:textFill>
              </w:rPr>
              <w:t>项目生活污水</w:t>
            </w:r>
            <w:r>
              <w:rPr>
                <w:rFonts w:hint="default" w:ascii="Times New Roman" w:hAnsi="Times New Roman" w:eastAsia="宋体" w:cs="Times New Roman"/>
                <w:b w:val="0"/>
                <w:bCs/>
                <w:color w:val="000000" w:themeColor="text1"/>
                <w:sz w:val="24"/>
                <w:szCs w:val="24"/>
                <w:highlight w:val="none"/>
                <w:u w:val="none" w:color="auto"/>
                <w14:textFill>
                  <w14:solidFill>
                    <w14:schemeClr w14:val="tx1"/>
                  </w14:solidFill>
                </w14:textFill>
              </w:rPr>
              <w:t>经化粪池（容积</w:t>
            </w:r>
            <w:r>
              <w:rPr>
                <w:rFonts w:hint="eastAsia" w:ascii="Times New Roman" w:hAnsi="Times New Roman" w:eastAsia="宋体" w:cs="Times New Roman"/>
                <w:b w:val="0"/>
                <w:bCs/>
                <w:color w:val="000000" w:themeColor="text1"/>
                <w:sz w:val="24"/>
                <w:szCs w:val="24"/>
                <w:highlight w:val="none"/>
                <w:u w:val="none" w:color="auto"/>
                <w:lang w:val="en-US" w:eastAsia="zh-CN"/>
                <w14:textFill>
                  <w14:solidFill>
                    <w14:schemeClr w14:val="tx1"/>
                  </w14:solidFill>
                </w14:textFill>
              </w:rPr>
              <w:t>10</w:t>
            </w:r>
            <w:r>
              <w:rPr>
                <w:rFonts w:hint="default" w:ascii="Times New Roman" w:hAnsi="Times New Roman" w:eastAsia="宋体" w:cs="Times New Roman"/>
                <w:b w:val="0"/>
                <w:bCs/>
                <w:color w:val="000000" w:themeColor="text1"/>
                <w:sz w:val="24"/>
                <w:szCs w:val="24"/>
                <w:highlight w:val="none"/>
                <w:u w:val="none" w:color="auto"/>
                <w:lang w:eastAsia="zh-CN"/>
                <w14:textFill>
                  <w14:solidFill>
                    <w14:schemeClr w14:val="tx1"/>
                  </w14:solidFill>
                </w14:textFill>
              </w:rPr>
              <w:t>m</w:t>
            </w:r>
            <w:r>
              <w:rPr>
                <w:rFonts w:hint="default" w:ascii="Times New Roman" w:hAnsi="Times New Roman" w:eastAsia="宋体" w:cs="Times New Roman"/>
                <w:b w:val="0"/>
                <w:bCs/>
                <w:color w:val="000000" w:themeColor="text1"/>
                <w:sz w:val="24"/>
                <w:szCs w:val="24"/>
                <w:highlight w:val="none"/>
                <w:u w:val="none" w:color="auto"/>
                <w:vertAlign w:val="superscript"/>
                <w14:textFill>
                  <w14:solidFill>
                    <w14:schemeClr w14:val="tx1"/>
                  </w14:solidFill>
                </w14:textFill>
              </w:rPr>
              <w:t>3</w:t>
            </w:r>
            <w:r>
              <w:rPr>
                <w:rFonts w:hint="default" w:ascii="Times New Roman" w:hAnsi="Times New Roman" w:eastAsia="宋体" w:cs="Times New Roman"/>
                <w:b w:val="0"/>
                <w:bCs/>
                <w:color w:val="000000" w:themeColor="text1"/>
                <w:sz w:val="24"/>
                <w:szCs w:val="24"/>
                <w:highlight w:val="none"/>
                <w:u w:val="none" w:color="auto"/>
                <w:lang w:eastAsia="zh-CN"/>
                <w14:textFill>
                  <w14:solidFill>
                    <w14:schemeClr w14:val="tx1"/>
                  </w14:solidFill>
                </w14:textFill>
              </w:rPr>
              <w:t>，</w:t>
            </w:r>
            <w:r>
              <w:rPr>
                <w:rFonts w:hint="default" w:ascii="Times New Roman" w:hAnsi="Times New Roman" w:eastAsia="宋体" w:cs="Times New Roman"/>
                <w:b w:val="0"/>
                <w:bCs/>
                <w:color w:val="000000" w:themeColor="text1"/>
                <w:sz w:val="24"/>
                <w:szCs w:val="24"/>
                <w:highlight w:val="none"/>
                <w:u w:val="none" w:color="auto"/>
                <w:lang w:val="en-US" w:eastAsia="zh-CN"/>
                <w14:textFill>
                  <w14:solidFill>
                    <w14:schemeClr w14:val="tx1"/>
                  </w14:solidFill>
                </w14:textFill>
              </w:rPr>
              <w:t>三防措施</w:t>
            </w:r>
            <w:r>
              <w:rPr>
                <w:rFonts w:hint="default" w:ascii="Times New Roman" w:hAnsi="Times New Roman" w:eastAsia="宋体" w:cs="Times New Roman"/>
                <w:b w:val="0"/>
                <w:bCs/>
                <w:color w:val="000000" w:themeColor="text1"/>
                <w:sz w:val="24"/>
                <w:szCs w:val="24"/>
                <w:highlight w:val="none"/>
                <w:u w:val="none" w:color="auto"/>
                <w14:textFill>
                  <w14:solidFill>
                    <w14:schemeClr w14:val="tx1"/>
                  </w14:solidFill>
                </w14:textFill>
              </w:rPr>
              <w:t>）处理后，用于周边农田施肥，资源化利用不外排。</w:t>
            </w:r>
          </w:p>
          <w:p w14:paraId="238D0CB2">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jc w:val="center"/>
              <w:textAlignment w:val="auto"/>
              <w:rPr>
                <w:rFonts w:hint="default" w:ascii="Times New Roman" w:hAnsi="Times New Roman" w:eastAsia="宋体" w:cs="Times New Roman"/>
                <w:b/>
                <w:color w:val="000000" w:themeColor="text1"/>
                <w:kern w:val="2"/>
                <w:sz w:val="24"/>
                <w:szCs w:val="24"/>
                <w:highlight w:val="none"/>
                <w:u w:val="none" w:color="auto"/>
                <w:lang w:val="en-US" w:eastAsia="zh-CN" w:bidi="ar-SA"/>
                <w14:textFill>
                  <w14:solidFill>
                    <w14:schemeClr w14:val="tx1"/>
                  </w14:solidFill>
                </w14:textFill>
              </w:rPr>
            </w:pPr>
            <w:r>
              <w:rPr>
                <w:rFonts w:hint="default" w:ascii="Times New Roman" w:hAnsi="Times New Roman" w:eastAsia="宋体" w:cs="Times New Roman"/>
                <w:b/>
                <w:color w:val="000000" w:themeColor="text1"/>
                <w:kern w:val="2"/>
                <w:sz w:val="24"/>
                <w:szCs w:val="24"/>
                <w:highlight w:val="none"/>
                <w:u w:val="none" w:color="auto"/>
                <w:lang w:val="en-US" w:eastAsia="zh-CN" w:bidi="ar-SA"/>
                <w14:textFill>
                  <w14:solidFill>
                    <w14:schemeClr w14:val="tx1"/>
                  </w14:solidFill>
                </w14:textFill>
              </w:rPr>
              <w:t>表4-</w:t>
            </w:r>
            <w:r>
              <w:rPr>
                <w:rFonts w:hint="eastAsia" w:ascii="Times New Roman" w:hAnsi="Times New Roman" w:eastAsia="宋体" w:cs="Times New Roman"/>
                <w:b/>
                <w:color w:val="000000" w:themeColor="text1"/>
                <w:kern w:val="2"/>
                <w:sz w:val="24"/>
                <w:szCs w:val="24"/>
                <w:highlight w:val="none"/>
                <w:u w:val="none" w:color="auto"/>
                <w:lang w:val="en-US" w:eastAsia="zh-CN" w:bidi="ar-SA"/>
                <w14:textFill>
                  <w14:solidFill>
                    <w14:schemeClr w14:val="tx1"/>
                  </w14:solidFill>
                </w14:textFill>
              </w:rPr>
              <w:t>15</w:t>
            </w:r>
            <w:r>
              <w:rPr>
                <w:rFonts w:hint="default" w:ascii="Times New Roman" w:hAnsi="Times New Roman" w:eastAsia="宋体" w:cs="Times New Roman"/>
                <w:b/>
                <w:color w:val="000000" w:themeColor="text1"/>
                <w:kern w:val="2"/>
                <w:sz w:val="24"/>
                <w:szCs w:val="24"/>
                <w:highlight w:val="none"/>
                <w:u w:val="none" w:color="auto"/>
                <w:lang w:val="en-US" w:eastAsia="zh-CN" w:bidi="ar-SA"/>
                <w14:textFill>
                  <w14:solidFill>
                    <w14:schemeClr w14:val="tx1"/>
                  </w14:solidFill>
                </w14:textFill>
              </w:rPr>
              <w:t xml:space="preserve">  项目营运期职工生活污水水质一览表</w:t>
            </w:r>
          </w:p>
          <w:tbl>
            <w:tblPr>
              <w:tblStyle w:val="30"/>
              <w:tblW w:w="930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29"/>
              <w:gridCol w:w="1329"/>
              <w:gridCol w:w="1329"/>
              <w:gridCol w:w="1329"/>
              <w:gridCol w:w="1330"/>
              <w:gridCol w:w="1330"/>
              <w:gridCol w:w="1330"/>
            </w:tblGrid>
            <w:tr w14:paraId="35CD8B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29" w:type="dxa"/>
                  <w:vMerge w:val="restart"/>
                  <w:vAlign w:val="center"/>
                </w:tcPr>
                <w:p w14:paraId="1EB6B46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b w:val="0"/>
                      <w:bCs/>
                      <w:color w:val="000000" w:themeColor="text1"/>
                      <w:kern w:val="2"/>
                      <w:sz w:val="21"/>
                      <w:szCs w:val="21"/>
                      <w:highlight w:val="none"/>
                      <w:u w:val="none" w:color="auto"/>
                      <w:vertAlign w:val="baseline"/>
                      <w:lang w:val="en-US" w:eastAsia="zh-CN" w:bidi="ar-SA"/>
                      <w14:textFill>
                        <w14:solidFill>
                          <w14:schemeClr w14:val="tx1"/>
                        </w14:solidFill>
                      </w14:textFill>
                    </w:rPr>
                  </w:pPr>
                  <w:r>
                    <w:rPr>
                      <w:rFonts w:hint="default" w:ascii="Times New Roman" w:hAnsi="Times New Roman" w:eastAsia="宋体" w:cs="Times New Roman"/>
                      <w:bCs/>
                      <w:color w:val="000000" w:themeColor="text1"/>
                      <w:sz w:val="21"/>
                      <w:szCs w:val="21"/>
                      <w:highlight w:val="none"/>
                      <w:u w:val="none" w:color="auto"/>
                      <w14:textFill>
                        <w14:solidFill>
                          <w14:schemeClr w14:val="tx1"/>
                        </w14:solidFill>
                      </w14:textFill>
                    </w:rPr>
                    <w:t>序号</w:t>
                  </w:r>
                </w:p>
              </w:tc>
              <w:tc>
                <w:tcPr>
                  <w:tcW w:w="1329" w:type="dxa"/>
                  <w:vMerge w:val="restart"/>
                  <w:vAlign w:val="center"/>
                </w:tcPr>
                <w:p w14:paraId="4EB3D77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b w:val="0"/>
                      <w:bCs/>
                      <w:color w:val="000000" w:themeColor="text1"/>
                      <w:kern w:val="2"/>
                      <w:sz w:val="21"/>
                      <w:szCs w:val="21"/>
                      <w:highlight w:val="none"/>
                      <w:u w:val="none" w:color="auto"/>
                      <w:vertAlign w:val="baseline"/>
                      <w:lang w:val="en-US" w:eastAsia="zh-CN" w:bidi="ar-SA"/>
                      <w14:textFill>
                        <w14:solidFill>
                          <w14:schemeClr w14:val="tx1"/>
                        </w14:solidFill>
                      </w14:textFill>
                    </w:rPr>
                  </w:pPr>
                  <w:r>
                    <w:rPr>
                      <w:rFonts w:hint="default" w:ascii="Times New Roman" w:hAnsi="Times New Roman" w:eastAsia="宋体" w:cs="Times New Roman"/>
                      <w:bCs/>
                      <w:color w:val="000000" w:themeColor="text1"/>
                      <w:sz w:val="21"/>
                      <w:szCs w:val="21"/>
                      <w:highlight w:val="none"/>
                      <w:u w:val="none" w:color="auto"/>
                      <w14:textFill>
                        <w14:solidFill>
                          <w14:schemeClr w14:val="tx1"/>
                        </w14:solidFill>
                      </w14:textFill>
                    </w:rPr>
                    <w:t>废水类别</w:t>
                  </w:r>
                </w:p>
              </w:tc>
              <w:tc>
                <w:tcPr>
                  <w:tcW w:w="1329" w:type="dxa"/>
                  <w:vMerge w:val="restart"/>
                  <w:vAlign w:val="center"/>
                </w:tcPr>
                <w:p w14:paraId="75A6BAD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bCs/>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bCs/>
                      <w:color w:val="000000" w:themeColor="text1"/>
                      <w:sz w:val="21"/>
                      <w:szCs w:val="21"/>
                      <w:highlight w:val="none"/>
                      <w:u w:val="none" w:color="auto"/>
                      <w14:textFill>
                        <w14:solidFill>
                          <w14:schemeClr w14:val="tx1"/>
                        </w14:solidFill>
                      </w14:textFill>
                    </w:rPr>
                    <w:t>废水量</w:t>
                  </w:r>
                </w:p>
                <w:p w14:paraId="0D372BD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b w:val="0"/>
                      <w:bCs/>
                      <w:color w:val="000000" w:themeColor="text1"/>
                      <w:kern w:val="2"/>
                      <w:sz w:val="21"/>
                      <w:szCs w:val="21"/>
                      <w:highlight w:val="none"/>
                      <w:u w:val="none" w:color="auto"/>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m</w:t>
                  </w:r>
                  <w:r>
                    <w:rPr>
                      <w:rFonts w:hint="default" w:ascii="Times New Roman" w:hAnsi="Times New Roman" w:eastAsia="宋体" w:cs="Times New Roman"/>
                      <w:color w:val="000000" w:themeColor="text1"/>
                      <w:sz w:val="21"/>
                      <w:szCs w:val="21"/>
                      <w:highlight w:val="none"/>
                      <w:u w:val="none" w:color="auto"/>
                      <w:vertAlign w:val="superscript"/>
                      <w14:textFill>
                        <w14:solidFill>
                          <w14:schemeClr w14:val="tx1"/>
                        </w14:solidFill>
                      </w14:textFill>
                    </w:rPr>
                    <w:t>3</w:t>
                  </w: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/d</w:t>
                  </w:r>
                </w:p>
              </w:tc>
              <w:tc>
                <w:tcPr>
                  <w:tcW w:w="5319" w:type="dxa"/>
                  <w:gridSpan w:val="4"/>
                  <w:vAlign w:val="center"/>
                </w:tcPr>
                <w:p w14:paraId="4261D2C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right="0"/>
                    <w:jc w:val="center"/>
                    <w:textAlignment w:val="auto"/>
                    <w:rPr>
                      <w:rFonts w:hint="default" w:ascii="Times New Roman" w:hAnsi="Times New Roman" w:eastAsia="宋体" w:cs="Times New Roman"/>
                      <w:b w:val="0"/>
                      <w:bCs/>
                      <w:color w:val="000000" w:themeColor="text1"/>
                      <w:kern w:val="2"/>
                      <w:sz w:val="21"/>
                      <w:szCs w:val="21"/>
                      <w:highlight w:val="none"/>
                      <w:u w:val="none" w:color="auto"/>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产生浓度（mg/L）</w:t>
                  </w:r>
                </w:p>
              </w:tc>
            </w:tr>
            <w:tr w14:paraId="084628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29" w:type="dxa"/>
                  <w:vMerge w:val="continue"/>
                  <w:vAlign w:val="center"/>
                </w:tcPr>
                <w:p w14:paraId="73A98B02">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right="0"/>
                    <w:jc w:val="center"/>
                    <w:textAlignment w:val="auto"/>
                    <w:rPr>
                      <w:rFonts w:hint="default" w:ascii="Times New Roman" w:hAnsi="Times New Roman" w:eastAsia="宋体" w:cs="Times New Roman"/>
                      <w:b w:val="0"/>
                      <w:bCs/>
                      <w:color w:val="000000" w:themeColor="text1"/>
                      <w:kern w:val="2"/>
                      <w:sz w:val="21"/>
                      <w:szCs w:val="21"/>
                      <w:highlight w:val="none"/>
                      <w:u w:val="none" w:color="auto"/>
                      <w:vertAlign w:val="baseline"/>
                      <w:lang w:val="en-US" w:eastAsia="zh-CN" w:bidi="ar-SA"/>
                      <w14:textFill>
                        <w14:solidFill>
                          <w14:schemeClr w14:val="tx1"/>
                        </w14:solidFill>
                      </w14:textFill>
                    </w:rPr>
                  </w:pPr>
                </w:p>
              </w:tc>
              <w:tc>
                <w:tcPr>
                  <w:tcW w:w="1329" w:type="dxa"/>
                  <w:vMerge w:val="continue"/>
                  <w:vAlign w:val="center"/>
                </w:tcPr>
                <w:p w14:paraId="71139F8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right="0"/>
                    <w:jc w:val="center"/>
                    <w:textAlignment w:val="auto"/>
                    <w:rPr>
                      <w:rFonts w:hint="default" w:ascii="Times New Roman" w:hAnsi="Times New Roman" w:eastAsia="宋体" w:cs="Times New Roman"/>
                      <w:b w:val="0"/>
                      <w:bCs/>
                      <w:color w:val="000000" w:themeColor="text1"/>
                      <w:kern w:val="2"/>
                      <w:sz w:val="21"/>
                      <w:szCs w:val="21"/>
                      <w:highlight w:val="none"/>
                      <w:u w:val="none" w:color="auto"/>
                      <w:vertAlign w:val="baseline"/>
                      <w:lang w:val="en-US" w:eastAsia="zh-CN" w:bidi="ar-SA"/>
                      <w14:textFill>
                        <w14:solidFill>
                          <w14:schemeClr w14:val="tx1"/>
                        </w14:solidFill>
                      </w14:textFill>
                    </w:rPr>
                  </w:pPr>
                </w:p>
              </w:tc>
              <w:tc>
                <w:tcPr>
                  <w:tcW w:w="1329" w:type="dxa"/>
                  <w:vMerge w:val="continue"/>
                  <w:vAlign w:val="center"/>
                </w:tcPr>
                <w:p w14:paraId="095A469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right="0"/>
                    <w:jc w:val="center"/>
                    <w:textAlignment w:val="auto"/>
                    <w:rPr>
                      <w:rFonts w:hint="default" w:ascii="Times New Roman" w:hAnsi="Times New Roman" w:eastAsia="宋体" w:cs="Times New Roman"/>
                      <w:b w:val="0"/>
                      <w:bCs/>
                      <w:color w:val="000000" w:themeColor="text1"/>
                      <w:kern w:val="2"/>
                      <w:sz w:val="21"/>
                      <w:szCs w:val="21"/>
                      <w:highlight w:val="none"/>
                      <w:u w:val="none" w:color="auto"/>
                      <w:vertAlign w:val="baseline"/>
                      <w:lang w:val="en-US" w:eastAsia="zh-CN" w:bidi="ar-SA"/>
                      <w14:textFill>
                        <w14:solidFill>
                          <w14:schemeClr w14:val="tx1"/>
                        </w14:solidFill>
                      </w14:textFill>
                    </w:rPr>
                  </w:pPr>
                </w:p>
              </w:tc>
              <w:tc>
                <w:tcPr>
                  <w:tcW w:w="1329" w:type="dxa"/>
                  <w:vAlign w:val="center"/>
                </w:tcPr>
                <w:p w14:paraId="5410CF9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b w:val="0"/>
                      <w:bCs/>
                      <w:color w:val="000000" w:themeColor="text1"/>
                      <w:kern w:val="2"/>
                      <w:sz w:val="21"/>
                      <w:szCs w:val="21"/>
                      <w:highlight w:val="none"/>
                      <w:u w:val="none" w:color="auto"/>
                      <w:vertAlign w:val="baseline"/>
                      <w:lang w:val="en-US" w:eastAsia="zh-CN" w:bidi="ar-SA"/>
                      <w14:textFill>
                        <w14:solidFill>
                          <w14:schemeClr w14:val="tx1"/>
                        </w14:solidFill>
                      </w14:textFill>
                    </w:rPr>
                  </w:pPr>
                  <w:r>
                    <w:rPr>
                      <w:rFonts w:hint="default" w:ascii="Times New Roman" w:hAnsi="Times New Roman" w:eastAsia="宋体" w:cs="Times New Roman"/>
                      <w:bCs/>
                      <w:color w:val="000000" w:themeColor="text1"/>
                      <w:sz w:val="21"/>
                      <w:szCs w:val="21"/>
                      <w:highlight w:val="none"/>
                      <w:u w:val="none" w:color="auto"/>
                      <w14:textFill>
                        <w14:solidFill>
                          <w14:schemeClr w14:val="tx1"/>
                        </w14:solidFill>
                      </w14:textFill>
                    </w:rPr>
                    <w:t>COD</w:t>
                  </w:r>
                </w:p>
              </w:tc>
              <w:tc>
                <w:tcPr>
                  <w:tcW w:w="1330" w:type="dxa"/>
                  <w:vAlign w:val="center"/>
                </w:tcPr>
                <w:p w14:paraId="3180BA2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b w:val="0"/>
                      <w:bCs/>
                      <w:color w:val="000000" w:themeColor="text1"/>
                      <w:kern w:val="2"/>
                      <w:sz w:val="21"/>
                      <w:szCs w:val="21"/>
                      <w:highlight w:val="none"/>
                      <w:u w:val="none" w:color="auto"/>
                      <w:vertAlign w:val="baseline"/>
                      <w:lang w:val="en-US" w:eastAsia="zh-CN" w:bidi="ar-SA"/>
                      <w14:textFill>
                        <w14:solidFill>
                          <w14:schemeClr w14:val="tx1"/>
                        </w14:solidFill>
                      </w14:textFill>
                    </w:rPr>
                  </w:pPr>
                  <w:r>
                    <w:rPr>
                      <w:rFonts w:hint="default" w:ascii="Times New Roman" w:hAnsi="Times New Roman" w:eastAsia="宋体" w:cs="Times New Roman"/>
                      <w:bCs/>
                      <w:color w:val="000000" w:themeColor="text1"/>
                      <w:sz w:val="21"/>
                      <w:szCs w:val="21"/>
                      <w:highlight w:val="none"/>
                      <w:u w:val="none" w:color="auto"/>
                      <w14:textFill>
                        <w14:solidFill>
                          <w14:schemeClr w14:val="tx1"/>
                        </w14:solidFill>
                      </w14:textFill>
                    </w:rPr>
                    <w:t>BOD</w:t>
                  </w:r>
                  <w:r>
                    <w:rPr>
                      <w:rFonts w:hint="default" w:ascii="Times New Roman" w:hAnsi="Times New Roman" w:eastAsia="宋体" w:cs="Times New Roman"/>
                      <w:bCs/>
                      <w:color w:val="000000" w:themeColor="text1"/>
                      <w:sz w:val="21"/>
                      <w:szCs w:val="21"/>
                      <w:highlight w:val="none"/>
                      <w:u w:val="none" w:color="auto"/>
                      <w:vertAlign w:val="subscript"/>
                      <w14:textFill>
                        <w14:solidFill>
                          <w14:schemeClr w14:val="tx1"/>
                        </w14:solidFill>
                      </w14:textFill>
                    </w:rPr>
                    <w:t>5</w:t>
                  </w:r>
                </w:p>
              </w:tc>
              <w:tc>
                <w:tcPr>
                  <w:tcW w:w="1330" w:type="dxa"/>
                  <w:vAlign w:val="center"/>
                </w:tcPr>
                <w:p w14:paraId="0F89BEA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b w:val="0"/>
                      <w:bCs/>
                      <w:color w:val="000000" w:themeColor="text1"/>
                      <w:kern w:val="2"/>
                      <w:sz w:val="21"/>
                      <w:szCs w:val="21"/>
                      <w:highlight w:val="none"/>
                      <w:u w:val="none" w:color="auto"/>
                      <w:vertAlign w:val="baseline"/>
                      <w:lang w:val="en-US" w:eastAsia="zh-CN" w:bidi="ar-SA"/>
                      <w14:textFill>
                        <w14:solidFill>
                          <w14:schemeClr w14:val="tx1"/>
                        </w14:solidFill>
                      </w14:textFill>
                    </w:rPr>
                  </w:pPr>
                  <w:r>
                    <w:rPr>
                      <w:rFonts w:hint="default" w:ascii="Times New Roman" w:hAnsi="Times New Roman" w:eastAsia="宋体" w:cs="Times New Roman"/>
                      <w:bCs/>
                      <w:color w:val="000000" w:themeColor="text1"/>
                      <w:sz w:val="21"/>
                      <w:szCs w:val="21"/>
                      <w:highlight w:val="none"/>
                      <w:u w:val="none" w:color="auto"/>
                      <w14:textFill>
                        <w14:solidFill>
                          <w14:schemeClr w14:val="tx1"/>
                        </w14:solidFill>
                      </w14:textFill>
                    </w:rPr>
                    <w:t>SS</w:t>
                  </w:r>
                </w:p>
              </w:tc>
              <w:tc>
                <w:tcPr>
                  <w:tcW w:w="1330" w:type="dxa"/>
                  <w:vAlign w:val="center"/>
                </w:tcPr>
                <w:p w14:paraId="5B2C030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b w:val="0"/>
                      <w:bCs/>
                      <w:color w:val="000000" w:themeColor="text1"/>
                      <w:kern w:val="2"/>
                      <w:sz w:val="21"/>
                      <w:szCs w:val="21"/>
                      <w:highlight w:val="none"/>
                      <w:u w:val="none" w:color="auto"/>
                      <w:vertAlign w:val="baseline"/>
                      <w:lang w:val="en-US" w:eastAsia="zh-CN" w:bidi="ar-SA"/>
                      <w14:textFill>
                        <w14:solidFill>
                          <w14:schemeClr w14:val="tx1"/>
                        </w14:solidFill>
                      </w14:textFill>
                    </w:rPr>
                  </w:pPr>
                  <w:r>
                    <w:rPr>
                      <w:rFonts w:hint="default" w:ascii="Times New Roman" w:hAnsi="Times New Roman" w:eastAsia="宋体" w:cs="Times New Roman"/>
                      <w:bCs/>
                      <w:color w:val="000000" w:themeColor="text1"/>
                      <w:sz w:val="21"/>
                      <w:szCs w:val="21"/>
                      <w:highlight w:val="none"/>
                      <w:u w:val="none" w:color="auto"/>
                      <w14:textFill>
                        <w14:solidFill>
                          <w14:schemeClr w14:val="tx1"/>
                        </w14:solidFill>
                      </w14:textFill>
                    </w:rPr>
                    <w:t>NH</w:t>
                  </w:r>
                  <w:r>
                    <w:rPr>
                      <w:rFonts w:hint="default" w:ascii="Times New Roman" w:hAnsi="Times New Roman" w:eastAsia="宋体" w:cs="Times New Roman"/>
                      <w:bCs/>
                      <w:color w:val="000000" w:themeColor="text1"/>
                      <w:sz w:val="21"/>
                      <w:szCs w:val="21"/>
                      <w:highlight w:val="none"/>
                      <w:u w:val="none" w:color="auto"/>
                      <w:vertAlign w:val="subscript"/>
                      <w14:textFill>
                        <w14:solidFill>
                          <w14:schemeClr w14:val="tx1"/>
                        </w14:solidFill>
                      </w14:textFill>
                    </w:rPr>
                    <w:t>3</w:t>
                  </w:r>
                  <w:r>
                    <w:rPr>
                      <w:rFonts w:hint="default" w:ascii="Times New Roman" w:hAnsi="Times New Roman" w:eastAsia="宋体" w:cs="Times New Roman"/>
                      <w:bCs/>
                      <w:color w:val="000000" w:themeColor="text1"/>
                      <w:sz w:val="21"/>
                      <w:szCs w:val="21"/>
                      <w:highlight w:val="none"/>
                      <w:u w:val="none" w:color="auto"/>
                      <w14:textFill>
                        <w14:solidFill>
                          <w14:schemeClr w14:val="tx1"/>
                        </w14:solidFill>
                      </w14:textFill>
                    </w:rPr>
                    <w:t>-N</w:t>
                  </w:r>
                </w:p>
              </w:tc>
            </w:tr>
            <w:tr w14:paraId="299DF5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29" w:type="dxa"/>
                  <w:vAlign w:val="center"/>
                </w:tcPr>
                <w:p w14:paraId="694B822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b w:val="0"/>
                      <w:bCs/>
                      <w:color w:val="000000" w:themeColor="text1"/>
                      <w:kern w:val="2"/>
                      <w:sz w:val="21"/>
                      <w:szCs w:val="21"/>
                      <w:highlight w:val="none"/>
                      <w:u w:val="none" w:color="auto"/>
                      <w:vertAlign w:val="baseline"/>
                      <w:lang w:val="en-US" w:eastAsia="zh-CN" w:bidi="ar-SA"/>
                      <w14:textFill>
                        <w14:solidFill>
                          <w14:schemeClr w14:val="tx1"/>
                        </w14:solidFill>
                      </w14:textFill>
                    </w:rPr>
                  </w:pPr>
                  <w:r>
                    <w:rPr>
                      <w:rFonts w:hint="default" w:ascii="Times New Roman" w:hAnsi="Times New Roman" w:eastAsia="宋体" w:cs="Times New Roman"/>
                      <w:bCs/>
                      <w:color w:val="000000" w:themeColor="text1"/>
                      <w:sz w:val="21"/>
                      <w:szCs w:val="21"/>
                      <w:highlight w:val="none"/>
                      <w:u w:val="none" w:color="auto"/>
                      <w14:textFill>
                        <w14:solidFill>
                          <w14:schemeClr w14:val="tx1"/>
                        </w14:solidFill>
                      </w14:textFill>
                    </w:rPr>
                    <w:t>1</w:t>
                  </w:r>
                </w:p>
              </w:tc>
              <w:tc>
                <w:tcPr>
                  <w:tcW w:w="1329" w:type="dxa"/>
                  <w:vAlign w:val="center"/>
                </w:tcPr>
                <w:p w14:paraId="17C8F2F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b w:val="0"/>
                      <w:bCs/>
                      <w:color w:val="000000" w:themeColor="text1"/>
                      <w:kern w:val="2"/>
                      <w:sz w:val="21"/>
                      <w:szCs w:val="21"/>
                      <w:highlight w:val="none"/>
                      <w:u w:val="none" w:color="auto"/>
                      <w:vertAlign w:val="baseline"/>
                      <w:lang w:val="en-US" w:eastAsia="zh-CN" w:bidi="ar-SA"/>
                      <w14:textFill>
                        <w14:solidFill>
                          <w14:schemeClr w14:val="tx1"/>
                        </w14:solidFill>
                      </w14:textFill>
                    </w:rPr>
                  </w:pPr>
                  <w:r>
                    <w:rPr>
                      <w:rFonts w:hint="default" w:ascii="Times New Roman" w:hAnsi="Times New Roman" w:eastAsia="宋体" w:cs="Times New Roman"/>
                      <w:bCs/>
                      <w:color w:val="000000" w:themeColor="text1"/>
                      <w:sz w:val="21"/>
                      <w:szCs w:val="21"/>
                      <w:highlight w:val="none"/>
                      <w:u w:val="none" w:color="auto"/>
                      <w14:textFill>
                        <w14:solidFill>
                          <w14:schemeClr w14:val="tx1"/>
                        </w14:solidFill>
                      </w14:textFill>
                    </w:rPr>
                    <w:t>生活污水</w:t>
                  </w:r>
                </w:p>
              </w:tc>
              <w:tc>
                <w:tcPr>
                  <w:tcW w:w="1329" w:type="dxa"/>
                  <w:vAlign w:val="center"/>
                </w:tcPr>
                <w:p w14:paraId="7CFFF9C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b w:val="0"/>
                      <w:bCs/>
                      <w:color w:val="000000" w:themeColor="text1"/>
                      <w:kern w:val="2"/>
                      <w:sz w:val="21"/>
                      <w:szCs w:val="21"/>
                      <w:highlight w:val="none"/>
                      <w:u w:val="none" w:color="auto"/>
                      <w:vertAlign w:val="baseline"/>
                      <w:lang w:val="en-US" w:eastAsia="zh-CN" w:bidi="ar-SA"/>
                      <w14:textFill>
                        <w14:solidFill>
                          <w14:schemeClr w14:val="tx1"/>
                        </w14:solidFill>
                      </w14:textFill>
                    </w:rPr>
                  </w:pPr>
                  <w:r>
                    <w:rPr>
                      <w:rFonts w:hint="eastAsia" w:ascii="Times New Roman" w:hAnsi="Times New Roman" w:eastAsia="宋体" w:cs="Times New Roman"/>
                      <w:bCs/>
                      <w:color w:val="000000" w:themeColor="text1"/>
                      <w:sz w:val="21"/>
                      <w:szCs w:val="21"/>
                      <w:highlight w:val="none"/>
                      <w:u w:val="none" w:color="auto"/>
                      <w:lang w:val="en-US" w:eastAsia="zh-CN"/>
                      <w14:textFill>
                        <w14:solidFill>
                          <w14:schemeClr w14:val="tx1"/>
                        </w14:solidFill>
                      </w14:textFill>
                    </w:rPr>
                    <w:t>0.8</w:t>
                  </w:r>
                </w:p>
              </w:tc>
              <w:tc>
                <w:tcPr>
                  <w:tcW w:w="1329" w:type="dxa"/>
                  <w:vAlign w:val="center"/>
                </w:tcPr>
                <w:p w14:paraId="221B161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b w:val="0"/>
                      <w:bCs/>
                      <w:color w:val="000000" w:themeColor="text1"/>
                      <w:kern w:val="2"/>
                      <w:sz w:val="21"/>
                      <w:szCs w:val="21"/>
                      <w:highlight w:val="none"/>
                      <w:u w:val="none" w:color="auto"/>
                      <w:vertAlign w:val="baseline"/>
                      <w:lang w:val="en-US" w:eastAsia="zh-CN" w:bidi="ar-SA"/>
                      <w14:textFill>
                        <w14:solidFill>
                          <w14:schemeClr w14:val="tx1"/>
                        </w14:solidFill>
                      </w14:textFill>
                    </w:rPr>
                  </w:pPr>
                  <w:r>
                    <w:rPr>
                      <w:rFonts w:hint="default" w:ascii="Times New Roman" w:hAnsi="Times New Roman" w:eastAsia="宋体" w:cs="Times New Roman"/>
                      <w:bCs/>
                      <w:color w:val="000000" w:themeColor="text1"/>
                      <w:sz w:val="21"/>
                      <w:szCs w:val="21"/>
                      <w:highlight w:val="none"/>
                      <w:u w:val="none" w:color="auto"/>
                      <w14:textFill>
                        <w14:solidFill>
                          <w14:schemeClr w14:val="tx1"/>
                        </w14:solidFill>
                      </w14:textFill>
                    </w:rPr>
                    <w:t>350</w:t>
                  </w:r>
                </w:p>
              </w:tc>
              <w:tc>
                <w:tcPr>
                  <w:tcW w:w="1330" w:type="dxa"/>
                  <w:vAlign w:val="center"/>
                </w:tcPr>
                <w:p w14:paraId="19DFE8E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b w:val="0"/>
                      <w:bCs/>
                      <w:color w:val="000000" w:themeColor="text1"/>
                      <w:kern w:val="2"/>
                      <w:sz w:val="21"/>
                      <w:szCs w:val="21"/>
                      <w:highlight w:val="none"/>
                      <w:u w:val="none" w:color="auto"/>
                      <w:vertAlign w:val="baseline"/>
                      <w:lang w:val="en-US" w:eastAsia="zh-CN" w:bidi="ar-SA"/>
                      <w14:textFill>
                        <w14:solidFill>
                          <w14:schemeClr w14:val="tx1"/>
                        </w14:solidFill>
                      </w14:textFill>
                    </w:rPr>
                  </w:pPr>
                  <w:r>
                    <w:rPr>
                      <w:rFonts w:hint="default" w:ascii="Times New Roman" w:hAnsi="Times New Roman" w:eastAsia="宋体" w:cs="Times New Roman"/>
                      <w:bCs/>
                      <w:color w:val="000000" w:themeColor="text1"/>
                      <w:sz w:val="21"/>
                      <w:szCs w:val="21"/>
                      <w:highlight w:val="none"/>
                      <w:u w:val="none" w:color="auto"/>
                      <w14:textFill>
                        <w14:solidFill>
                          <w14:schemeClr w14:val="tx1"/>
                        </w14:solidFill>
                      </w14:textFill>
                    </w:rPr>
                    <w:t>250</w:t>
                  </w:r>
                </w:p>
              </w:tc>
              <w:tc>
                <w:tcPr>
                  <w:tcW w:w="1330" w:type="dxa"/>
                  <w:vAlign w:val="center"/>
                </w:tcPr>
                <w:p w14:paraId="11BE0FB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b w:val="0"/>
                      <w:bCs/>
                      <w:color w:val="000000" w:themeColor="text1"/>
                      <w:kern w:val="2"/>
                      <w:sz w:val="21"/>
                      <w:szCs w:val="21"/>
                      <w:highlight w:val="none"/>
                      <w:u w:val="none" w:color="auto"/>
                      <w:vertAlign w:val="baseline"/>
                      <w:lang w:val="en-US" w:eastAsia="zh-CN" w:bidi="ar-SA"/>
                      <w14:textFill>
                        <w14:solidFill>
                          <w14:schemeClr w14:val="tx1"/>
                        </w14:solidFill>
                      </w14:textFill>
                    </w:rPr>
                  </w:pPr>
                  <w:r>
                    <w:rPr>
                      <w:rFonts w:hint="default" w:ascii="Times New Roman" w:hAnsi="Times New Roman" w:eastAsia="宋体" w:cs="Times New Roman"/>
                      <w:bCs/>
                      <w:color w:val="000000" w:themeColor="text1"/>
                      <w:sz w:val="21"/>
                      <w:szCs w:val="21"/>
                      <w:highlight w:val="none"/>
                      <w:u w:val="none" w:color="auto"/>
                      <w14:textFill>
                        <w14:solidFill>
                          <w14:schemeClr w14:val="tx1"/>
                        </w14:solidFill>
                      </w14:textFill>
                    </w:rPr>
                    <w:t>280</w:t>
                  </w:r>
                </w:p>
              </w:tc>
              <w:tc>
                <w:tcPr>
                  <w:tcW w:w="1330" w:type="dxa"/>
                  <w:vAlign w:val="center"/>
                </w:tcPr>
                <w:p w14:paraId="7DE0919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b w:val="0"/>
                      <w:bCs/>
                      <w:color w:val="000000" w:themeColor="text1"/>
                      <w:kern w:val="2"/>
                      <w:sz w:val="21"/>
                      <w:szCs w:val="21"/>
                      <w:highlight w:val="none"/>
                      <w:u w:val="none" w:color="auto"/>
                      <w:vertAlign w:val="baseline"/>
                      <w:lang w:val="en-US" w:eastAsia="zh-CN" w:bidi="ar-SA"/>
                      <w14:textFill>
                        <w14:solidFill>
                          <w14:schemeClr w14:val="tx1"/>
                        </w14:solidFill>
                      </w14:textFill>
                    </w:rPr>
                  </w:pPr>
                  <w:r>
                    <w:rPr>
                      <w:rFonts w:hint="default" w:ascii="Times New Roman" w:hAnsi="Times New Roman" w:eastAsia="宋体" w:cs="Times New Roman"/>
                      <w:bCs/>
                      <w:color w:val="000000" w:themeColor="text1"/>
                      <w:sz w:val="21"/>
                      <w:szCs w:val="21"/>
                      <w:highlight w:val="none"/>
                      <w:u w:val="none" w:color="auto"/>
                      <w14:textFill>
                        <w14:solidFill>
                          <w14:schemeClr w14:val="tx1"/>
                        </w14:solidFill>
                      </w14:textFill>
                    </w:rPr>
                    <w:t>30</w:t>
                  </w:r>
                </w:p>
              </w:tc>
            </w:tr>
          </w:tbl>
          <w:p w14:paraId="13BA460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000000" w:themeColor="text1"/>
                <w:kern w:val="0"/>
                <w:sz w:val="24"/>
                <w:szCs w:val="24"/>
                <w:highlight w:val="none"/>
                <w:u w:val="none" w:color="auto"/>
                <w14:textFill>
                  <w14:solidFill>
                    <w14:schemeClr w14:val="tx1"/>
                  </w14:solidFill>
                </w14:textFill>
              </w:rPr>
            </w:pPr>
            <w:r>
              <w:rPr>
                <w:rFonts w:hint="eastAsia" w:ascii="Times New Roman" w:hAnsi="Times New Roman" w:eastAsia="宋体" w:cs="Times New Roman"/>
                <w:color w:val="000000" w:themeColor="text1"/>
                <w:kern w:val="0"/>
                <w:sz w:val="24"/>
                <w:szCs w:val="24"/>
                <w:highlight w:val="none"/>
                <w:u w:val="none" w:color="auto"/>
                <w:lang w:val="en-US" w:eastAsia="zh-CN"/>
                <w14:textFill>
                  <w14:solidFill>
                    <w14:schemeClr w14:val="tx1"/>
                  </w14:solidFill>
                </w14:textFill>
              </w:rPr>
              <w:t>2</w:t>
            </w:r>
            <w:r>
              <w:rPr>
                <w:rFonts w:hint="default" w:ascii="Times New Roman" w:hAnsi="Times New Roman" w:eastAsia="宋体" w:cs="Times New Roman"/>
                <w:color w:val="000000" w:themeColor="text1"/>
                <w:kern w:val="0"/>
                <w:sz w:val="24"/>
                <w:szCs w:val="24"/>
                <w:highlight w:val="none"/>
                <w:u w:val="none" w:color="auto"/>
                <w14:textFill>
                  <w14:solidFill>
                    <w14:schemeClr w14:val="tx1"/>
                  </w14:solidFill>
                </w14:textFill>
              </w:rPr>
              <w:t>.2废水处理措施可行性及达标性分析</w:t>
            </w:r>
          </w:p>
          <w:p w14:paraId="71AF11E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pP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项目营运期生活污水产生量为</w:t>
            </w:r>
            <w:r>
              <w:rPr>
                <w:rFonts w:hint="eastAsia" w:cs="Times New Roman"/>
                <w:color w:val="000000" w:themeColor="text1"/>
                <w:sz w:val="24"/>
                <w:szCs w:val="24"/>
                <w:highlight w:val="none"/>
                <w:u w:val="none" w:color="auto"/>
                <w:lang w:val="en-US" w:eastAsia="zh-CN"/>
                <w14:textFill>
                  <w14:solidFill>
                    <w14:schemeClr w14:val="tx1"/>
                  </w14:solidFill>
                </w14:textFill>
              </w:rPr>
              <w:t>0.8</w:t>
            </w: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m</w:t>
            </w:r>
            <w:r>
              <w:rPr>
                <w:rFonts w:hint="default" w:ascii="Times New Roman" w:hAnsi="Times New Roman" w:eastAsia="宋体" w:cs="Times New Roman"/>
                <w:color w:val="000000" w:themeColor="text1"/>
                <w:sz w:val="24"/>
                <w:szCs w:val="24"/>
                <w:highlight w:val="none"/>
                <w:u w:val="none" w:color="auto"/>
                <w:vertAlign w:val="superscript"/>
                <w14:textFill>
                  <w14:solidFill>
                    <w14:schemeClr w14:val="tx1"/>
                  </w14:solidFill>
                </w14:textFill>
              </w:rPr>
              <w:t>3</w:t>
            </w: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/d，产生量较小，</w:t>
            </w:r>
            <w:r>
              <w:rPr>
                <w:rFonts w:hint="eastAsia" w:cs="Times New Roman"/>
                <w:color w:val="000000" w:themeColor="text1"/>
                <w:sz w:val="24"/>
                <w:szCs w:val="24"/>
                <w:highlight w:val="none"/>
                <w:u w:val="none" w:color="auto"/>
                <w:lang w:val="en-US" w:eastAsia="zh-CN"/>
                <w14:textFill>
                  <w14:solidFill>
                    <w14:schemeClr w14:val="tx1"/>
                  </w14:solidFill>
                </w14:textFill>
              </w:rPr>
              <w:t>项目拟设置化粪池1座，容积为</w:t>
            </w:r>
            <w:r>
              <w:rPr>
                <w:rFonts w:hint="eastAsia" w:ascii="Times New Roman" w:hAnsi="Times New Roman" w:eastAsia="宋体" w:cs="Times New Roman"/>
                <w:color w:val="000000" w:themeColor="text1"/>
                <w:sz w:val="24"/>
                <w:szCs w:val="24"/>
                <w:highlight w:val="none"/>
                <w:u w:val="none" w:color="auto"/>
                <w:lang w:val="en-US" w:eastAsia="zh-CN"/>
                <w14:textFill>
                  <w14:solidFill>
                    <w14:schemeClr w14:val="tx1"/>
                  </w14:solidFill>
                </w14:textFill>
              </w:rPr>
              <w:t>10</w:t>
            </w:r>
            <w:r>
              <w:rPr>
                <w:rFonts w:hint="default" w:ascii="Times New Roman" w:hAnsi="Times New Roman" w:eastAsia="宋体" w:cs="Times New Roman"/>
                <w:color w:val="000000" w:themeColor="text1"/>
                <w:sz w:val="24"/>
                <w:szCs w:val="24"/>
                <w:highlight w:val="none"/>
                <w:u w:val="none" w:color="auto"/>
                <w:lang w:val="en-US" w:eastAsia="zh-CN"/>
                <w14:textFill>
                  <w14:solidFill>
                    <w14:schemeClr w14:val="tx1"/>
                  </w14:solidFill>
                </w14:textFill>
              </w:rPr>
              <w:t>m</w:t>
            </w:r>
            <w:r>
              <w:rPr>
                <w:rFonts w:hint="default" w:ascii="Times New Roman" w:hAnsi="Times New Roman" w:eastAsia="宋体" w:cs="Times New Roman"/>
                <w:color w:val="000000" w:themeColor="text1"/>
                <w:sz w:val="24"/>
                <w:szCs w:val="24"/>
                <w:highlight w:val="none"/>
                <w:u w:val="none" w:color="auto"/>
                <w:vertAlign w:val="superscript"/>
                <w14:textFill>
                  <w14:solidFill>
                    <w14:schemeClr w14:val="tx1"/>
                  </w14:solidFill>
                </w14:textFill>
              </w:rPr>
              <w:t>3</w:t>
            </w:r>
            <w:r>
              <w:rPr>
                <w:rFonts w:hint="default" w:ascii="Times New Roman" w:hAnsi="Times New Roman" w:eastAsia="宋体" w:cs="Times New Roman"/>
                <w:color w:val="000000" w:themeColor="text1"/>
                <w:sz w:val="24"/>
                <w:szCs w:val="24"/>
                <w:highlight w:val="none"/>
                <w:u w:val="none" w:color="auto"/>
                <w:vertAlign w:val="baseline"/>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采取三防措施</w:t>
            </w:r>
            <w:r>
              <w:rPr>
                <w:rFonts w:hint="eastAsia" w:cs="Times New Roman"/>
                <w:color w:val="000000" w:themeColor="text1"/>
                <w:sz w:val="24"/>
                <w:szCs w:val="24"/>
                <w:highlight w:val="none"/>
                <w:u w:val="none" w:color="auto"/>
                <w:lang w:eastAsia="zh-CN"/>
                <w14:textFill>
                  <w14:solidFill>
                    <w14:schemeClr w14:val="tx1"/>
                  </w14:solidFill>
                </w14:textFill>
              </w:rPr>
              <w:t>。</w:t>
            </w:r>
            <w:r>
              <w:rPr>
                <w:rFonts w:hint="eastAsia" w:cs="Times New Roman"/>
                <w:color w:val="000000" w:themeColor="text1"/>
                <w:sz w:val="24"/>
                <w:szCs w:val="24"/>
                <w:highlight w:val="none"/>
                <w:u w:val="none" w:color="auto"/>
                <w:lang w:val="en-US" w:eastAsia="zh-CN"/>
                <w14:textFill>
                  <w14:solidFill>
                    <w14:schemeClr w14:val="tx1"/>
                  </w14:solidFill>
                </w14:textFill>
              </w:rPr>
              <w:t>生活污水经化粪池</w:t>
            </w: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处理后用于周围农田施肥，资源化利用不外排，化粪池一般每</w:t>
            </w:r>
            <w:r>
              <w:rPr>
                <w:rFonts w:hint="eastAsia" w:cs="Times New Roman"/>
                <w:color w:val="000000" w:themeColor="text1"/>
                <w:sz w:val="24"/>
                <w:szCs w:val="24"/>
                <w:highlight w:val="none"/>
                <w:u w:val="none" w:color="auto"/>
                <w:lang w:val="en-US" w:eastAsia="zh-CN"/>
                <w14:textFill>
                  <w14:solidFill>
                    <w14:schemeClr w14:val="tx1"/>
                  </w14:solidFill>
                </w14:textFill>
              </w:rPr>
              <w:t>12d</w:t>
            </w: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清掏一次，因此化粪池容积为</w:t>
            </w:r>
            <w:r>
              <w:rPr>
                <w:rFonts w:hint="eastAsia" w:ascii="Times New Roman" w:hAnsi="Times New Roman" w:eastAsia="宋体" w:cs="Times New Roman"/>
                <w:color w:val="000000" w:themeColor="text1"/>
                <w:sz w:val="24"/>
                <w:szCs w:val="24"/>
                <w:highlight w:val="none"/>
                <w:u w:val="none" w:color="auto"/>
                <w:lang w:val="en-US" w:eastAsia="zh-CN"/>
                <w14:textFill>
                  <w14:solidFill>
                    <w14:schemeClr w14:val="tx1"/>
                  </w14:solidFill>
                </w14:textFill>
              </w:rPr>
              <w:t>10</w:t>
            </w:r>
            <w:r>
              <w:rPr>
                <w:rFonts w:hint="default" w:ascii="Times New Roman" w:hAnsi="Times New Roman" w:eastAsia="宋体" w:cs="Times New Roman"/>
                <w:color w:val="000000" w:themeColor="text1"/>
                <w:sz w:val="24"/>
                <w:szCs w:val="24"/>
                <w:highlight w:val="none"/>
                <w:u w:val="none" w:color="auto"/>
                <w:lang w:val="en-US" w:eastAsia="zh-CN"/>
                <w14:textFill>
                  <w14:solidFill>
                    <w14:schemeClr w14:val="tx1"/>
                  </w14:solidFill>
                </w14:textFill>
              </w:rPr>
              <w:t>m</w:t>
            </w:r>
            <w:r>
              <w:rPr>
                <w:rFonts w:hint="default" w:ascii="Times New Roman" w:hAnsi="Times New Roman" w:eastAsia="宋体" w:cs="Times New Roman"/>
                <w:color w:val="000000" w:themeColor="text1"/>
                <w:sz w:val="24"/>
                <w:szCs w:val="24"/>
                <w:highlight w:val="none"/>
                <w:u w:val="none" w:color="auto"/>
                <w:vertAlign w:val="superscript"/>
                <w14:textFill>
                  <w14:solidFill>
                    <w14:schemeClr w14:val="tx1"/>
                  </w14:solidFill>
                </w14:textFill>
              </w:rPr>
              <w:t>3</w:t>
            </w: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，处理能力能够满足需求；且项目厂区周边有大量的农田，能够完全消纳本项目生活污水，处理措施可行。</w:t>
            </w:r>
          </w:p>
          <w:p w14:paraId="27283C8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pPr>
            <w:r>
              <w:rPr>
                <w:rFonts w:hint="eastAsia" w:ascii="Times New Roman" w:hAnsi="Times New Roman" w:eastAsia="宋体" w:cs="Times New Roman"/>
                <w:color w:val="000000" w:themeColor="text1"/>
                <w:sz w:val="24"/>
                <w:szCs w:val="24"/>
                <w:highlight w:val="none"/>
                <w:u w:val="none" w:color="auto"/>
                <w:lang w:val="en-US" w:eastAsia="zh-CN"/>
                <w14:textFill>
                  <w14:solidFill>
                    <w14:schemeClr w14:val="tx1"/>
                  </w14:solidFill>
                </w14:textFill>
              </w:rPr>
              <w:t>2</w:t>
            </w:r>
            <w:r>
              <w:rPr>
                <w:rFonts w:hint="default" w:ascii="Times New Roman" w:hAnsi="Times New Roman" w:eastAsia="宋体" w:cs="Times New Roman"/>
                <w:color w:val="000000" w:themeColor="text1"/>
                <w:sz w:val="24"/>
                <w:szCs w:val="24"/>
                <w:highlight w:val="none"/>
                <w:u w:val="none" w:color="auto"/>
                <w:lang w:val="en-US" w:eastAsia="zh-CN"/>
                <w14:textFill>
                  <w14:solidFill>
                    <w14:schemeClr w14:val="tx1"/>
                  </w14:solidFill>
                </w14:textFill>
              </w:rPr>
              <w:t>.</w:t>
            </w:r>
            <w:r>
              <w:rPr>
                <w:rFonts w:hint="eastAsia" w:cs="Times New Roman"/>
                <w:color w:val="000000" w:themeColor="text1"/>
                <w:sz w:val="24"/>
                <w:szCs w:val="24"/>
                <w:highlight w:val="none"/>
                <w:u w:val="none" w:color="auto"/>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废水类别、污染物及污染治理设施信息表</w:t>
            </w:r>
          </w:p>
          <w:p w14:paraId="5405A8F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jc w:val="center"/>
              <w:textAlignment w:val="auto"/>
              <w:rPr>
                <w:rFonts w:hint="default" w:ascii="Times New Roman" w:hAnsi="Times New Roman" w:eastAsia="宋体" w:cs="Times New Roman"/>
                <w:b/>
                <w:color w:val="000000" w:themeColor="text1"/>
                <w:kern w:val="2"/>
                <w:sz w:val="24"/>
                <w:szCs w:val="24"/>
                <w:highlight w:val="none"/>
                <w:u w:val="none" w:color="auto"/>
                <w:lang w:val="en-GB" w:eastAsia="zh-CN" w:bidi="ar-SA"/>
                <w14:textFill>
                  <w14:solidFill>
                    <w14:schemeClr w14:val="tx1"/>
                  </w14:solidFill>
                </w14:textFill>
              </w:rPr>
            </w:pPr>
            <w:r>
              <w:rPr>
                <w:rFonts w:hint="default" w:ascii="Times New Roman" w:hAnsi="Times New Roman" w:eastAsia="宋体" w:cs="Times New Roman"/>
                <w:b/>
                <w:color w:val="000000" w:themeColor="text1"/>
                <w:kern w:val="2"/>
                <w:sz w:val="24"/>
                <w:szCs w:val="24"/>
                <w:highlight w:val="none"/>
                <w:u w:val="none" w:color="auto"/>
                <w:lang w:val="en-GB" w:eastAsia="zh-CN" w:bidi="ar-SA"/>
                <w14:textFill>
                  <w14:solidFill>
                    <w14:schemeClr w14:val="tx1"/>
                  </w14:solidFill>
                </w14:textFill>
              </w:rPr>
              <w:t>表4-</w:t>
            </w:r>
            <w:r>
              <w:rPr>
                <w:rFonts w:hint="eastAsia" w:ascii="Times New Roman" w:hAnsi="Times New Roman" w:eastAsia="宋体" w:cs="Times New Roman"/>
                <w:b/>
                <w:color w:val="000000" w:themeColor="text1"/>
                <w:kern w:val="2"/>
                <w:sz w:val="24"/>
                <w:szCs w:val="24"/>
                <w:highlight w:val="none"/>
                <w:u w:val="none" w:color="auto"/>
                <w:lang w:val="en-US" w:eastAsia="zh-CN" w:bidi="ar-SA"/>
                <w14:textFill>
                  <w14:solidFill>
                    <w14:schemeClr w14:val="tx1"/>
                  </w14:solidFill>
                </w14:textFill>
              </w:rPr>
              <w:t>16</w:t>
            </w:r>
            <w:r>
              <w:rPr>
                <w:rFonts w:hint="default" w:ascii="Times New Roman" w:hAnsi="Times New Roman" w:eastAsia="宋体" w:cs="Times New Roman"/>
                <w:b/>
                <w:color w:val="000000" w:themeColor="text1"/>
                <w:kern w:val="2"/>
                <w:sz w:val="24"/>
                <w:szCs w:val="24"/>
                <w:highlight w:val="none"/>
                <w:u w:val="none" w:color="auto"/>
                <w:lang w:val="en-GB" w:eastAsia="zh-CN" w:bidi="ar-SA"/>
                <w14:textFill>
                  <w14:solidFill>
                    <w14:schemeClr w14:val="tx1"/>
                  </w14:solidFill>
                </w14:textFill>
              </w:rPr>
              <w:t xml:space="preserve">   废水类别、污染物及污染治理设施信息表</w:t>
            </w:r>
          </w:p>
          <w:tbl>
            <w:tblPr>
              <w:tblStyle w:val="30"/>
              <w:tblW w:w="930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30"/>
              <w:gridCol w:w="930"/>
              <w:gridCol w:w="930"/>
              <w:gridCol w:w="930"/>
              <w:gridCol w:w="931"/>
              <w:gridCol w:w="931"/>
              <w:gridCol w:w="931"/>
              <w:gridCol w:w="931"/>
              <w:gridCol w:w="931"/>
              <w:gridCol w:w="931"/>
            </w:tblGrid>
            <w:tr w14:paraId="57F77C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30" w:type="dxa"/>
                  <w:vMerge w:val="restart"/>
                  <w:vAlign w:val="center"/>
                </w:tcPr>
                <w:p w14:paraId="00F9AC0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b w:val="0"/>
                      <w:bCs/>
                      <w:color w:val="000000" w:themeColor="text1"/>
                      <w:kern w:val="2"/>
                      <w:sz w:val="24"/>
                      <w:szCs w:val="24"/>
                      <w:highlight w:val="none"/>
                      <w:u w:val="none" w:color="auto"/>
                      <w:vertAlign w:val="baseline"/>
                      <w:lang w:val="en-GB"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废水类别</w:t>
                  </w:r>
                </w:p>
              </w:tc>
              <w:tc>
                <w:tcPr>
                  <w:tcW w:w="930" w:type="dxa"/>
                  <w:vMerge w:val="restart"/>
                  <w:vAlign w:val="center"/>
                </w:tcPr>
                <w:p w14:paraId="4A4FA7E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b w:val="0"/>
                      <w:bCs/>
                      <w:color w:val="000000" w:themeColor="text1"/>
                      <w:kern w:val="2"/>
                      <w:sz w:val="24"/>
                      <w:szCs w:val="24"/>
                      <w:highlight w:val="none"/>
                      <w:u w:val="none" w:color="auto"/>
                      <w:vertAlign w:val="baseline"/>
                      <w:lang w:val="en-GB"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污染物种类</w:t>
                  </w:r>
                </w:p>
              </w:tc>
              <w:tc>
                <w:tcPr>
                  <w:tcW w:w="930" w:type="dxa"/>
                  <w:vMerge w:val="restart"/>
                  <w:vAlign w:val="center"/>
                </w:tcPr>
                <w:p w14:paraId="2D99444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b w:val="0"/>
                      <w:bCs/>
                      <w:color w:val="000000" w:themeColor="text1"/>
                      <w:kern w:val="2"/>
                      <w:sz w:val="24"/>
                      <w:szCs w:val="24"/>
                      <w:highlight w:val="none"/>
                      <w:u w:val="none" w:color="auto"/>
                      <w:vertAlign w:val="baseline"/>
                      <w:lang w:val="en-GB"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排放去向</w:t>
                  </w:r>
                </w:p>
              </w:tc>
              <w:tc>
                <w:tcPr>
                  <w:tcW w:w="930" w:type="dxa"/>
                  <w:vMerge w:val="restart"/>
                  <w:vAlign w:val="center"/>
                </w:tcPr>
                <w:p w14:paraId="4D101CF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b w:val="0"/>
                      <w:bCs/>
                      <w:color w:val="000000" w:themeColor="text1"/>
                      <w:kern w:val="2"/>
                      <w:sz w:val="24"/>
                      <w:szCs w:val="24"/>
                      <w:highlight w:val="none"/>
                      <w:u w:val="none" w:color="auto"/>
                      <w:vertAlign w:val="baseline"/>
                      <w:lang w:val="en-GB"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排放规律</w:t>
                  </w:r>
                </w:p>
              </w:tc>
              <w:tc>
                <w:tcPr>
                  <w:tcW w:w="2793" w:type="dxa"/>
                  <w:gridSpan w:val="3"/>
                  <w:vAlign w:val="center"/>
                </w:tcPr>
                <w:p w14:paraId="1F54A3D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right="0"/>
                    <w:jc w:val="center"/>
                    <w:textAlignment w:val="auto"/>
                    <w:rPr>
                      <w:rFonts w:hint="default" w:ascii="Times New Roman" w:hAnsi="Times New Roman" w:eastAsia="宋体" w:cs="Times New Roman"/>
                      <w:b w:val="0"/>
                      <w:bCs/>
                      <w:color w:val="000000" w:themeColor="text1"/>
                      <w:kern w:val="2"/>
                      <w:sz w:val="24"/>
                      <w:szCs w:val="24"/>
                      <w:highlight w:val="none"/>
                      <w:u w:val="none" w:color="auto"/>
                      <w:vertAlign w:val="baseline"/>
                      <w:lang w:val="en-GB"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污染治理设施</w:t>
                  </w:r>
                </w:p>
              </w:tc>
              <w:tc>
                <w:tcPr>
                  <w:tcW w:w="931" w:type="dxa"/>
                  <w:vMerge w:val="restart"/>
                  <w:vAlign w:val="center"/>
                </w:tcPr>
                <w:p w14:paraId="1FE594C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b w:val="0"/>
                      <w:bCs/>
                      <w:color w:val="000000" w:themeColor="text1"/>
                      <w:kern w:val="2"/>
                      <w:sz w:val="24"/>
                      <w:szCs w:val="24"/>
                      <w:highlight w:val="none"/>
                      <w:u w:val="none" w:color="auto"/>
                      <w:vertAlign w:val="baseline"/>
                      <w:lang w:val="en-GB"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排放口编号</w:t>
                  </w:r>
                </w:p>
              </w:tc>
              <w:tc>
                <w:tcPr>
                  <w:tcW w:w="931" w:type="dxa"/>
                  <w:vMerge w:val="restart"/>
                  <w:vAlign w:val="center"/>
                </w:tcPr>
                <w:p w14:paraId="581C02D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b w:val="0"/>
                      <w:bCs/>
                      <w:color w:val="000000" w:themeColor="text1"/>
                      <w:kern w:val="2"/>
                      <w:sz w:val="24"/>
                      <w:szCs w:val="24"/>
                      <w:highlight w:val="none"/>
                      <w:u w:val="none" w:color="auto"/>
                      <w:vertAlign w:val="baseline"/>
                      <w:lang w:val="en-GB"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排放口设置是否符合要求</w:t>
                  </w:r>
                </w:p>
              </w:tc>
              <w:tc>
                <w:tcPr>
                  <w:tcW w:w="931" w:type="dxa"/>
                  <w:vMerge w:val="restart"/>
                  <w:vAlign w:val="center"/>
                </w:tcPr>
                <w:p w14:paraId="7B94220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b w:val="0"/>
                      <w:bCs/>
                      <w:color w:val="000000" w:themeColor="text1"/>
                      <w:kern w:val="2"/>
                      <w:sz w:val="24"/>
                      <w:szCs w:val="24"/>
                      <w:highlight w:val="none"/>
                      <w:u w:val="none" w:color="auto"/>
                      <w:vertAlign w:val="baseline"/>
                      <w:lang w:val="en-GB"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排放口类型</w:t>
                  </w:r>
                </w:p>
              </w:tc>
            </w:tr>
            <w:tr w14:paraId="42E4E2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30" w:type="dxa"/>
                  <w:vMerge w:val="continue"/>
                  <w:vAlign w:val="center"/>
                </w:tcPr>
                <w:p w14:paraId="01E1839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right="0"/>
                    <w:jc w:val="center"/>
                    <w:textAlignment w:val="auto"/>
                    <w:rPr>
                      <w:rFonts w:hint="default" w:ascii="Times New Roman" w:hAnsi="Times New Roman" w:eastAsia="宋体" w:cs="Times New Roman"/>
                      <w:b w:val="0"/>
                      <w:bCs/>
                      <w:color w:val="000000" w:themeColor="text1"/>
                      <w:kern w:val="2"/>
                      <w:sz w:val="24"/>
                      <w:szCs w:val="24"/>
                      <w:highlight w:val="none"/>
                      <w:u w:val="none" w:color="auto"/>
                      <w:vertAlign w:val="baseline"/>
                      <w:lang w:val="en-GB" w:eastAsia="zh-CN" w:bidi="ar-SA"/>
                      <w14:textFill>
                        <w14:solidFill>
                          <w14:schemeClr w14:val="tx1"/>
                        </w14:solidFill>
                      </w14:textFill>
                    </w:rPr>
                  </w:pPr>
                </w:p>
              </w:tc>
              <w:tc>
                <w:tcPr>
                  <w:tcW w:w="930" w:type="dxa"/>
                  <w:vMerge w:val="continue"/>
                  <w:vAlign w:val="center"/>
                </w:tcPr>
                <w:p w14:paraId="1E62701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right="0"/>
                    <w:jc w:val="center"/>
                    <w:textAlignment w:val="auto"/>
                    <w:rPr>
                      <w:rFonts w:hint="default" w:ascii="Times New Roman" w:hAnsi="Times New Roman" w:eastAsia="宋体" w:cs="Times New Roman"/>
                      <w:b w:val="0"/>
                      <w:bCs/>
                      <w:color w:val="000000" w:themeColor="text1"/>
                      <w:kern w:val="2"/>
                      <w:sz w:val="24"/>
                      <w:szCs w:val="24"/>
                      <w:highlight w:val="none"/>
                      <w:u w:val="none" w:color="auto"/>
                      <w:vertAlign w:val="baseline"/>
                      <w:lang w:val="en-GB" w:eastAsia="zh-CN" w:bidi="ar-SA"/>
                      <w14:textFill>
                        <w14:solidFill>
                          <w14:schemeClr w14:val="tx1"/>
                        </w14:solidFill>
                      </w14:textFill>
                    </w:rPr>
                  </w:pPr>
                </w:p>
              </w:tc>
              <w:tc>
                <w:tcPr>
                  <w:tcW w:w="930" w:type="dxa"/>
                  <w:vMerge w:val="continue"/>
                  <w:vAlign w:val="center"/>
                </w:tcPr>
                <w:p w14:paraId="0FE1B03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right="0"/>
                    <w:jc w:val="center"/>
                    <w:textAlignment w:val="auto"/>
                    <w:rPr>
                      <w:rFonts w:hint="default" w:ascii="Times New Roman" w:hAnsi="Times New Roman" w:eastAsia="宋体" w:cs="Times New Roman"/>
                      <w:b w:val="0"/>
                      <w:bCs/>
                      <w:color w:val="000000" w:themeColor="text1"/>
                      <w:kern w:val="2"/>
                      <w:sz w:val="24"/>
                      <w:szCs w:val="24"/>
                      <w:highlight w:val="none"/>
                      <w:u w:val="none" w:color="auto"/>
                      <w:vertAlign w:val="baseline"/>
                      <w:lang w:val="en-GB" w:eastAsia="zh-CN" w:bidi="ar-SA"/>
                      <w14:textFill>
                        <w14:solidFill>
                          <w14:schemeClr w14:val="tx1"/>
                        </w14:solidFill>
                      </w14:textFill>
                    </w:rPr>
                  </w:pPr>
                </w:p>
              </w:tc>
              <w:tc>
                <w:tcPr>
                  <w:tcW w:w="930" w:type="dxa"/>
                  <w:vMerge w:val="continue"/>
                  <w:vAlign w:val="center"/>
                </w:tcPr>
                <w:p w14:paraId="213A452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right="0"/>
                    <w:jc w:val="center"/>
                    <w:textAlignment w:val="auto"/>
                    <w:rPr>
                      <w:rFonts w:hint="default" w:ascii="Times New Roman" w:hAnsi="Times New Roman" w:eastAsia="宋体" w:cs="Times New Roman"/>
                      <w:b w:val="0"/>
                      <w:bCs/>
                      <w:color w:val="000000" w:themeColor="text1"/>
                      <w:kern w:val="2"/>
                      <w:sz w:val="24"/>
                      <w:szCs w:val="24"/>
                      <w:highlight w:val="none"/>
                      <w:u w:val="none" w:color="auto"/>
                      <w:vertAlign w:val="baseline"/>
                      <w:lang w:val="en-GB" w:eastAsia="zh-CN" w:bidi="ar-SA"/>
                      <w14:textFill>
                        <w14:solidFill>
                          <w14:schemeClr w14:val="tx1"/>
                        </w14:solidFill>
                      </w14:textFill>
                    </w:rPr>
                  </w:pPr>
                </w:p>
              </w:tc>
              <w:tc>
                <w:tcPr>
                  <w:tcW w:w="931" w:type="dxa"/>
                  <w:vAlign w:val="center"/>
                </w:tcPr>
                <w:p w14:paraId="673F6A4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b w:val="0"/>
                      <w:bCs/>
                      <w:color w:val="000000" w:themeColor="text1"/>
                      <w:kern w:val="2"/>
                      <w:sz w:val="24"/>
                      <w:szCs w:val="24"/>
                      <w:highlight w:val="none"/>
                      <w:u w:val="none" w:color="auto"/>
                      <w:vertAlign w:val="baseline"/>
                      <w:lang w:val="en-GB"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污染治理设施编号</w:t>
                  </w:r>
                </w:p>
              </w:tc>
              <w:tc>
                <w:tcPr>
                  <w:tcW w:w="931" w:type="dxa"/>
                  <w:vAlign w:val="center"/>
                </w:tcPr>
                <w:p w14:paraId="0A92801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b w:val="0"/>
                      <w:bCs/>
                      <w:color w:val="000000" w:themeColor="text1"/>
                      <w:kern w:val="2"/>
                      <w:sz w:val="24"/>
                      <w:szCs w:val="24"/>
                      <w:highlight w:val="none"/>
                      <w:u w:val="none" w:color="auto"/>
                      <w:vertAlign w:val="baseline"/>
                      <w:lang w:val="en-GB"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污染治理设施名称</w:t>
                  </w:r>
                </w:p>
              </w:tc>
              <w:tc>
                <w:tcPr>
                  <w:tcW w:w="931" w:type="dxa"/>
                  <w:vAlign w:val="center"/>
                </w:tcPr>
                <w:p w14:paraId="6B8D32F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b w:val="0"/>
                      <w:bCs/>
                      <w:color w:val="000000" w:themeColor="text1"/>
                      <w:kern w:val="2"/>
                      <w:sz w:val="24"/>
                      <w:szCs w:val="24"/>
                      <w:highlight w:val="none"/>
                      <w:u w:val="none" w:color="auto"/>
                      <w:vertAlign w:val="baseline"/>
                      <w:lang w:val="en-GB"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污染治理设施工艺</w:t>
                  </w:r>
                </w:p>
              </w:tc>
              <w:tc>
                <w:tcPr>
                  <w:tcW w:w="931" w:type="dxa"/>
                  <w:vMerge w:val="continue"/>
                  <w:vAlign w:val="center"/>
                </w:tcPr>
                <w:p w14:paraId="22E50D8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right="0"/>
                    <w:jc w:val="center"/>
                    <w:textAlignment w:val="auto"/>
                    <w:rPr>
                      <w:rFonts w:hint="default" w:ascii="Times New Roman" w:hAnsi="Times New Roman" w:eastAsia="宋体" w:cs="Times New Roman"/>
                      <w:b w:val="0"/>
                      <w:bCs/>
                      <w:color w:val="000000" w:themeColor="text1"/>
                      <w:kern w:val="2"/>
                      <w:sz w:val="24"/>
                      <w:szCs w:val="24"/>
                      <w:highlight w:val="none"/>
                      <w:u w:val="none" w:color="auto"/>
                      <w:vertAlign w:val="baseline"/>
                      <w:lang w:val="en-GB" w:eastAsia="zh-CN" w:bidi="ar-SA"/>
                      <w14:textFill>
                        <w14:solidFill>
                          <w14:schemeClr w14:val="tx1"/>
                        </w14:solidFill>
                      </w14:textFill>
                    </w:rPr>
                  </w:pPr>
                </w:p>
              </w:tc>
              <w:tc>
                <w:tcPr>
                  <w:tcW w:w="931" w:type="dxa"/>
                  <w:vMerge w:val="continue"/>
                  <w:vAlign w:val="center"/>
                </w:tcPr>
                <w:p w14:paraId="3456956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right="0"/>
                    <w:jc w:val="center"/>
                    <w:textAlignment w:val="auto"/>
                    <w:rPr>
                      <w:rFonts w:hint="default" w:ascii="Times New Roman" w:hAnsi="Times New Roman" w:eastAsia="宋体" w:cs="Times New Roman"/>
                      <w:b w:val="0"/>
                      <w:bCs/>
                      <w:color w:val="000000" w:themeColor="text1"/>
                      <w:kern w:val="2"/>
                      <w:sz w:val="24"/>
                      <w:szCs w:val="24"/>
                      <w:highlight w:val="none"/>
                      <w:u w:val="none" w:color="auto"/>
                      <w:vertAlign w:val="baseline"/>
                      <w:lang w:val="en-GB" w:eastAsia="zh-CN" w:bidi="ar-SA"/>
                      <w14:textFill>
                        <w14:solidFill>
                          <w14:schemeClr w14:val="tx1"/>
                        </w14:solidFill>
                      </w14:textFill>
                    </w:rPr>
                  </w:pPr>
                </w:p>
              </w:tc>
              <w:tc>
                <w:tcPr>
                  <w:tcW w:w="931" w:type="dxa"/>
                  <w:vMerge w:val="continue"/>
                  <w:vAlign w:val="center"/>
                </w:tcPr>
                <w:p w14:paraId="044A146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right="0"/>
                    <w:jc w:val="center"/>
                    <w:textAlignment w:val="auto"/>
                    <w:rPr>
                      <w:rFonts w:hint="default" w:ascii="Times New Roman" w:hAnsi="Times New Roman" w:eastAsia="宋体" w:cs="Times New Roman"/>
                      <w:b w:val="0"/>
                      <w:bCs/>
                      <w:color w:val="000000" w:themeColor="text1"/>
                      <w:kern w:val="2"/>
                      <w:sz w:val="24"/>
                      <w:szCs w:val="24"/>
                      <w:highlight w:val="none"/>
                      <w:u w:val="none" w:color="auto"/>
                      <w:vertAlign w:val="baseline"/>
                      <w:lang w:val="en-GB" w:eastAsia="zh-CN" w:bidi="ar-SA"/>
                      <w14:textFill>
                        <w14:solidFill>
                          <w14:schemeClr w14:val="tx1"/>
                        </w14:solidFill>
                      </w14:textFill>
                    </w:rPr>
                  </w:pPr>
                </w:p>
              </w:tc>
            </w:tr>
            <w:tr w14:paraId="1D17AE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30" w:type="dxa"/>
                  <w:vAlign w:val="center"/>
                </w:tcPr>
                <w:p w14:paraId="51097C2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b w:val="0"/>
                      <w:bCs/>
                      <w:color w:val="000000" w:themeColor="text1"/>
                      <w:kern w:val="2"/>
                      <w:sz w:val="24"/>
                      <w:szCs w:val="24"/>
                      <w:highlight w:val="none"/>
                      <w:u w:val="none" w:color="auto"/>
                      <w:vertAlign w:val="baseline"/>
                      <w:lang w:val="en-GB"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生活污水</w:t>
                  </w:r>
                </w:p>
              </w:tc>
              <w:tc>
                <w:tcPr>
                  <w:tcW w:w="930" w:type="dxa"/>
                  <w:vAlign w:val="center"/>
                </w:tcPr>
                <w:p w14:paraId="734A938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b w:val="0"/>
                      <w:bCs/>
                      <w:color w:val="000000" w:themeColor="text1"/>
                      <w:kern w:val="2"/>
                      <w:sz w:val="24"/>
                      <w:szCs w:val="24"/>
                      <w:highlight w:val="none"/>
                      <w:u w:val="none" w:color="auto"/>
                      <w:vertAlign w:val="baseline"/>
                      <w:lang w:val="en-GB"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pH、</w:t>
                  </w: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COD、BOD</w:t>
                  </w:r>
                  <w:r>
                    <w:rPr>
                      <w:rFonts w:hint="default" w:ascii="Times New Roman" w:hAnsi="Times New Roman" w:eastAsia="宋体" w:cs="Times New Roman"/>
                      <w:color w:val="000000" w:themeColor="text1"/>
                      <w:sz w:val="21"/>
                      <w:szCs w:val="21"/>
                      <w:highlight w:val="none"/>
                      <w:u w:val="none" w:color="auto"/>
                      <w:vertAlign w:val="subscript"/>
                      <w14:textFill>
                        <w14:solidFill>
                          <w14:schemeClr w14:val="tx1"/>
                        </w14:solidFill>
                      </w14:textFill>
                    </w:rPr>
                    <w:t>5</w:t>
                  </w: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、SS、NH</w:t>
                  </w:r>
                  <w:r>
                    <w:rPr>
                      <w:rFonts w:hint="default" w:ascii="Times New Roman" w:hAnsi="Times New Roman" w:eastAsia="宋体" w:cs="Times New Roman"/>
                      <w:color w:val="000000" w:themeColor="text1"/>
                      <w:sz w:val="21"/>
                      <w:szCs w:val="21"/>
                      <w:highlight w:val="none"/>
                      <w:u w:val="none" w:color="auto"/>
                      <w:vertAlign w:val="subscript"/>
                      <w14:textFill>
                        <w14:solidFill>
                          <w14:schemeClr w14:val="tx1"/>
                        </w14:solidFill>
                      </w14:textFill>
                    </w:rPr>
                    <w:t>3</w:t>
                  </w: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-N</w:t>
                  </w:r>
                </w:p>
              </w:tc>
              <w:tc>
                <w:tcPr>
                  <w:tcW w:w="930" w:type="dxa"/>
                  <w:vAlign w:val="center"/>
                </w:tcPr>
                <w:p w14:paraId="1EE0563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b w:val="0"/>
                      <w:bCs/>
                      <w:color w:val="000000" w:themeColor="text1"/>
                      <w:kern w:val="2"/>
                      <w:sz w:val="24"/>
                      <w:szCs w:val="24"/>
                      <w:highlight w:val="none"/>
                      <w:u w:val="none" w:color="auto"/>
                      <w:vertAlign w:val="baseline"/>
                      <w:lang w:val="en-GB"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用于周围农田施肥</w:t>
                  </w:r>
                </w:p>
              </w:tc>
              <w:tc>
                <w:tcPr>
                  <w:tcW w:w="930" w:type="dxa"/>
                  <w:vAlign w:val="center"/>
                </w:tcPr>
                <w:p w14:paraId="5F349A3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b w:val="0"/>
                      <w:bCs/>
                      <w:color w:val="000000" w:themeColor="text1"/>
                      <w:kern w:val="2"/>
                      <w:sz w:val="24"/>
                      <w:szCs w:val="24"/>
                      <w:highlight w:val="none"/>
                      <w:u w:val="none" w:color="auto"/>
                      <w:vertAlign w:val="baseline"/>
                      <w:lang w:val="en-GB"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t>/</w:t>
                  </w:r>
                </w:p>
              </w:tc>
              <w:tc>
                <w:tcPr>
                  <w:tcW w:w="931" w:type="dxa"/>
                  <w:vAlign w:val="center"/>
                </w:tcPr>
                <w:p w14:paraId="3381DA5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TW</w:t>
                  </w:r>
                </w:p>
                <w:p w14:paraId="5CE8D6B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b w:val="0"/>
                      <w:bCs/>
                      <w:color w:val="000000" w:themeColor="text1"/>
                      <w:kern w:val="2"/>
                      <w:sz w:val="24"/>
                      <w:szCs w:val="24"/>
                      <w:highlight w:val="none"/>
                      <w:u w:val="none" w:color="auto"/>
                      <w:vertAlign w:val="baseline"/>
                      <w:lang w:val="en-GB"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001（化粪池）</w:t>
                  </w:r>
                </w:p>
              </w:tc>
              <w:tc>
                <w:tcPr>
                  <w:tcW w:w="931" w:type="dxa"/>
                  <w:vAlign w:val="center"/>
                </w:tcPr>
                <w:p w14:paraId="02DC080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TW</w:t>
                  </w:r>
                </w:p>
                <w:p w14:paraId="727966F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b w:val="0"/>
                      <w:bCs/>
                      <w:color w:val="000000" w:themeColor="text1"/>
                      <w:kern w:val="2"/>
                      <w:sz w:val="24"/>
                      <w:szCs w:val="24"/>
                      <w:highlight w:val="none"/>
                      <w:u w:val="none" w:color="auto"/>
                      <w:vertAlign w:val="baseline"/>
                      <w:lang w:val="en-GB"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001（化粪池）</w:t>
                  </w:r>
                </w:p>
              </w:tc>
              <w:tc>
                <w:tcPr>
                  <w:tcW w:w="931" w:type="dxa"/>
                  <w:vAlign w:val="center"/>
                </w:tcPr>
                <w:p w14:paraId="49B5293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b w:val="0"/>
                      <w:bCs/>
                      <w:color w:val="000000" w:themeColor="text1"/>
                      <w:kern w:val="2"/>
                      <w:sz w:val="24"/>
                      <w:szCs w:val="24"/>
                      <w:highlight w:val="none"/>
                      <w:u w:val="none" w:color="auto"/>
                      <w:vertAlign w:val="baseline"/>
                      <w:lang w:val="en-GB"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厌氧</w:t>
                  </w:r>
                </w:p>
              </w:tc>
              <w:tc>
                <w:tcPr>
                  <w:tcW w:w="931" w:type="dxa"/>
                  <w:vAlign w:val="center"/>
                </w:tcPr>
                <w:p w14:paraId="4C3E0C4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b w:val="0"/>
                      <w:bCs/>
                      <w:color w:val="000000" w:themeColor="text1"/>
                      <w:kern w:val="2"/>
                      <w:sz w:val="24"/>
                      <w:szCs w:val="24"/>
                      <w:highlight w:val="none"/>
                      <w:u w:val="none" w:color="auto"/>
                      <w:vertAlign w:val="baseline"/>
                      <w:lang w:val="en-GB"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w:t>
                  </w:r>
                </w:p>
              </w:tc>
              <w:tc>
                <w:tcPr>
                  <w:tcW w:w="931" w:type="dxa"/>
                  <w:vAlign w:val="center"/>
                </w:tcPr>
                <w:p w14:paraId="482C862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b w:val="0"/>
                      <w:bCs/>
                      <w:color w:val="000000" w:themeColor="text1"/>
                      <w:kern w:val="2"/>
                      <w:sz w:val="24"/>
                      <w:szCs w:val="24"/>
                      <w:highlight w:val="none"/>
                      <w:u w:val="none" w:color="auto"/>
                      <w:vertAlign w:val="baseline"/>
                      <w:lang w:val="en-GB"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w:t>
                  </w:r>
                </w:p>
              </w:tc>
              <w:tc>
                <w:tcPr>
                  <w:tcW w:w="931" w:type="dxa"/>
                  <w:vAlign w:val="center"/>
                </w:tcPr>
                <w:p w14:paraId="1F736E2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b w:val="0"/>
                      <w:bCs/>
                      <w:color w:val="000000" w:themeColor="text1"/>
                      <w:kern w:val="2"/>
                      <w:sz w:val="24"/>
                      <w:szCs w:val="24"/>
                      <w:highlight w:val="none"/>
                      <w:u w:val="none" w:color="auto"/>
                      <w:vertAlign w:val="baseline"/>
                      <w:lang w:val="en-GB"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w:t>
                  </w:r>
                </w:p>
              </w:tc>
            </w:tr>
          </w:tbl>
          <w:p w14:paraId="3B11C718">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000000" w:themeColor="text1"/>
                <w:kern w:val="0"/>
                <w:sz w:val="24"/>
                <w:szCs w:val="24"/>
                <w:highlight w:val="none"/>
                <w:u w:val="none" w:color="auto"/>
                <w14:textFill>
                  <w14:solidFill>
                    <w14:schemeClr w14:val="tx1"/>
                  </w14:solidFill>
                </w14:textFill>
              </w:rPr>
            </w:pPr>
            <w:r>
              <w:rPr>
                <w:rFonts w:hint="eastAsia" w:ascii="Times New Roman" w:hAnsi="Times New Roman" w:eastAsia="宋体" w:cs="Times New Roman"/>
                <w:color w:val="000000" w:themeColor="text1"/>
                <w:kern w:val="0"/>
                <w:sz w:val="24"/>
                <w:szCs w:val="24"/>
                <w:highlight w:val="none"/>
                <w:u w:val="none" w:color="auto"/>
                <w:lang w:val="en-US" w:eastAsia="zh-CN"/>
                <w14:textFill>
                  <w14:solidFill>
                    <w14:schemeClr w14:val="tx1"/>
                  </w14:solidFill>
                </w14:textFill>
              </w:rPr>
              <w:t>2</w:t>
            </w:r>
            <w:r>
              <w:rPr>
                <w:rFonts w:hint="default" w:ascii="Times New Roman" w:hAnsi="Times New Roman" w:eastAsia="宋体" w:cs="Times New Roman"/>
                <w:color w:val="000000" w:themeColor="text1"/>
                <w:kern w:val="0"/>
                <w:sz w:val="24"/>
                <w:szCs w:val="24"/>
                <w:highlight w:val="none"/>
                <w:u w:val="none" w:color="auto"/>
                <w:lang w:val="en-US" w:eastAsia="zh-CN"/>
                <w14:textFill>
                  <w14:solidFill>
                    <w14:schemeClr w14:val="tx1"/>
                  </w14:solidFill>
                </w14:textFill>
              </w:rPr>
              <w:t>.</w:t>
            </w:r>
            <w:r>
              <w:rPr>
                <w:rFonts w:hint="eastAsia" w:cs="Times New Roman"/>
                <w:color w:val="000000" w:themeColor="text1"/>
                <w:kern w:val="0"/>
                <w:sz w:val="24"/>
                <w:szCs w:val="24"/>
                <w:highlight w:val="none"/>
                <w:u w:val="none" w:color="auto"/>
                <w:lang w:val="en-US" w:eastAsia="zh-CN"/>
                <w14:textFill>
                  <w14:solidFill>
                    <w14:schemeClr w14:val="tx1"/>
                  </w14:solidFill>
                </w14:textFill>
              </w:rPr>
              <w:t>4</w:t>
            </w:r>
            <w:r>
              <w:rPr>
                <w:rFonts w:hint="default" w:ascii="Times New Roman" w:hAnsi="Times New Roman" w:eastAsia="宋体" w:cs="Times New Roman"/>
                <w:color w:val="000000" w:themeColor="text1"/>
                <w:kern w:val="0"/>
                <w:sz w:val="24"/>
                <w:szCs w:val="24"/>
                <w:highlight w:val="none"/>
                <w:u w:val="none" w:color="auto"/>
                <w14:textFill>
                  <w14:solidFill>
                    <w14:schemeClr w14:val="tx1"/>
                  </w14:solidFill>
                </w14:textFill>
              </w:rPr>
              <w:t>地表水环境影响评价结论</w:t>
            </w:r>
          </w:p>
          <w:p w14:paraId="597B5E34">
            <w:pPr>
              <w:pStyle w:val="58"/>
              <w:keepNext w:val="0"/>
              <w:keepLines w:val="0"/>
              <w:suppressLineNumbers w:val="0"/>
              <w:bidi w:val="0"/>
              <w:spacing w:before="0" w:beforeAutospacing="0" w:after="0" w:afterAutospacing="0"/>
              <w:ind w:left="0" w:right="0"/>
              <w:jc w:val="both"/>
              <w:rPr>
                <w:rFonts w:hint="eastAsia" w:ascii="Times New Roman" w:hAnsi="Times New Roman" w:cs="Times New Roman"/>
              </w:rPr>
            </w:pP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综上所述，本项目营运期废水经采取措施后不会对周围地表水环境造成不良影响。</w:t>
            </w:r>
          </w:p>
        </w:tc>
      </w:tr>
    </w:tbl>
    <w:p w14:paraId="33CADA3B">
      <w:pPr>
        <w:sectPr>
          <w:pgSz w:w="11905" w:h="16838"/>
          <w:pgMar w:top="1440" w:right="1083" w:bottom="1440" w:left="1083" w:header="851" w:footer="992" w:gutter="0"/>
          <w:pgNumType w:fmt="decimal"/>
          <w:cols w:space="720" w:num="1"/>
          <w:docGrid w:type="lines" w:linePitch="312" w:charSpace="0"/>
        </w:sectPr>
      </w:pPr>
    </w:p>
    <w:tbl>
      <w:tblPr>
        <w:tblStyle w:val="29"/>
        <w:tblW w:w="5121"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621"/>
        <w:gridCol w:w="13814"/>
      </w:tblGrid>
      <w:tr w14:paraId="7F94564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15" w:type="pct"/>
            <w:noWrap w:val="0"/>
            <w:tcMar>
              <w:left w:w="28" w:type="dxa"/>
              <w:right w:w="28" w:type="dxa"/>
            </w:tcMar>
            <w:vAlign w:val="center"/>
          </w:tcPr>
          <w:p w14:paraId="2B59D6B1">
            <w:pPr>
              <w:adjustRightInd w:val="0"/>
              <w:snapToGrid w:val="0"/>
              <w:jc w:val="center"/>
              <w:rPr>
                <w:bCs/>
                <w:color w:val="000000"/>
                <w:sz w:val="24"/>
              </w:rPr>
            </w:pPr>
          </w:p>
        </w:tc>
        <w:tc>
          <w:tcPr>
            <w:tcW w:w="4784" w:type="pct"/>
            <w:noWrap w:val="0"/>
            <w:vAlign w:val="top"/>
          </w:tcPr>
          <w:p w14:paraId="78BA9D3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2" w:firstLineChars="200"/>
              <w:jc w:val="both"/>
              <w:textAlignment w:val="auto"/>
              <w:rPr>
                <w:rFonts w:hint="default" w:ascii="Times New Roman" w:hAnsi="Times New Roman" w:eastAsia="宋体" w:cs="Times New Roman"/>
                <w:b/>
                <w:color w:val="000000"/>
                <w:kern w:val="0"/>
                <w:sz w:val="24"/>
                <w:szCs w:val="24"/>
                <w:highlight w:val="none"/>
                <w:u w:val="none" w:color="auto"/>
              </w:rPr>
            </w:pPr>
            <w:r>
              <w:rPr>
                <w:rFonts w:hint="default" w:ascii="Times New Roman" w:hAnsi="Times New Roman" w:eastAsia="宋体" w:cs="Times New Roman"/>
                <w:b/>
                <w:color w:val="000000"/>
                <w:kern w:val="0"/>
                <w:sz w:val="24"/>
                <w:szCs w:val="24"/>
                <w:highlight w:val="none"/>
                <w:u w:val="none" w:color="auto"/>
              </w:rPr>
              <w:t>3、噪声</w:t>
            </w:r>
          </w:p>
          <w:p w14:paraId="761D232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bCs/>
                <w:color w:val="000000"/>
                <w:sz w:val="24"/>
                <w:szCs w:val="24"/>
                <w:highlight w:val="none"/>
                <w:u w:val="none" w:color="auto"/>
              </w:rPr>
            </w:pPr>
            <w:r>
              <w:rPr>
                <w:rFonts w:hint="default" w:ascii="Times New Roman" w:hAnsi="Times New Roman" w:eastAsia="宋体" w:cs="Times New Roman"/>
                <w:bCs/>
                <w:color w:val="000000"/>
                <w:sz w:val="24"/>
                <w:szCs w:val="24"/>
                <w:highlight w:val="none"/>
                <w:u w:val="none" w:color="auto"/>
              </w:rPr>
              <w:t>3.1噪声源强</w:t>
            </w:r>
          </w:p>
          <w:p w14:paraId="5E0214D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b/>
                <w:color w:val="000000"/>
                <w:kern w:val="2"/>
                <w:sz w:val="24"/>
                <w:szCs w:val="24"/>
                <w:highlight w:val="none"/>
                <w:u w:val="none" w:color="auto"/>
                <w:lang w:val="en-US" w:eastAsia="zh-CN" w:bidi="ar-SA"/>
              </w:rPr>
            </w:pPr>
            <w:r>
              <w:rPr>
                <w:rFonts w:hint="default" w:ascii="Times New Roman" w:hAnsi="Times New Roman" w:eastAsia="宋体" w:cs="Times New Roman"/>
                <w:color w:val="000000"/>
                <w:sz w:val="24"/>
                <w:szCs w:val="24"/>
                <w:highlight w:val="none"/>
                <w:u w:val="none" w:color="auto"/>
              </w:rPr>
              <w:t>本项目营运期</w:t>
            </w:r>
            <w:r>
              <w:rPr>
                <w:rFonts w:hint="default" w:ascii="Times New Roman" w:hAnsi="Times New Roman" w:eastAsia="宋体" w:cs="Times New Roman"/>
                <w:color w:val="000000"/>
                <w:sz w:val="24"/>
                <w:szCs w:val="24"/>
                <w:highlight w:val="none"/>
                <w:u w:val="none" w:color="auto"/>
                <w:lang w:val="en-US" w:eastAsia="zh-CN"/>
              </w:rPr>
              <w:t>噪声源</w:t>
            </w:r>
            <w:r>
              <w:rPr>
                <w:rFonts w:hint="default" w:ascii="Times New Roman" w:hAnsi="Times New Roman" w:eastAsia="宋体" w:cs="Times New Roman"/>
                <w:color w:val="000000"/>
                <w:sz w:val="24"/>
                <w:szCs w:val="24"/>
                <w:highlight w:val="none"/>
                <w:u w:val="none" w:color="auto"/>
              </w:rPr>
              <w:t>主要</w:t>
            </w:r>
            <w:r>
              <w:rPr>
                <w:rFonts w:hint="eastAsia" w:cs="Times New Roman"/>
                <w:color w:val="000000"/>
                <w:sz w:val="24"/>
                <w:szCs w:val="24"/>
                <w:highlight w:val="none"/>
                <w:u w:val="none" w:color="auto"/>
                <w:lang w:val="en-US" w:eastAsia="zh-CN"/>
              </w:rPr>
              <w:t>为</w:t>
            </w:r>
            <w:r>
              <w:rPr>
                <w:rFonts w:hint="default" w:ascii="Times New Roman" w:hAnsi="Times New Roman" w:eastAsia="宋体" w:cs="Times New Roman"/>
                <w:color w:val="000000" w:themeColor="text1"/>
                <w:sz w:val="24"/>
                <w:szCs w:val="24"/>
                <w:highlight w:val="none"/>
                <w:u w:val="none" w:color="auto"/>
                <w:lang w:val="en-US" w:eastAsia="zh-CN"/>
                <w14:textFill>
                  <w14:solidFill>
                    <w14:schemeClr w14:val="tx1"/>
                  </w14:solidFill>
                </w14:textFill>
              </w:rPr>
              <w:t>破碎机、</w:t>
            </w:r>
            <w:r>
              <w:rPr>
                <w:rFonts w:hint="eastAsia" w:cs="Times New Roman"/>
                <w:color w:val="000000" w:themeColor="text1"/>
                <w:sz w:val="24"/>
                <w:szCs w:val="24"/>
                <w:highlight w:val="none"/>
                <w:u w:val="none" w:color="auto"/>
                <w:lang w:val="en-US" w:eastAsia="zh-CN"/>
                <w14:textFill>
                  <w14:solidFill>
                    <w14:schemeClr w14:val="tx1"/>
                  </w14:solidFill>
                </w14:textFill>
              </w:rPr>
              <w:t>筛分机、造粒机、粉碎机</w:t>
            </w:r>
            <w:r>
              <w:rPr>
                <w:rFonts w:hint="default" w:ascii="Times New Roman" w:hAnsi="Times New Roman" w:eastAsia="宋体" w:cs="Times New Roman"/>
                <w:color w:val="000000" w:themeColor="text1"/>
                <w:sz w:val="24"/>
                <w:szCs w:val="24"/>
                <w:highlight w:val="none"/>
                <w:u w:val="none" w:color="auto"/>
                <w:lang w:val="en-US" w:eastAsia="zh-CN"/>
                <w14:textFill>
                  <w14:solidFill>
                    <w14:schemeClr w14:val="tx1"/>
                  </w14:solidFill>
                </w14:textFill>
              </w:rPr>
              <w:t>、</w:t>
            </w:r>
            <w:r>
              <w:rPr>
                <w:rFonts w:hint="eastAsia" w:cs="Times New Roman"/>
                <w:color w:val="000000" w:themeColor="text1"/>
                <w:sz w:val="24"/>
                <w:szCs w:val="24"/>
                <w:highlight w:val="none"/>
                <w:u w:val="none" w:color="auto"/>
                <w:lang w:val="en-US" w:eastAsia="zh-CN"/>
                <w14:textFill>
                  <w14:solidFill>
                    <w14:schemeClr w14:val="tx1"/>
                  </w14:solidFill>
                </w14:textFill>
              </w:rPr>
              <w:t>筛分机、烘干机、热风炉、</w:t>
            </w:r>
            <w:r>
              <w:rPr>
                <w:rFonts w:hint="default" w:ascii="Times New Roman" w:hAnsi="Times New Roman" w:eastAsia="宋体" w:cs="Times New Roman"/>
                <w:color w:val="000000" w:themeColor="text1"/>
                <w:sz w:val="24"/>
                <w:szCs w:val="24"/>
                <w:highlight w:val="none"/>
                <w:u w:val="none" w:color="auto"/>
                <w:lang w:val="en-US" w:eastAsia="zh-CN"/>
                <w14:textFill>
                  <w14:solidFill>
                    <w14:schemeClr w14:val="tx1"/>
                  </w14:solidFill>
                </w14:textFill>
              </w:rPr>
              <w:t>风机</w:t>
            </w: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等</w:t>
            </w:r>
            <w:r>
              <w:rPr>
                <w:rFonts w:hint="eastAsia" w:cs="Times New Roman"/>
                <w:color w:val="auto"/>
                <w:sz w:val="24"/>
                <w:szCs w:val="24"/>
                <w:highlight w:val="none"/>
                <w:u w:val="none" w:color="auto"/>
                <w:lang w:val="en-US" w:eastAsia="zh-CN"/>
              </w:rPr>
              <w:t>等</w:t>
            </w:r>
            <w:r>
              <w:rPr>
                <w:rFonts w:hint="default" w:ascii="Times New Roman" w:hAnsi="Times New Roman" w:eastAsia="宋体" w:cs="Times New Roman"/>
                <w:color w:val="auto"/>
                <w:sz w:val="24"/>
                <w:szCs w:val="24"/>
                <w:highlight w:val="none"/>
                <w:u w:val="none" w:color="auto"/>
              </w:rPr>
              <w:t>设</w:t>
            </w:r>
            <w:r>
              <w:rPr>
                <w:rFonts w:hint="default" w:ascii="Times New Roman" w:hAnsi="Times New Roman" w:eastAsia="宋体" w:cs="Times New Roman"/>
                <w:color w:val="000000"/>
                <w:sz w:val="24"/>
                <w:szCs w:val="24"/>
                <w:highlight w:val="none"/>
                <w:u w:val="none" w:color="auto"/>
              </w:rPr>
              <w:t>备运行过程产生的噪声，噪声源在</w:t>
            </w:r>
            <w:r>
              <w:rPr>
                <w:rFonts w:hint="eastAsia" w:cs="Times New Roman"/>
                <w:color w:val="000000"/>
                <w:sz w:val="24"/>
                <w:szCs w:val="24"/>
                <w:highlight w:val="none"/>
                <w:u w:val="none" w:color="auto"/>
                <w:lang w:val="en-US" w:eastAsia="zh-CN"/>
              </w:rPr>
              <w:t>75</w:t>
            </w:r>
            <w:r>
              <w:rPr>
                <w:rFonts w:hint="default" w:ascii="Times New Roman" w:hAnsi="Times New Roman" w:eastAsia="宋体" w:cs="Times New Roman"/>
                <w:color w:val="000000"/>
                <w:sz w:val="24"/>
                <w:szCs w:val="24"/>
                <w:highlight w:val="none"/>
                <w:u w:val="none" w:color="auto"/>
              </w:rPr>
              <w:t>~</w:t>
            </w:r>
            <w:r>
              <w:rPr>
                <w:rFonts w:hint="eastAsia" w:cs="Times New Roman"/>
                <w:color w:val="000000"/>
                <w:sz w:val="24"/>
                <w:szCs w:val="24"/>
                <w:highlight w:val="none"/>
                <w:u w:val="none" w:color="auto"/>
                <w:lang w:val="en-US" w:eastAsia="zh-CN"/>
              </w:rPr>
              <w:t>85</w:t>
            </w:r>
            <w:r>
              <w:rPr>
                <w:rFonts w:hint="default" w:ascii="Times New Roman" w:hAnsi="Times New Roman" w:eastAsia="宋体" w:cs="Times New Roman"/>
                <w:color w:val="000000"/>
                <w:sz w:val="24"/>
                <w:szCs w:val="24"/>
                <w:highlight w:val="none"/>
                <w:u w:val="none" w:color="auto"/>
              </w:rPr>
              <w:t>dB（A）之间，经基础减振、厂房隔音</w:t>
            </w:r>
            <w:r>
              <w:rPr>
                <w:rFonts w:hint="default" w:ascii="Times New Roman" w:hAnsi="Times New Roman" w:eastAsia="宋体" w:cs="Times New Roman"/>
                <w:color w:val="000000"/>
                <w:sz w:val="24"/>
                <w:szCs w:val="24"/>
                <w:highlight w:val="none"/>
                <w:u w:val="none" w:color="auto"/>
                <w:lang w:eastAsia="zh-CN"/>
              </w:rPr>
              <w:t>、</w:t>
            </w:r>
            <w:r>
              <w:rPr>
                <w:rFonts w:hint="default" w:ascii="Times New Roman" w:hAnsi="Times New Roman" w:eastAsia="宋体" w:cs="Times New Roman"/>
                <w:color w:val="000000"/>
                <w:sz w:val="24"/>
                <w:szCs w:val="24"/>
                <w:highlight w:val="none"/>
                <w:u w:val="none" w:color="auto"/>
              </w:rPr>
              <w:t>设备消声措施处理后，主要高噪设备噪声产生源强及降噪措施见下表。</w:t>
            </w:r>
          </w:p>
          <w:p w14:paraId="3C71CD5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000000"/>
                <w:kern w:val="2"/>
                <w:sz w:val="24"/>
                <w:szCs w:val="24"/>
                <w:highlight w:val="none"/>
                <w:u w:val="none" w:color="auto"/>
                <w:lang w:val="en-US" w:eastAsia="zh-CN" w:bidi="ar-SA"/>
              </w:rPr>
            </w:pPr>
            <w:r>
              <w:rPr>
                <w:rFonts w:hint="default" w:ascii="Times New Roman" w:hAnsi="Times New Roman" w:eastAsia="宋体" w:cs="Times New Roman"/>
                <w:b/>
                <w:bCs w:val="0"/>
                <w:color w:val="000000"/>
                <w:kern w:val="2"/>
                <w:sz w:val="24"/>
                <w:szCs w:val="24"/>
                <w:highlight w:val="none"/>
                <w:u w:val="none" w:color="auto"/>
                <w:lang w:val="en-US" w:eastAsia="zh-CN" w:bidi="ar-SA"/>
              </w:rPr>
              <w:t>表4-</w:t>
            </w:r>
            <w:r>
              <w:rPr>
                <w:rFonts w:hint="eastAsia" w:ascii="Times New Roman" w:hAnsi="Times New Roman" w:eastAsia="宋体" w:cs="Times New Roman"/>
                <w:b/>
                <w:bCs w:val="0"/>
                <w:color w:val="000000"/>
                <w:kern w:val="2"/>
                <w:sz w:val="24"/>
                <w:szCs w:val="24"/>
                <w:highlight w:val="none"/>
                <w:u w:val="none" w:color="auto"/>
                <w:lang w:val="en-US" w:eastAsia="zh-CN" w:bidi="ar-SA"/>
              </w:rPr>
              <w:t>17</w:t>
            </w:r>
            <w:r>
              <w:rPr>
                <w:rFonts w:hint="default" w:ascii="Times New Roman" w:hAnsi="Times New Roman" w:eastAsia="宋体" w:cs="Times New Roman"/>
                <w:b/>
                <w:bCs w:val="0"/>
                <w:color w:val="000000"/>
                <w:kern w:val="2"/>
                <w:sz w:val="24"/>
                <w:szCs w:val="24"/>
                <w:highlight w:val="none"/>
                <w:u w:val="none" w:color="auto"/>
                <w:lang w:val="en-US" w:eastAsia="zh-CN" w:bidi="ar-SA"/>
              </w:rPr>
              <w:t xml:space="preserve">   本项目营运期噪声源强调查清单（室内声源）</w:t>
            </w:r>
          </w:p>
          <w:tbl>
            <w:tblPr>
              <w:tblStyle w:val="66"/>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730"/>
              <w:gridCol w:w="751"/>
              <w:gridCol w:w="1305"/>
              <w:gridCol w:w="993"/>
              <w:gridCol w:w="435"/>
              <w:gridCol w:w="584"/>
              <w:gridCol w:w="633"/>
              <w:gridCol w:w="483"/>
              <w:gridCol w:w="456"/>
              <w:gridCol w:w="378"/>
              <w:gridCol w:w="473"/>
              <w:gridCol w:w="456"/>
              <w:gridCol w:w="603"/>
              <w:gridCol w:w="502"/>
              <w:gridCol w:w="638"/>
              <w:gridCol w:w="752"/>
              <w:gridCol w:w="779"/>
              <w:gridCol w:w="986"/>
              <w:gridCol w:w="1643"/>
            </w:tblGrid>
            <w:tr w14:paraId="7CDA9C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69" w:type="pct"/>
                  <w:vMerge w:val="restart"/>
                  <w:noWrap w:val="0"/>
                  <w:vAlign w:val="center"/>
                </w:tcPr>
                <w:p w14:paraId="4444E90F">
                  <w:pPr>
                    <w:pStyle w:val="45"/>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rPr>
                      <w:rFonts w:hint="default" w:ascii="Times New Roman" w:hAnsi="Times New Roman" w:eastAsia="宋体" w:cs="Times New Roman"/>
                      <w:color w:val="000000"/>
                      <w:spacing w:val="-3"/>
                      <w:sz w:val="21"/>
                      <w:szCs w:val="21"/>
                      <w:highlight w:val="none"/>
                      <w:u w:val="none" w:color="auto"/>
                      <w:lang w:eastAsia="zh-CN"/>
                    </w:rPr>
                  </w:pPr>
                  <w:r>
                    <w:rPr>
                      <w:rFonts w:hint="default" w:ascii="Times New Roman" w:hAnsi="Times New Roman" w:eastAsia="宋体" w:cs="Times New Roman"/>
                      <w:color w:val="000000"/>
                      <w:spacing w:val="-3"/>
                      <w:sz w:val="21"/>
                      <w:szCs w:val="21"/>
                      <w:highlight w:val="none"/>
                      <w:u w:val="none" w:color="auto"/>
                      <w:lang w:eastAsia="zh-CN"/>
                    </w:rPr>
                    <w:t>序号</w:t>
                  </w:r>
                </w:p>
              </w:tc>
              <w:tc>
                <w:tcPr>
                  <w:tcW w:w="277" w:type="pct"/>
                  <w:vMerge w:val="restart"/>
                  <w:noWrap w:val="0"/>
                  <w:vAlign w:val="center"/>
                </w:tcPr>
                <w:p w14:paraId="55187C6A">
                  <w:pPr>
                    <w:pStyle w:val="45"/>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rPr>
                      <w:rFonts w:hint="default" w:ascii="Times New Roman" w:hAnsi="Times New Roman" w:eastAsia="宋体" w:cs="Times New Roman"/>
                      <w:color w:val="000000"/>
                      <w:spacing w:val="-3"/>
                      <w:sz w:val="21"/>
                      <w:szCs w:val="21"/>
                      <w:highlight w:val="none"/>
                      <w:u w:val="none" w:color="auto"/>
                      <w:lang w:eastAsia="zh-CN"/>
                    </w:rPr>
                  </w:pPr>
                  <w:r>
                    <w:rPr>
                      <w:rFonts w:hint="default" w:ascii="Times New Roman" w:hAnsi="Times New Roman" w:eastAsia="宋体" w:cs="Times New Roman"/>
                      <w:color w:val="000000"/>
                      <w:spacing w:val="-3"/>
                      <w:sz w:val="21"/>
                      <w:szCs w:val="21"/>
                      <w:highlight w:val="none"/>
                      <w:u w:val="none" w:color="auto"/>
                      <w:lang w:eastAsia="zh-CN"/>
                    </w:rPr>
                    <w:t>建筑物名称</w:t>
                  </w:r>
                </w:p>
              </w:tc>
              <w:tc>
                <w:tcPr>
                  <w:tcW w:w="481" w:type="pct"/>
                  <w:vMerge w:val="restart"/>
                  <w:noWrap w:val="0"/>
                  <w:vAlign w:val="center"/>
                </w:tcPr>
                <w:p w14:paraId="28847E79">
                  <w:pPr>
                    <w:pStyle w:val="45"/>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rPr>
                      <w:rFonts w:hint="default" w:ascii="Times New Roman" w:hAnsi="Times New Roman" w:eastAsia="宋体" w:cs="Times New Roman"/>
                      <w:color w:val="000000"/>
                      <w:sz w:val="21"/>
                      <w:szCs w:val="21"/>
                      <w:highlight w:val="none"/>
                      <w:u w:val="none" w:color="auto"/>
                    </w:rPr>
                  </w:pPr>
                  <w:r>
                    <w:rPr>
                      <w:rFonts w:hint="default" w:ascii="Times New Roman" w:hAnsi="Times New Roman" w:eastAsia="宋体" w:cs="Times New Roman"/>
                      <w:color w:val="000000"/>
                      <w:spacing w:val="-3"/>
                      <w:sz w:val="21"/>
                      <w:szCs w:val="21"/>
                      <w:highlight w:val="none"/>
                      <w:u w:val="none" w:color="auto"/>
                    </w:rPr>
                    <w:t>声源名称</w:t>
                  </w:r>
                </w:p>
              </w:tc>
              <w:tc>
                <w:tcPr>
                  <w:tcW w:w="366" w:type="pct"/>
                  <w:vMerge w:val="restart"/>
                  <w:noWrap w:val="0"/>
                  <w:vAlign w:val="center"/>
                </w:tcPr>
                <w:p w14:paraId="6B88222C">
                  <w:pPr>
                    <w:pStyle w:val="45"/>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rPr>
                      <w:rFonts w:hint="default" w:ascii="Times New Roman" w:hAnsi="Times New Roman" w:eastAsia="宋体" w:cs="Times New Roman"/>
                      <w:color w:val="000000"/>
                      <w:sz w:val="21"/>
                      <w:szCs w:val="21"/>
                      <w:highlight w:val="none"/>
                      <w:u w:val="none" w:color="auto"/>
                      <w:lang w:eastAsia="zh-CN"/>
                    </w:rPr>
                  </w:pPr>
                  <w:r>
                    <w:rPr>
                      <w:rFonts w:hint="default" w:ascii="Times New Roman" w:hAnsi="Times New Roman" w:eastAsia="宋体" w:cs="Times New Roman"/>
                      <w:color w:val="000000"/>
                      <w:spacing w:val="-3"/>
                      <w:sz w:val="21"/>
                      <w:szCs w:val="21"/>
                      <w:highlight w:val="none"/>
                      <w:u w:val="none" w:color="auto"/>
                      <w:lang w:eastAsia="zh-CN"/>
                    </w:rPr>
                    <w:t>源强</w:t>
                  </w:r>
                  <w:r>
                    <w:rPr>
                      <w:rFonts w:hint="default" w:ascii="Times New Roman" w:hAnsi="Times New Roman" w:eastAsia="宋体" w:cs="Times New Roman"/>
                      <w:color w:val="000000"/>
                      <w:spacing w:val="16"/>
                      <w:sz w:val="21"/>
                      <w:szCs w:val="21"/>
                      <w:highlight w:val="none"/>
                      <w:u w:val="none" w:color="auto"/>
                      <w:lang w:eastAsia="zh-CN"/>
                    </w:rPr>
                    <w:t>（声功</w:t>
                  </w:r>
                  <w:r>
                    <w:rPr>
                      <w:rFonts w:hint="default" w:ascii="Times New Roman" w:hAnsi="Times New Roman" w:eastAsia="宋体" w:cs="Times New Roman"/>
                      <w:color w:val="000000"/>
                      <w:spacing w:val="5"/>
                      <w:sz w:val="21"/>
                      <w:szCs w:val="21"/>
                      <w:highlight w:val="none"/>
                      <w:u w:val="none" w:color="auto"/>
                      <w:lang w:eastAsia="zh-CN"/>
                    </w:rPr>
                    <w:t>率级</w:t>
                  </w:r>
                  <w:r>
                    <w:rPr>
                      <w:rFonts w:hint="default" w:ascii="Times New Roman" w:hAnsi="Times New Roman" w:eastAsia="宋体" w:cs="Times New Roman"/>
                      <w:color w:val="000000"/>
                      <w:spacing w:val="-46"/>
                      <w:sz w:val="21"/>
                      <w:szCs w:val="21"/>
                      <w:highlight w:val="none"/>
                      <w:u w:val="none" w:color="auto"/>
                      <w:lang w:eastAsia="zh-CN"/>
                    </w:rPr>
                    <w:t xml:space="preserve"> </w:t>
                  </w:r>
                  <w:r>
                    <w:rPr>
                      <w:rFonts w:hint="default" w:ascii="Times New Roman" w:hAnsi="Times New Roman" w:eastAsia="宋体" w:cs="Times New Roman"/>
                      <w:color w:val="000000"/>
                      <w:sz w:val="21"/>
                      <w:szCs w:val="21"/>
                      <w:highlight w:val="none"/>
                      <w:u w:val="none" w:color="auto"/>
                      <w:lang w:eastAsia="zh-CN"/>
                    </w:rPr>
                    <w:t xml:space="preserve">dB </w:t>
                  </w:r>
                  <w:r>
                    <w:rPr>
                      <w:rFonts w:hint="default" w:ascii="Times New Roman" w:hAnsi="Times New Roman" w:eastAsia="宋体" w:cs="Times New Roman"/>
                      <w:color w:val="000000"/>
                      <w:spacing w:val="-7"/>
                      <w:sz w:val="21"/>
                      <w:szCs w:val="21"/>
                      <w:highlight w:val="none"/>
                      <w:u w:val="none" w:color="auto"/>
                      <w:lang w:eastAsia="zh-CN"/>
                    </w:rPr>
                    <w:t>（A））</w:t>
                  </w:r>
                </w:p>
              </w:tc>
              <w:tc>
                <w:tcPr>
                  <w:tcW w:w="160" w:type="pct"/>
                  <w:vMerge w:val="restart"/>
                  <w:noWrap w:val="0"/>
                  <w:vAlign w:val="center"/>
                </w:tcPr>
                <w:p w14:paraId="6D89BD82">
                  <w:pPr>
                    <w:pStyle w:val="45"/>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rPr>
                      <w:rFonts w:hint="default" w:ascii="Times New Roman" w:hAnsi="Times New Roman" w:eastAsia="宋体" w:cs="Times New Roman"/>
                      <w:color w:val="000000"/>
                      <w:sz w:val="21"/>
                      <w:szCs w:val="21"/>
                      <w:highlight w:val="none"/>
                      <w:u w:val="none" w:color="auto"/>
                    </w:rPr>
                  </w:pPr>
                  <w:r>
                    <w:rPr>
                      <w:rFonts w:hint="default" w:ascii="Times New Roman" w:hAnsi="Times New Roman" w:eastAsia="宋体" w:cs="Times New Roman"/>
                      <w:color w:val="000000"/>
                      <w:spacing w:val="-4"/>
                      <w:sz w:val="21"/>
                      <w:szCs w:val="21"/>
                      <w:highlight w:val="none"/>
                      <w:u w:val="none" w:color="auto"/>
                    </w:rPr>
                    <w:t>数量</w:t>
                  </w:r>
                  <w:r>
                    <w:rPr>
                      <w:rFonts w:hint="default" w:ascii="Times New Roman" w:hAnsi="Times New Roman" w:eastAsia="宋体" w:cs="Times New Roman"/>
                      <w:color w:val="000000"/>
                      <w:sz w:val="21"/>
                      <w:szCs w:val="21"/>
                      <w:highlight w:val="none"/>
                      <w:u w:val="none" w:color="auto"/>
                    </w:rPr>
                    <w:t xml:space="preserve"> /台</w:t>
                  </w:r>
                </w:p>
              </w:tc>
              <w:tc>
                <w:tcPr>
                  <w:tcW w:w="215" w:type="pct"/>
                  <w:vMerge w:val="restart"/>
                  <w:noWrap w:val="0"/>
                  <w:vAlign w:val="center"/>
                </w:tcPr>
                <w:p w14:paraId="33EE0E53">
                  <w:pPr>
                    <w:pStyle w:val="45"/>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rPr>
                      <w:rFonts w:hint="default" w:ascii="Times New Roman" w:hAnsi="Times New Roman" w:eastAsia="宋体" w:cs="Times New Roman"/>
                      <w:color w:val="000000"/>
                      <w:sz w:val="21"/>
                      <w:szCs w:val="21"/>
                      <w:highlight w:val="none"/>
                      <w:u w:val="none" w:color="auto"/>
                    </w:rPr>
                  </w:pPr>
                  <w:r>
                    <w:rPr>
                      <w:rFonts w:hint="default" w:ascii="Times New Roman" w:hAnsi="Times New Roman" w:eastAsia="宋体" w:cs="Times New Roman"/>
                      <w:color w:val="000000"/>
                      <w:spacing w:val="-6"/>
                      <w:sz w:val="21"/>
                      <w:szCs w:val="21"/>
                      <w:highlight w:val="none"/>
                      <w:u w:val="none" w:color="auto"/>
                    </w:rPr>
                    <w:t>声源</w:t>
                  </w:r>
                  <w:r>
                    <w:rPr>
                      <w:rFonts w:hint="default" w:ascii="Times New Roman" w:hAnsi="Times New Roman" w:eastAsia="宋体" w:cs="Times New Roman"/>
                      <w:color w:val="000000"/>
                      <w:sz w:val="21"/>
                      <w:szCs w:val="21"/>
                      <w:highlight w:val="none"/>
                      <w:u w:val="none" w:color="auto"/>
                    </w:rPr>
                    <w:t xml:space="preserve"> </w:t>
                  </w:r>
                  <w:r>
                    <w:rPr>
                      <w:rFonts w:hint="default" w:ascii="Times New Roman" w:hAnsi="Times New Roman" w:eastAsia="宋体" w:cs="Times New Roman"/>
                      <w:color w:val="000000"/>
                      <w:spacing w:val="-3"/>
                      <w:sz w:val="21"/>
                      <w:szCs w:val="21"/>
                      <w:highlight w:val="none"/>
                      <w:u w:val="none" w:color="auto"/>
                    </w:rPr>
                    <w:t>控制</w:t>
                  </w:r>
                  <w:r>
                    <w:rPr>
                      <w:rFonts w:hint="default" w:ascii="Times New Roman" w:hAnsi="Times New Roman" w:eastAsia="宋体" w:cs="Times New Roman"/>
                      <w:color w:val="000000"/>
                      <w:sz w:val="21"/>
                      <w:szCs w:val="21"/>
                      <w:highlight w:val="none"/>
                      <w:u w:val="none" w:color="auto"/>
                    </w:rPr>
                    <w:t xml:space="preserve"> </w:t>
                  </w:r>
                  <w:r>
                    <w:rPr>
                      <w:rFonts w:hint="default" w:ascii="Times New Roman" w:hAnsi="Times New Roman" w:eastAsia="宋体" w:cs="Times New Roman"/>
                      <w:color w:val="000000"/>
                      <w:spacing w:val="-3"/>
                      <w:sz w:val="21"/>
                      <w:szCs w:val="21"/>
                      <w:highlight w:val="none"/>
                      <w:u w:val="none" w:color="auto"/>
                    </w:rPr>
                    <w:t>措施</w:t>
                  </w:r>
                </w:p>
              </w:tc>
              <w:tc>
                <w:tcPr>
                  <w:tcW w:w="579" w:type="pct"/>
                  <w:gridSpan w:val="3"/>
                  <w:noWrap w:val="0"/>
                  <w:vAlign w:val="center"/>
                </w:tcPr>
                <w:p w14:paraId="4854C279">
                  <w:pPr>
                    <w:pStyle w:val="45"/>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rPr>
                      <w:rFonts w:hint="default" w:ascii="Times New Roman" w:hAnsi="Times New Roman" w:eastAsia="宋体" w:cs="Times New Roman"/>
                      <w:color w:val="000000"/>
                      <w:sz w:val="21"/>
                      <w:szCs w:val="21"/>
                      <w:highlight w:val="none"/>
                      <w:u w:val="none" w:color="auto"/>
                    </w:rPr>
                  </w:pPr>
                  <w:r>
                    <w:rPr>
                      <w:rFonts w:hint="default" w:ascii="Times New Roman" w:hAnsi="Times New Roman" w:eastAsia="宋体" w:cs="Times New Roman"/>
                      <w:color w:val="000000"/>
                      <w:spacing w:val="-2"/>
                      <w:sz w:val="21"/>
                      <w:szCs w:val="21"/>
                      <w:highlight w:val="none"/>
                      <w:u w:val="none" w:color="auto"/>
                    </w:rPr>
                    <w:t>空间相对位置</w:t>
                  </w:r>
                </w:p>
              </w:tc>
              <w:tc>
                <w:tcPr>
                  <w:tcW w:w="701" w:type="pct"/>
                  <w:gridSpan w:val="4"/>
                  <w:noWrap w:val="0"/>
                  <w:vAlign w:val="center"/>
                </w:tcPr>
                <w:p w14:paraId="3B0F9E75">
                  <w:pPr>
                    <w:pStyle w:val="45"/>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rPr>
                      <w:rFonts w:hint="default" w:ascii="Times New Roman" w:hAnsi="Times New Roman" w:eastAsia="宋体" w:cs="Times New Roman"/>
                      <w:color w:val="000000"/>
                      <w:sz w:val="21"/>
                      <w:szCs w:val="21"/>
                      <w:highlight w:val="none"/>
                      <w:u w:val="none" w:color="auto"/>
                    </w:rPr>
                  </w:pPr>
                  <w:r>
                    <w:rPr>
                      <w:rFonts w:hint="default" w:ascii="Times New Roman" w:hAnsi="Times New Roman" w:eastAsia="宋体" w:cs="Times New Roman"/>
                      <w:color w:val="000000"/>
                      <w:spacing w:val="-1"/>
                      <w:sz w:val="21"/>
                      <w:szCs w:val="21"/>
                      <w:highlight w:val="none"/>
                      <w:u w:val="none" w:color="auto"/>
                    </w:rPr>
                    <w:t>距室内边界距离</w:t>
                  </w:r>
                  <w:r>
                    <w:rPr>
                      <w:rFonts w:hint="default" w:ascii="Times New Roman" w:hAnsi="Times New Roman" w:eastAsia="宋体" w:cs="Times New Roman"/>
                      <w:color w:val="000000"/>
                      <w:spacing w:val="-50"/>
                      <w:sz w:val="21"/>
                      <w:szCs w:val="21"/>
                      <w:highlight w:val="none"/>
                      <w:u w:val="none" w:color="auto"/>
                    </w:rPr>
                    <w:t xml:space="preserve"> </w:t>
                  </w:r>
                  <w:r>
                    <w:rPr>
                      <w:rFonts w:hint="default" w:ascii="Times New Roman" w:hAnsi="Times New Roman" w:eastAsia="宋体" w:cs="Times New Roman"/>
                      <w:color w:val="000000"/>
                      <w:spacing w:val="-1"/>
                      <w:sz w:val="21"/>
                      <w:szCs w:val="21"/>
                      <w:highlight w:val="none"/>
                      <w:u w:val="none" w:color="auto"/>
                    </w:rPr>
                    <w:t>m</w:t>
                  </w:r>
                </w:p>
              </w:tc>
              <w:tc>
                <w:tcPr>
                  <w:tcW w:w="984" w:type="pct"/>
                  <w:gridSpan w:val="4"/>
                  <w:noWrap w:val="0"/>
                  <w:vAlign w:val="center"/>
                </w:tcPr>
                <w:p w14:paraId="59C1438A">
                  <w:pPr>
                    <w:pStyle w:val="45"/>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rPr>
                      <w:rFonts w:hint="default" w:ascii="Times New Roman" w:hAnsi="Times New Roman" w:eastAsia="宋体" w:cs="Times New Roman"/>
                      <w:color w:val="000000"/>
                      <w:sz w:val="21"/>
                      <w:szCs w:val="21"/>
                      <w:highlight w:val="none"/>
                      <w:u w:val="none" w:color="auto"/>
                      <w:lang w:eastAsia="zh-CN"/>
                    </w:rPr>
                  </w:pPr>
                  <w:r>
                    <w:rPr>
                      <w:rFonts w:hint="default" w:ascii="Times New Roman" w:hAnsi="Times New Roman" w:eastAsia="宋体" w:cs="Times New Roman"/>
                      <w:color w:val="000000"/>
                      <w:spacing w:val="-2"/>
                      <w:sz w:val="21"/>
                      <w:szCs w:val="21"/>
                      <w:highlight w:val="none"/>
                      <w:u w:val="none" w:color="auto"/>
                      <w:lang w:eastAsia="zh-CN"/>
                    </w:rPr>
                    <w:t>室内边界声级</w:t>
                  </w:r>
                  <w:r>
                    <w:rPr>
                      <w:rFonts w:hint="default" w:ascii="Times New Roman" w:hAnsi="Times New Roman" w:eastAsia="宋体" w:cs="Times New Roman"/>
                      <w:color w:val="000000"/>
                      <w:spacing w:val="-41"/>
                      <w:sz w:val="21"/>
                      <w:szCs w:val="21"/>
                      <w:highlight w:val="none"/>
                      <w:u w:val="none" w:color="auto"/>
                      <w:lang w:eastAsia="zh-CN"/>
                    </w:rPr>
                    <w:t xml:space="preserve"> </w:t>
                  </w:r>
                  <w:r>
                    <w:rPr>
                      <w:rFonts w:hint="default" w:ascii="Times New Roman" w:hAnsi="Times New Roman" w:eastAsia="宋体" w:cs="Times New Roman"/>
                      <w:color w:val="000000"/>
                      <w:spacing w:val="-2"/>
                      <w:sz w:val="21"/>
                      <w:szCs w:val="21"/>
                      <w:highlight w:val="none"/>
                      <w:u w:val="none" w:color="auto"/>
                      <w:lang w:eastAsia="zh-CN"/>
                    </w:rPr>
                    <w:t>dB（A）</w:t>
                  </w:r>
                </w:p>
              </w:tc>
              <w:tc>
                <w:tcPr>
                  <w:tcW w:w="363" w:type="pct"/>
                  <w:vMerge w:val="restart"/>
                  <w:noWrap w:val="0"/>
                  <w:vAlign w:val="center"/>
                </w:tcPr>
                <w:p w14:paraId="0F006771">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rPr>
                      <w:rFonts w:hint="default" w:ascii="Times New Roman" w:hAnsi="Times New Roman" w:eastAsia="宋体" w:cs="Times New Roman"/>
                      <w:color w:val="000000"/>
                      <w:spacing w:val="-2"/>
                      <w:sz w:val="21"/>
                      <w:szCs w:val="21"/>
                      <w:highlight w:val="none"/>
                      <w:u w:val="none" w:color="auto"/>
                    </w:rPr>
                  </w:pPr>
                  <w:r>
                    <w:rPr>
                      <w:rFonts w:hint="default" w:ascii="Times New Roman" w:hAnsi="Times New Roman" w:eastAsia="宋体" w:cs="Times New Roman"/>
                      <w:color w:val="000000"/>
                      <w:sz w:val="21"/>
                      <w:szCs w:val="21"/>
                      <w:highlight w:val="none"/>
                      <w:u w:val="none" w:color="auto"/>
                    </w:rPr>
                    <w:t>运行时段（h</w:t>
                  </w:r>
                  <w:r>
                    <w:rPr>
                      <w:rFonts w:hint="default" w:ascii="Times New Roman" w:hAnsi="Times New Roman" w:eastAsia="宋体" w:cs="Times New Roman"/>
                      <w:color w:val="000000"/>
                      <w:sz w:val="21"/>
                      <w:szCs w:val="21"/>
                      <w:highlight w:val="none"/>
                      <w:u w:val="none" w:color="auto"/>
                      <w:lang w:val="en-US" w:eastAsia="zh-CN"/>
                    </w:rPr>
                    <w:t>/d</w:t>
                  </w:r>
                  <w:r>
                    <w:rPr>
                      <w:rFonts w:hint="default" w:ascii="Times New Roman" w:hAnsi="Times New Roman" w:eastAsia="宋体" w:cs="Times New Roman"/>
                      <w:color w:val="000000"/>
                      <w:sz w:val="21"/>
                      <w:szCs w:val="21"/>
                      <w:highlight w:val="none"/>
                      <w:u w:val="none" w:color="auto"/>
                    </w:rPr>
                    <w:t>）</w:t>
                  </w:r>
                </w:p>
              </w:tc>
              <w:tc>
                <w:tcPr>
                  <w:tcW w:w="599" w:type="pct"/>
                  <w:vMerge w:val="restart"/>
                  <w:noWrap w:val="0"/>
                  <w:vAlign w:val="center"/>
                </w:tcPr>
                <w:p w14:paraId="517769A0">
                  <w:pPr>
                    <w:pStyle w:val="45"/>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rPr>
                      <w:rFonts w:hint="default" w:ascii="Times New Roman" w:hAnsi="Times New Roman" w:eastAsia="宋体" w:cs="Times New Roman"/>
                      <w:color w:val="000000"/>
                      <w:sz w:val="21"/>
                      <w:szCs w:val="21"/>
                      <w:highlight w:val="none"/>
                      <w:u w:val="none" w:color="auto"/>
                    </w:rPr>
                  </w:pPr>
                  <w:r>
                    <w:rPr>
                      <w:rFonts w:hint="default" w:ascii="Times New Roman" w:hAnsi="Times New Roman" w:eastAsia="宋体" w:cs="Times New Roman"/>
                      <w:color w:val="000000"/>
                      <w:spacing w:val="-3"/>
                      <w:sz w:val="21"/>
                      <w:szCs w:val="21"/>
                      <w:highlight w:val="none"/>
                      <w:u w:val="none" w:color="auto"/>
                    </w:rPr>
                    <w:t>建筑物</w:t>
                  </w:r>
                  <w:r>
                    <w:rPr>
                      <w:rFonts w:hint="default" w:ascii="Times New Roman" w:hAnsi="Times New Roman" w:eastAsia="宋体" w:cs="Times New Roman"/>
                      <w:color w:val="000000"/>
                      <w:spacing w:val="-2"/>
                      <w:sz w:val="21"/>
                      <w:szCs w:val="21"/>
                      <w:highlight w:val="none"/>
                      <w:u w:val="none" w:color="auto"/>
                    </w:rPr>
                    <w:t>插入损</w:t>
                  </w:r>
                  <w:r>
                    <w:rPr>
                      <w:rFonts w:hint="default" w:ascii="Times New Roman" w:hAnsi="Times New Roman" w:eastAsia="宋体" w:cs="Times New Roman"/>
                      <w:color w:val="000000"/>
                      <w:spacing w:val="50"/>
                      <w:sz w:val="21"/>
                      <w:szCs w:val="21"/>
                      <w:highlight w:val="none"/>
                      <w:u w:val="none" w:color="auto"/>
                    </w:rPr>
                    <w:t>失</w:t>
                  </w:r>
                  <w:r>
                    <w:rPr>
                      <w:rFonts w:hint="default" w:ascii="Times New Roman" w:hAnsi="Times New Roman" w:eastAsia="宋体" w:cs="Times New Roman"/>
                      <w:color w:val="000000"/>
                      <w:spacing w:val="-46"/>
                      <w:sz w:val="21"/>
                      <w:szCs w:val="21"/>
                      <w:highlight w:val="none"/>
                      <w:u w:val="none" w:color="auto"/>
                    </w:rPr>
                    <w:t xml:space="preserve"> </w:t>
                  </w:r>
                  <w:r>
                    <w:rPr>
                      <w:rFonts w:hint="default" w:ascii="Times New Roman" w:hAnsi="Times New Roman" w:eastAsia="宋体" w:cs="Times New Roman"/>
                      <w:color w:val="000000"/>
                      <w:sz w:val="21"/>
                      <w:szCs w:val="21"/>
                      <w:highlight w:val="none"/>
                      <w:u w:val="none" w:color="auto"/>
                    </w:rPr>
                    <w:t xml:space="preserve">dB </w:t>
                  </w:r>
                  <w:r>
                    <w:rPr>
                      <w:rFonts w:hint="default" w:ascii="Times New Roman" w:hAnsi="Times New Roman" w:eastAsia="宋体" w:cs="Times New Roman"/>
                      <w:color w:val="000000"/>
                      <w:spacing w:val="8"/>
                      <w:sz w:val="21"/>
                      <w:szCs w:val="21"/>
                      <w:highlight w:val="none"/>
                      <w:u w:val="none" w:color="auto"/>
                    </w:rPr>
                    <w:t>（A）</w:t>
                  </w:r>
                </w:p>
              </w:tc>
            </w:tr>
            <w:tr w14:paraId="245F7C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69" w:type="pct"/>
                  <w:vMerge w:val="continue"/>
                  <w:noWrap w:val="0"/>
                  <w:vAlign w:val="center"/>
                </w:tcPr>
                <w:p w14:paraId="68F870D6">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rPr>
                      <w:rFonts w:hint="default" w:ascii="Times New Roman" w:hAnsi="Times New Roman" w:eastAsia="宋体" w:cs="Times New Roman"/>
                      <w:color w:val="000000"/>
                      <w:sz w:val="21"/>
                      <w:szCs w:val="21"/>
                      <w:highlight w:val="none"/>
                      <w:u w:val="none" w:color="auto"/>
                    </w:rPr>
                  </w:pPr>
                </w:p>
              </w:tc>
              <w:tc>
                <w:tcPr>
                  <w:tcW w:w="277" w:type="pct"/>
                  <w:vMerge w:val="continue"/>
                  <w:noWrap w:val="0"/>
                  <w:vAlign w:val="center"/>
                </w:tcPr>
                <w:p w14:paraId="6847E20C">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rPr>
                      <w:rFonts w:hint="default" w:ascii="Times New Roman" w:hAnsi="Times New Roman" w:eastAsia="宋体" w:cs="Times New Roman"/>
                      <w:color w:val="000000"/>
                      <w:sz w:val="21"/>
                      <w:szCs w:val="21"/>
                      <w:highlight w:val="none"/>
                      <w:u w:val="none" w:color="auto"/>
                    </w:rPr>
                  </w:pPr>
                </w:p>
              </w:tc>
              <w:tc>
                <w:tcPr>
                  <w:tcW w:w="481" w:type="pct"/>
                  <w:vMerge w:val="continue"/>
                  <w:noWrap w:val="0"/>
                  <w:vAlign w:val="center"/>
                </w:tcPr>
                <w:p w14:paraId="6E60DF76">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rPr>
                      <w:rFonts w:hint="default" w:ascii="Times New Roman" w:hAnsi="Times New Roman" w:eastAsia="宋体" w:cs="Times New Roman"/>
                      <w:color w:val="000000"/>
                      <w:sz w:val="21"/>
                      <w:szCs w:val="21"/>
                      <w:highlight w:val="none"/>
                      <w:u w:val="none" w:color="auto"/>
                    </w:rPr>
                  </w:pPr>
                </w:p>
              </w:tc>
              <w:tc>
                <w:tcPr>
                  <w:tcW w:w="366" w:type="pct"/>
                  <w:vMerge w:val="continue"/>
                  <w:noWrap w:val="0"/>
                  <w:vAlign w:val="center"/>
                </w:tcPr>
                <w:p w14:paraId="1CD5F41A">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rPr>
                      <w:rFonts w:hint="default" w:ascii="Times New Roman" w:hAnsi="Times New Roman" w:eastAsia="宋体" w:cs="Times New Roman"/>
                      <w:color w:val="000000"/>
                      <w:sz w:val="21"/>
                      <w:szCs w:val="21"/>
                      <w:highlight w:val="none"/>
                      <w:u w:val="none" w:color="auto"/>
                    </w:rPr>
                  </w:pPr>
                </w:p>
              </w:tc>
              <w:tc>
                <w:tcPr>
                  <w:tcW w:w="160" w:type="pct"/>
                  <w:vMerge w:val="continue"/>
                  <w:noWrap w:val="0"/>
                  <w:vAlign w:val="center"/>
                </w:tcPr>
                <w:p w14:paraId="0589EE74">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rPr>
                      <w:rFonts w:hint="default" w:ascii="Times New Roman" w:hAnsi="Times New Roman" w:eastAsia="宋体" w:cs="Times New Roman"/>
                      <w:color w:val="000000"/>
                      <w:sz w:val="21"/>
                      <w:szCs w:val="21"/>
                      <w:highlight w:val="none"/>
                      <w:u w:val="none" w:color="auto"/>
                    </w:rPr>
                  </w:pPr>
                </w:p>
              </w:tc>
              <w:tc>
                <w:tcPr>
                  <w:tcW w:w="215" w:type="pct"/>
                  <w:vMerge w:val="continue"/>
                  <w:noWrap w:val="0"/>
                  <w:vAlign w:val="center"/>
                </w:tcPr>
                <w:p w14:paraId="6F9895DB">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rPr>
                      <w:rFonts w:hint="default" w:ascii="Times New Roman" w:hAnsi="Times New Roman" w:eastAsia="宋体" w:cs="Times New Roman"/>
                      <w:color w:val="000000"/>
                      <w:sz w:val="21"/>
                      <w:szCs w:val="21"/>
                      <w:highlight w:val="none"/>
                      <w:u w:val="none" w:color="auto"/>
                    </w:rPr>
                  </w:pPr>
                </w:p>
              </w:tc>
              <w:tc>
                <w:tcPr>
                  <w:tcW w:w="233" w:type="pct"/>
                  <w:noWrap w:val="0"/>
                  <w:vAlign w:val="center"/>
                </w:tcPr>
                <w:p w14:paraId="2B9AE27E">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rPr>
                      <w:rFonts w:hint="default" w:ascii="Times New Roman" w:hAnsi="Times New Roman" w:eastAsia="宋体" w:cs="Times New Roman"/>
                      <w:color w:val="000000"/>
                      <w:sz w:val="21"/>
                      <w:szCs w:val="21"/>
                      <w:highlight w:val="none"/>
                      <w:u w:val="none" w:color="auto"/>
                    </w:rPr>
                  </w:pPr>
                  <w:r>
                    <w:rPr>
                      <w:rFonts w:hint="default" w:ascii="Times New Roman" w:hAnsi="Times New Roman" w:eastAsia="宋体" w:cs="Times New Roman"/>
                      <w:color w:val="000000"/>
                      <w:sz w:val="21"/>
                      <w:szCs w:val="21"/>
                      <w:highlight w:val="none"/>
                      <w:u w:val="none" w:color="auto"/>
                    </w:rPr>
                    <w:t>X</w:t>
                  </w:r>
                </w:p>
              </w:tc>
              <w:tc>
                <w:tcPr>
                  <w:tcW w:w="178" w:type="pct"/>
                  <w:noWrap w:val="0"/>
                  <w:vAlign w:val="center"/>
                </w:tcPr>
                <w:p w14:paraId="313446EC">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rPr>
                      <w:rFonts w:hint="default" w:ascii="Times New Roman" w:hAnsi="Times New Roman" w:eastAsia="宋体" w:cs="Times New Roman"/>
                      <w:color w:val="000000"/>
                      <w:sz w:val="21"/>
                      <w:szCs w:val="21"/>
                      <w:highlight w:val="none"/>
                      <w:u w:val="none" w:color="auto"/>
                    </w:rPr>
                  </w:pPr>
                  <w:r>
                    <w:rPr>
                      <w:rFonts w:hint="default" w:ascii="Times New Roman" w:hAnsi="Times New Roman" w:eastAsia="宋体" w:cs="Times New Roman"/>
                      <w:color w:val="000000"/>
                      <w:sz w:val="21"/>
                      <w:szCs w:val="21"/>
                      <w:highlight w:val="none"/>
                      <w:u w:val="none" w:color="auto"/>
                    </w:rPr>
                    <w:t>Y</w:t>
                  </w:r>
                </w:p>
              </w:tc>
              <w:tc>
                <w:tcPr>
                  <w:tcW w:w="167" w:type="pct"/>
                  <w:noWrap w:val="0"/>
                  <w:vAlign w:val="center"/>
                </w:tcPr>
                <w:p w14:paraId="2F68A090">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rPr>
                      <w:rFonts w:hint="default" w:ascii="Times New Roman" w:hAnsi="Times New Roman" w:eastAsia="宋体" w:cs="Times New Roman"/>
                      <w:color w:val="000000"/>
                      <w:sz w:val="21"/>
                      <w:szCs w:val="21"/>
                      <w:highlight w:val="none"/>
                      <w:u w:val="none" w:color="auto"/>
                    </w:rPr>
                  </w:pPr>
                  <w:r>
                    <w:rPr>
                      <w:rFonts w:hint="default" w:ascii="Times New Roman" w:hAnsi="Times New Roman" w:eastAsia="宋体" w:cs="Times New Roman"/>
                      <w:color w:val="000000"/>
                      <w:sz w:val="21"/>
                      <w:szCs w:val="21"/>
                      <w:highlight w:val="none"/>
                      <w:u w:val="none" w:color="auto"/>
                    </w:rPr>
                    <w:t>Z</w:t>
                  </w:r>
                </w:p>
              </w:tc>
              <w:tc>
                <w:tcPr>
                  <w:tcW w:w="137" w:type="pct"/>
                  <w:noWrap w:val="0"/>
                  <w:vAlign w:val="center"/>
                </w:tcPr>
                <w:p w14:paraId="4664B038">
                  <w:pPr>
                    <w:pStyle w:val="45"/>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rPr>
                      <w:rFonts w:hint="default" w:ascii="Times New Roman" w:hAnsi="Times New Roman" w:eastAsia="宋体" w:cs="Times New Roman"/>
                      <w:color w:val="000000"/>
                      <w:sz w:val="21"/>
                      <w:szCs w:val="21"/>
                      <w:highlight w:val="none"/>
                      <w:u w:val="none" w:color="auto"/>
                    </w:rPr>
                  </w:pPr>
                  <w:r>
                    <w:rPr>
                      <w:rFonts w:hint="default" w:ascii="Times New Roman" w:hAnsi="Times New Roman" w:eastAsia="宋体" w:cs="Times New Roman"/>
                      <w:color w:val="000000"/>
                      <w:sz w:val="21"/>
                      <w:szCs w:val="21"/>
                      <w:highlight w:val="none"/>
                      <w:u w:val="none" w:color="auto"/>
                    </w:rPr>
                    <w:t>东</w:t>
                  </w:r>
                </w:p>
              </w:tc>
              <w:tc>
                <w:tcPr>
                  <w:tcW w:w="174" w:type="pct"/>
                  <w:noWrap w:val="0"/>
                  <w:vAlign w:val="center"/>
                </w:tcPr>
                <w:p w14:paraId="5C63464C">
                  <w:pPr>
                    <w:pStyle w:val="45"/>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rPr>
                      <w:rFonts w:hint="default" w:ascii="Times New Roman" w:hAnsi="Times New Roman" w:eastAsia="宋体" w:cs="Times New Roman"/>
                      <w:color w:val="000000"/>
                      <w:sz w:val="21"/>
                      <w:szCs w:val="21"/>
                      <w:highlight w:val="none"/>
                      <w:u w:val="none" w:color="auto"/>
                    </w:rPr>
                  </w:pPr>
                  <w:r>
                    <w:rPr>
                      <w:rFonts w:hint="default" w:ascii="Times New Roman" w:hAnsi="Times New Roman" w:eastAsia="宋体" w:cs="Times New Roman"/>
                      <w:color w:val="000000"/>
                      <w:sz w:val="21"/>
                      <w:szCs w:val="21"/>
                      <w:highlight w:val="none"/>
                      <w:u w:val="none" w:color="auto"/>
                    </w:rPr>
                    <w:t>南</w:t>
                  </w:r>
                </w:p>
              </w:tc>
              <w:tc>
                <w:tcPr>
                  <w:tcW w:w="168" w:type="pct"/>
                  <w:noWrap w:val="0"/>
                  <w:vAlign w:val="center"/>
                </w:tcPr>
                <w:p w14:paraId="37346769">
                  <w:pPr>
                    <w:pStyle w:val="45"/>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rPr>
                      <w:rFonts w:hint="default" w:ascii="Times New Roman" w:hAnsi="Times New Roman" w:eastAsia="宋体" w:cs="Times New Roman"/>
                      <w:color w:val="000000"/>
                      <w:sz w:val="21"/>
                      <w:szCs w:val="21"/>
                      <w:highlight w:val="none"/>
                      <w:u w:val="none" w:color="auto"/>
                    </w:rPr>
                  </w:pPr>
                  <w:r>
                    <w:rPr>
                      <w:rFonts w:hint="default" w:ascii="Times New Roman" w:hAnsi="Times New Roman" w:eastAsia="宋体" w:cs="Times New Roman"/>
                      <w:color w:val="000000"/>
                      <w:sz w:val="21"/>
                      <w:szCs w:val="21"/>
                      <w:highlight w:val="none"/>
                      <w:u w:val="none" w:color="auto"/>
                    </w:rPr>
                    <w:t>西</w:t>
                  </w:r>
                </w:p>
              </w:tc>
              <w:tc>
                <w:tcPr>
                  <w:tcW w:w="219" w:type="pct"/>
                  <w:noWrap w:val="0"/>
                  <w:vAlign w:val="center"/>
                </w:tcPr>
                <w:p w14:paraId="110A43E1">
                  <w:pPr>
                    <w:pStyle w:val="45"/>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rPr>
                      <w:rFonts w:hint="default" w:ascii="Times New Roman" w:hAnsi="Times New Roman" w:eastAsia="宋体" w:cs="Times New Roman"/>
                      <w:color w:val="000000"/>
                      <w:sz w:val="21"/>
                      <w:szCs w:val="21"/>
                      <w:highlight w:val="none"/>
                      <w:u w:val="none" w:color="auto"/>
                    </w:rPr>
                  </w:pPr>
                  <w:r>
                    <w:rPr>
                      <w:rFonts w:hint="default" w:ascii="Times New Roman" w:hAnsi="Times New Roman" w:eastAsia="宋体" w:cs="Times New Roman"/>
                      <w:color w:val="000000"/>
                      <w:sz w:val="21"/>
                      <w:szCs w:val="21"/>
                      <w:highlight w:val="none"/>
                      <w:u w:val="none" w:color="auto"/>
                    </w:rPr>
                    <w:t>北</w:t>
                  </w:r>
                </w:p>
              </w:tc>
              <w:tc>
                <w:tcPr>
                  <w:tcW w:w="185" w:type="pct"/>
                  <w:noWrap w:val="0"/>
                  <w:vAlign w:val="center"/>
                </w:tcPr>
                <w:p w14:paraId="700F916C">
                  <w:pPr>
                    <w:pStyle w:val="45"/>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rPr>
                      <w:rFonts w:hint="default" w:ascii="Times New Roman" w:hAnsi="Times New Roman" w:eastAsia="宋体" w:cs="Times New Roman"/>
                      <w:color w:val="000000"/>
                      <w:sz w:val="21"/>
                      <w:szCs w:val="21"/>
                      <w:highlight w:val="none"/>
                      <w:u w:val="none" w:color="auto"/>
                    </w:rPr>
                  </w:pPr>
                  <w:r>
                    <w:rPr>
                      <w:rFonts w:hint="default" w:ascii="Times New Roman" w:hAnsi="Times New Roman" w:eastAsia="宋体" w:cs="Times New Roman"/>
                      <w:color w:val="000000"/>
                      <w:sz w:val="21"/>
                      <w:szCs w:val="21"/>
                      <w:highlight w:val="none"/>
                      <w:u w:val="none" w:color="auto"/>
                    </w:rPr>
                    <w:t>东</w:t>
                  </w:r>
                </w:p>
              </w:tc>
              <w:tc>
                <w:tcPr>
                  <w:tcW w:w="235" w:type="pct"/>
                  <w:noWrap w:val="0"/>
                  <w:vAlign w:val="center"/>
                </w:tcPr>
                <w:p w14:paraId="213CA82A">
                  <w:pPr>
                    <w:pStyle w:val="45"/>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rPr>
                      <w:rFonts w:hint="default" w:ascii="Times New Roman" w:hAnsi="Times New Roman" w:eastAsia="宋体" w:cs="Times New Roman"/>
                      <w:color w:val="000000"/>
                      <w:sz w:val="21"/>
                      <w:szCs w:val="21"/>
                      <w:highlight w:val="none"/>
                      <w:u w:val="none" w:color="auto"/>
                    </w:rPr>
                  </w:pPr>
                  <w:r>
                    <w:rPr>
                      <w:rFonts w:hint="default" w:ascii="Times New Roman" w:hAnsi="Times New Roman" w:eastAsia="宋体" w:cs="Times New Roman"/>
                      <w:color w:val="000000"/>
                      <w:sz w:val="21"/>
                      <w:szCs w:val="21"/>
                      <w:highlight w:val="none"/>
                      <w:u w:val="none" w:color="auto"/>
                    </w:rPr>
                    <w:t>南</w:t>
                  </w:r>
                </w:p>
              </w:tc>
              <w:tc>
                <w:tcPr>
                  <w:tcW w:w="277" w:type="pct"/>
                  <w:noWrap w:val="0"/>
                  <w:vAlign w:val="center"/>
                </w:tcPr>
                <w:p w14:paraId="65EC39B1">
                  <w:pPr>
                    <w:pStyle w:val="45"/>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rPr>
                      <w:rFonts w:hint="default" w:ascii="Times New Roman" w:hAnsi="Times New Roman" w:eastAsia="宋体" w:cs="Times New Roman"/>
                      <w:color w:val="000000"/>
                      <w:sz w:val="21"/>
                      <w:szCs w:val="21"/>
                      <w:highlight w:val="none"/>
                      <w:u w:val="none" w:color="auto"/>
                    </w:rPr>
                  </w:pPr>
                  <w:r>
                    <w:rPr>
                      <w:rFonts w:hint="default" w:ascii="Times New Roman" w:hAnsi="Times New Roman" w:eastAsia="宋体" w:cs="Times New Roman"/>
                      <w:color w:val="000000"/>
                      <w:sz w:val="21"/>
                      <w:szCs w:val="21"/>
                      <w:highlight w:val="none"/>
                      <w:u w:val="none" w:color="auto"/>
                    </w:rPr>
                    <w:t>西</w:t>
                  </w:r>
                </w:p>
              </w:tc>
              <w:tc>
                <w:tcPr>
                  <w:tcW w:w="285" w:type="pct"/>
                  <w:noWrap w:val="0"/>
                  <w:vAlign w:val="center"/>
                </w:tcPr>
                <w:p w14:paraId="594FCB41">
                  <w:pPr>
                    <w:pStyle w:val="45"/>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rPr>
                      <w:rFonts w:hint="default" w:ascii="Times New Roman" w:hAnsi="Times New Roman" w:eastAsia="宋体" w:cs="Times New Roman"/>
                      <w:color w:val="000000"/>
                      <w:sz w:val="21"/>
                      <w:szCs w:val="21"/>
                      <w:highlight w:val="none"/>
                      <w:u w:val="none" w:color="auto"/>
                    </w:rPr>
                  </w:pPr>
                  <w:r>
                    <w:rPr>
                      <w:rFonts w:hint="default" w:ascii="Times New Roman" w:hAnsi="Times New Roman" w:eastAsia="宋体" w:cs="Times New Roman"/>
                      <w:color w:val="000000"/>
                      <w:sz w:val="21"/>
                      <w:szCs w:val="21"/>
                      <w:highlight w:val="none"/>
                      <w:u w:val="none" w:color="auto"/>
                    </w:rPr>
                    <w:t>北</w:t>
                  </w:r>
                </w:p>
              </w:tc>
              <w:tc>
                <w:tcPr>
                  <w:tcW w:w="363" w:type="pct"/>
                  <w:vMerge w:val="continue"/>
                  <w:noWrap w:val="0"/>
                  <w:vAlign w:val="center"/>
                </w:tcPr>
                <w:p w14:paraId="5174BF2F">
                  <w:pPr>
                    <w:pStyle w:val="45"/>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rPr>
                      <w:rFonts w:hint="default" w:ascii="Times New Roman" w:hAnsi="Times New Roman" w:eastAsia="宋体" w:cs="Times New Roman"/>
                      <w:color w:val="000000"/>
                      <w:sz w:val="21"/>
                      <w:szCs w:val="21"/>
                      <w:highlight w:val="none"/>
                      <w:u w:val="none" w:color="auto"/>
                    </w:rPr>
                  </w:pPr>
                </w:p>
              </w:tc>
              <w:tc>
                <w:tcPr>
                  <w:tcW w:w="599" w:type="pct"/>
                  <w:vMerge w:val="continue"/>
                  <w:noWrap w:val="0"/>
                  <w:vAlign w:val="center"/>
                </w:tcPr>
                <w:p w14:paraId="02123043">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rPr>
                      <w:rFonts w:hint="default" w:ascii="Times New Roman" w:hAnsi="Times New Roman" w:eastAsia="宋体" w:cs="Times New Roman"/>
                      <w:color w:val="000000"/>
                      <w:sz w:val="21"/>
                      <w:szCs w:val="21"/>
                      <w:highlight w:val="none"/>
                      <w:u w:val="none" w:color="auto"/>
                    </w:rPr>
                  </w:pPr>
                </w:p>
              </w:tc>
            </w:tr>
            <w:tr w14:paraId="05C336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69" w:type="pct"/>
                  <w:noWrap w:val="0"/>
                  <w:vAlign w:val="center"/>
                </w:tcPr>
                <w:p w14:paraId="5C035ACE">
                  <w:pPr>
                    <w:keepNext w:val="0"/>
                    <w:keepLines w:val="0"/>
                    <w:pageBreakBefore w:val="0"/>
                    <w:widowControl/>
                    <w:suppressLineNumbers w:val="0"/>
                    <w:kinsoku/>
                    <w:wordWrap/>
                    <w:overflowPunct/>
                    <w:topLinePunct w:val="0"/>
                    <w:autoSpaceDE/>
                    <w:autoSpaceDN/>
                    <w:bidi w:val="0"/>
                    <w:jc w:val="center"/>
                    <w:textAlignment w:val="center"/>
                    <w:rPr>
                      <w:rFonts w:hint="default" w:ascii="Times New Roman" w:hAnsi="Times New Roman" w:eastAsia="宋体" w:cs="Times New Roman"/>
                      <w:color w:val="000000"/>
                      <w:kern w:val="2"/>
                      <w:sz w:val="21"/>
                      <w:szCs w:val="21"/>
                      <w:highlight w:val="none"/>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277" w:type="pct"/>
                  <w:vMerge w:val="restart"/>
                  <w:noWrap w:val="0"/>
                  <w:vAlign w:val="center"/>
                </w:tcPr>
                <w:p w14:paraId="7185EB8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ind w:left="0" w:right="0"/>
                    <w:jc w:val="center"/>
                    <w:textAlignment w:val="center"/>
                    <w:rPr>
                      <w:rFonts w:hint="default" w:ascii="Times New Roman" w:hAnsi="Times New Roman" w:eastAsia="宋体" w:cs="Times New Roman"/>
                      <w:color w:val="000000"/>
                      <w:sz w:val="21"/>
                      <w:szCs w:val="21"/>
                      <w:highlight w:val="none"/>
                      <w:u w:val="none" w:color="auto"/>
                      <w:lang w:val="en-US" w:eastAsia="zh-CN"/>
                    </w:rPr>
                  </w:pPr>
                  <w:r>
                    <w:rPr>
                      <w:rFonts w:hint="default" w:ascii="Times New Roman" w:hAnsi="Times New Roman" w:cs="Times New Roman"/>
                      <w:bCs/>
                      <w:color w:val="000000" w:themeColor="text1"/>
                      <w:sz w:val="21"/>
                      <w:szCs w:val="21"/>
                      <w:highlight w:val="none"/>
                      <w:u w:val="none"/>
                      <w:lang w:val="en-US" w:eastAsia="zh-CN"/>
                      <w14:textFill>
                        <w14:solidFill>
                          <w14:schemeClr w14:val="tx1"/>
                        </w14:solidFill>
                      </w14:textFill>
                    </w:rPr>
                    <w:t>生产车间</w:t>
                  </w:r>
                </w:p>
              </w:tc>
              <w:tc>
                <w:tcPr>
                  <w:tcW w:w="481" w:type="pct"/>
                  <w:noWrap w:val="0"/>
                  <w:vAlign w:val="center"/>
                </w:tcPr>
                <w:p w14:paraId="276E187D">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center"/>
                    <w:rPr>
                      <w:rFonts w:hint="default" w:ascii="Times New Roman" w:hAnsi="Times New Roman" w:eastAsia="宋体" w:cs="Times New Roman"/>
                      <w:color w:val="000000"/>
                      <w:spacing w:val="-2"/>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粉碎机</w:t>
                  </w:r>
                </w:p>
              </w:tc>
              <w:tc>
                <w:tcPr>
                  <w:tcW w:w="366" w:type="pct"/>
                  <w:noWrap w:val="0"/>
                  <w:vAlign w:val="center"/>
                </w:tcPr>
                <w:p w14:paraId="6D90D973">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000000"/>
                      <w:sz w:val="21"/>
                      <w:szCs w:val="21"/>
                      <w:highlight w:val="none"/>
                      <w:u w:val="none" w:color="auto"/>
                      <w:lang w:val="en-US" w:eastAsia="zh-CN"/>
                    </w:rPr>
                  </w:pPr>
                  <w:r>
                    <w:rPr>
                      <w:rFonts w:hint="default" w:ascii="Times New Roman" w:hAnsi="Times New Roman" w:cs="Times New Roman"/>
                      <w:color w:val="auto"/>
                      <w:sz w:val="21"/>
                      <w:szCs w:val="21"/>
                      <w:highlight w:val="none"/>
                      <w:u w:val="none" w:color="auto"/>
                      <w:lang w:val="en-US" w:eastAsia="zh-CN"/>
                    </w:rPr>
                    <w:t>85</w:t>
                  </w:r>
                </w:p>
              </w:tc>
              <w:tc>
                <w:tcPr>
                  <w:tcW w:w="160" w:type="pct"/>
                  <w:noWrap w:val="0"/>
                  <w:vAlign w:val="center"/>
                </w:tcPr>
                <w:p w14:paraId="766778F1">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rPr>
                      <w:rFonts w:hint="default" w:ascii="Times New Roman" w:hAnsi="Times New Roman" w:eastAsia="宋体" w:cs="Times New Roman"/>
                      <w:color w:val="000000"/>
                      <w:sz w:val="21"/>
                      <w:szCs w:val="21"/>
                      <w:highlight w:val="none"/>
                      <w:u w:val="none" w:color="auto"/>
                      <w:lang w:val="en-US" w:eastAsia="zh-CN"/>
                    </w:rPr>
                  </w:pPr>
                  <w:r>
                    <w:rPr>
                      <w:rFonts w:hint="default" w:ascii="Times New Roman" w:hAnsi="Times New Roman" w:cs="Times New Roman"/>
                      <w:color w:val="000000"/>
                      <w:sz w:val="21"/>
                      <w:szCs w:val="21"/>
                      <w:highlight w:val="none"/>
                      <w:u w:val="none" w:color="auto"/>
                      <w:lang w:val="en-US" w:eastAsia="zh-CN"/>
                    </w:rPr>
                    <w:t>2</w:t>
                  </w:r>
                </w:p>
              </w:tc>
              <w:tc>
                <w:tcPr>
                  <w:tcW w:w="215" w:type="pct"/>
                  <w:vMerge w:val="restart"/>
                  <w:noWrap w:val="0"/>
                  <w:vAlign w:val="center"/>
                </w:tcPr>
                <w:p w14:paraId="20583D1E">
                  <w:pPr>
                    <w:pStyle w:val="45"/>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rPr>
                      <w:rFonts w:hint="default" w:ascii="Times New Roman" w:hAnsi="Times New Roman" w:eastAsia="宋体" w:cs="Times New Roman"/>
                      <w:color w:val="000000"/>
                      <w:sz w:val="21"/>
                      <w:szCs w:val="21"/>
                      <w:highlight w:val="none"/>
                      <w:u w:val="none" w:color="auto"/>
                      <w:lang w:eastAsia="zh-CN"/>
                    </w:rPr>
                  </w:pPr>
                  <w:r>
                    <w:rPr>
                      <w:rFonts w:hint="default" w:ascii="Times New Roman" w:hAnsi="Times New Roman" w:eastAsia="宋体" w:cs="Times New Roman"/>
                      <w:color w:val="000000"/>
                      <w:sz w:val="21"/>
                      <w:szCs w:val="21"/>
                      <w:highlight w:val="none"/>
                      <w:u w:val="none" w:color="auto"/>
                      <w:lang w:eastAsia="zh-CN"/>
                    </w:rPr>
                    <w:t>设备合理布局；高噪设备采取基础减振、厂房隔声等降噪措施</w:t>
                  </w:r>
                </w:p>
              </w:tc>
              <w:tc>
                <w:tcPr>
                  <w:tcW w:w="233" w:type="pct"/>
                  <w:noWrap w:val="0"/>
                  <w:vAlign w:val="center"/>
                </w:tcPr>
                <w:p w14:paraId="6350E52D">
                  <w:pPr>
                    <w:keepNext w:val="0"/>
                    <w:keepLines w:val="0"/>
                    <w:pageBreakBefore w:val="0"/>
                    <w:widowControl/>
                    <w:suppressLineNumbers w:val="0"/>
                    <w:kinsoku/>
                    <w:wordWrap/>
                    <w:overflowPunct/>
                    <w:topLinePunct w:val="0"/>
                    <w:autoSpaceDE/>
                    <w:autoSpaceDN/>
                    <w:bidi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21.6</w:t>
                  </w:r>
                </w:p>
              </w:tc>
              <w:tc>
                <w:tcPr>
                  <w:tcW w:w="178" w:type="pct"/>
                  <w:noWrap w:val="0"/>
                  <w:vAlign w:val="center"/>
                </w:tcPr>
                <w:p w14:paraId="33FFC94C">
                  <w:pPr>
                    <w:keepNext w:val="0"/>
                    <w:keepLines w:val="0"/>
                    <w:pageBreakBefore w:val="0"/>
                    <w:widowControl/>
                    <w:suppressLineNumbers w:val="0"/>
                    <w:kinsoku/>
                    <w:wordWrap/>
                    <w:overflowPunct/>
                    <w:topLinePunct w:val="0"/>
                    <w:autoSpaceDE/>
                    <w:autoSpaceDN/>
                    <w:bidi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33.2</w:t>
                  </w:r>
                </w:p>
              </w:tc>
              <w:tc>
                <w:tcPr>
                  <w:tcW w:w="167" w:type="pct"/>
                  <w:noWrap w:val="0"/>
                  <w:vAlign w:val="center"/>
                </w:tcPr>
                <w:p w14:paraId="061F58BB">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rPr>
                      <w:rFonts w:hint="default" w:ascii="Times New Roman" w:hAnsi="Times New Roman" w:eastAsia="宋体" w:cs="Times New Roman"/>
                      <w:color w:val="000000"/>
                      <w:sz w:val="21"/>
                      <w:szCs w:val="21"/>
                      <w:highlight w:val="none"/>
                      <w:u w:val="none" w:color="auto"/>
                      <w:lang w:val="en-US" w:eastAsia="zh-CN"/>
                    </w:rPr>
                  </w:pPr>
                  <w:r>
                    <w:rPr>
                      <w:rFonts w:hint="eastAsia" w:ascii="Times New Roman" w:hAnsi="Times New Roman" w:eastAsia="宋体" w:cs="Times New Roman"/>
                      <w:color w:val="000000"/>
                      <w:sz w:val="21"/>
                      <w:szCs w:val="21"/>
                      <w:highlight w:val="none"/>
                      <w:u w:val="none" w:color="auto"/>
                      <w:lang w:val="en-US" w:eastAsia="zh-CN"/>
                    </w:rPr>
                    <w:t>181</w:t>
                  </w:r>
                </w:p>
              </w:tc>
              <w:tc>
                <w:tcPr>
                  <w:tcW w:w="137" w:type="pct"/>
                  <w:noWrap w:val="0"/>
                  <w:vAlign w:val="center"/>
                </w:tcPr>
                <w:p w14:paraId="78281F1B">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92.4</w:t>
                  </w:r>
                </w:p>
              </w:tc>
              <w:tc>
                <w:tcPr>
                  <w:tcW w:w="174" w:type="pct"/>
                  <w:noWrap w:val="0"/>
                  <w:vAlign w:val="center"/>
                </w:tcPr>
                <w:p w14:paraId="54EF012E">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14.8</w:t>
                  </w:r>
                </w:p>
              </w:tc>
              <w:tc>
                <w:tcPr>
                  <w:tcW w:w="168" w:type="pct"/>
                  <w:noWrap w:val="0"/>
                  <w:vAlign w:val="center"/>
                </w:tcPr>
                <w:p w14:paraId="5A5CF619">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33.6</w:t>
                  </w:r>
                </w:p>
              </w:tc>
              <w:tc>
                <w:tcPr>
                  <w:tcW w:w="219" w:type="pct"/>
                  <w:noWrap w:val="0"/>
                  <w:vAlign w:val="center"/>
                </w:tcPr>
                <w:p w14:paraId="27FA74FE">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5.2</w:t>
                  </w:r>
                </w:p>
              </w:tc>
              <w:tc>
                <w:tcPr>
                  <w:tcW w:w="185" w:type="pct"/>
                  <w:noWrap w:val="0"/>
                  <w:vAlign w:val="center"/>
                </w:tcPr>
                <w:p w14:paraId="70E93DBD">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48.7 </w:t>
                  </w:r>
                </w:p>
              </w:tc>
              <w:tc>
                <w:tcPr>
                  <w:tcW w:w="235" w:type="pct"/>
                  <w:noWrap w:val="0"/>
                  <w:vAlign w:val="center"/>
                </w:tcPr>
                <w:p w14:paraId="1407384F">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64.6 </w:t>
                  </w:r>
                </w:p>
              </w:tc>
              <w:tc>
                <w:tcPr>
                  <w:tcW w:w="277" w:type="pct"/>
                  <w:noWrap w:val="0"/>
                  <w:vAlign w:val="center"/>
                </w:tcPr>
                <w:p w14:paraId="33A450A9">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57.5 </w:t>
                  </w:r>
                </w:p>
              </w:tc>
              <w:tc>
                <w:tcPr>
                  <w:tcW w:w="285" w:type="pct"/>
                  <w:noWrap w:val="0"/>
                  <w:vAlign w:val="center"/>
                </w:tcPr>
                <w:p w14:paraId="0565469C">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73.7 </w:t>
                  </w:r>
                </w:p>
              </w:tc>
              <w:tc>
                <w:tcPr>
                  <w:tcW w:w="363" w:type="pct"/>
                  <w:noWrap w:val="0"/>
                  <w:vAlign w:val="center"/>
                </w:tcPr>
                <w:p w14:paraId="31CD47E6">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rPr>
                      <w:rFonts w:hint="default" w:ascii="Times New Roman" w:hAnsi="Times New Roman" w:eastAsia="宋体" w:cs="Times New Roman"/>
                      <w:color w:val="000000"/>
                      <w:kern w:val="0"/>
                      <w:sz w:val="21"/>
                      <w:szCs w:val="21"/>
                      <w:highlight w:val="none"/>
                      <w:u w:val="none" w:color="auto"/>
                      <w:lang w:val="en-US" w:eastAsia="zh-CN" w:bidi="ar"/>
                    </w:rPr>
                  </w:pPr>
                  <w:r>
                    <w:rPr>
                      <w:rFonts w:hint="default" w:ascii="Times New Roman" w:hAnsi="Times New Roman" w:eastAsia="宋体" w:cs="Times New Roman"/>
                      <w:color w:val="000000"/>
                      <w:kern w:val="0"/>
                      <w:sz w:val="21"/>
                      <w:szCs w:val="21"/>
                      <w:highlight w:val="none"/>
                      <w:u w:val="none" w:color="auto"/>
                      <w:lang w:val="en-US" w:eastAsia="zh-CN" w:bidi="ar"/>
                    </w:rPr>
                    <w:t>12</w:t>
                  </w:r>
                </w:p>
              </w:tc>
              <w:tc>
                <w:tcPr>
                  <w:tcW w:w="599" w:type="pct"/>
                  <w:vMerge w:val="restart"/>
                  <w:noWrap w:val="0"/>
                  <w:vAlign w:val="center"/>
                </w:tcPr>
                <w:p w14:paraId="0439E1CE">
                  <w:pPr>
                    <w:pStyle w:val="45"/>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rPr>
                      <w:rFonts w:hint="default" w:ascii="Times New Roman" w:hAnsi="Times New Roman" w:eastAsia="宋体" w:cs="Times New Roman"/>
                      <w:color w:val="000000"/>
                      <w:sz w:val="21"/>
                      <w:szCs w:val="21"/>
                      <w:highlight w:val="none"/>
                      <w:u w:val="none" w:color="auto"/>
                      <w:lang w:eastAsia="zh-CN"/>
                    </w:rPr>
                  </w:pPr>
                  <w:r>
                    <w:rPr>
                      <w:rFonts w:hint="default" w:ascii="Times New Roman" w:hAnsi="Times New Roman" w:eastAsia="宋体" w:cs="Times New Roman"/>
                      <w:color w:val="000000"/>
                      <w:spacing w:val="-2"/>
                      <w:sz w:val="21"/>
                      <w:szCs w:val="21"/>
                      <w:highlight w:val="none"/>
                      <w:u w:val="none" w:color="auto"/>
                      <w:lang w:eastAsia="zh-CN"/>
                    </w:rPr>
                    <w:t>经过选择低噪声设备；车间内设备合理布局；高噪设备采取基础减振、厂房隔声等降噪措施；设备定期维修，保证正常运转，声</w:t>
                  </w:r>
                  <w:r>
                    <w:rPr>
                      <w:rFonts w:hint="default" w:ascii="Times New Roman" w:hAnsi="Times New Roman" w:eastAsia="宋体" w:cs="Times New Roman"/>
                      <w:color w:val="000000"/>
                      <w:spacing w:val="-1"/>
                      <w:sz w:val="21"/>
                      <w:szCs w:val="21"/>
                      <w:highlight w:val="none"/>
                      <w:u w:val="none" w:color="auto"/>
                      <w:lang w:eastAsia="zh-CN"/>
                    </w:rPr>
                    <w:t>源降低</w:t>
                  </w:r>
                  <w:r>
                    <w:rPr>
                      <w:rFonts w:hint="default" w:ascii="Times New Roman" w:hAnsi="Times New Roman" w:cs="Times New Roman"/>
                      <w:color w:val="000000"/>
                      <w:spacing w:val="-1"/>
                      <w:sz w:val="21"/>
                      <w:szCs w:val="21"/>
                      <w:highlight w:val="none"/>
                      <w:u w:val="none" w:color="auto"/>
                      <w:lang w:val="en-US" w:eastAsia="zh-CN"/>
                    </w:rPr>
                    <w:t>1</w:t>
                  </w:r>
                  <w:r>
                    <w:rPr>
                      <w:rFonts w:hint="default" w:ascii="Times New Roman" w:hAnsi="Times New Roman" w:eastAsia="宋体" w:cs="Times New Roman"/>
                      <w:color w:val="000000"/>
                      <w:spacing w:val="-6"/>
                      <w:sz w:val="21"/>
                      <w:szCs w:val="21"/>
                      <w:highlight w:val="none"/>
                      <w:u w:val="none" w:color="auto"/>
                      <w:lang w:val="en-US" w:eastAsia="zh-CN"/>
                    </w:rPr>
                    <w:t>0</w:t>
                  </w:r>
                  <w:r>
                    <w:rPr>
                      <w:rFonts w:hint="default" w:ascii="Times New Roman" w:hAnsi="Times New Roman" w:eastAsia="宋体" w:cs="Times New Roman"/>
                      <w:color w:val="000000"/>
                      <w:spacing w:val="-6"/>
                      <w:sz w:val="21"/>
                      <w:szCs w:val="21"/>
                      <w:highlight w:val="none"/>
                      <w:u w:val="none" w:color="auto"/>
                    </w:rPr>
                    <w:t>dB</w:t>
                  </w:r>
                  <w:r>
                    <w:rPr>
                      <w:rFonts w:hint="default" w:ascii="Times New Roman" w:hAnsi="Times New Roman" w:eastAsia="宋体" w:cs="Times New Roman"/>
                      <w:color w:val="000000"/>
                      <w:spacing w:val="-5"/>
                      <w:sz w:val="21"/>
                      <w:szCs w:val="21"/>
                      <w:highlight w:val="none"/>
                      <w:u w:val="none" w:color="auto"/>
                      <w:lang w:eastAsia="zh-CN"/>
                    </w:rPr>
                    <w:t>（A）</w:t>
                  </w:r>
                </w:p>
              </w:tc>
            </w:tr>
            <w:tr w14:paraId="38CBFB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69" w:type="pct"/>
                  <w:noWrap w:val="0"/>
                  <w:vAlign w:val="center"/>
                </w:tcPr>
                <w:p w14:paraId="25F6D293">
                  <w:pPr>
                    <w:keepNext w:val="0"/>
                    <w:keepLines w:val="0"/>
                    <w:pageBreakBefore w:val="0"/>
                    <w:widowControl/>
                    <w:suppressLineNumbers w:val="0"/>
                    <w:kinsoku/>
                    <w:wordWrap/>
                    <w:overflowPunct/>
                    <w:topLinePunct w:val="0"/>
                    <w:autoSpaceDE/>
                    <w:autoSpaceDN/>
                    <w:bidi w:val="0"/>
                    <w:jc w:val="center"/>
                    <w:textAlignment w:val="center"/>
                    <w:rPr>
                      <w:rFonts w:hint="default" w:ascii="Times New Roman" w:hAnsi="Times New Roman" w:eastAsia="宋体" w:cs="Times New Roman"/>
                      <w:color w:val="000000"/>
                      <w:kern w:val="2"/>
                      <w:sz w:val="21"/>
                      <w:szCs w:val="21"/>
                      <w:highlight w:val="none"/>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2</w:t>
                  </w:r>
                </w:p>
              </w:tc>
              <w:tc>
                <w:tcPr>
                  <w:tcW w:w="277" w:type="pct"/>
                  <w:vMerge w:val="continue"/>
                  <w:noWrap w:val="0"/>
                  <w:vAlign w:val="center"/>
                </w:tcPr>
                <w:p w14:paraId="40B30F3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ind w:left="0" w:right="0"/>
                    <w:jc w:val="center"/>
                    <w:textAlignment w:val="center"/>
                    <w:rPr>
                      <w:rFonts w:hint="default" w:ascii="Times New Roman" w:hAnsi="Times New Roman" w:eastAsia="宋体" w:cs="Times New Roman"/>
                      <w:color w:val="000000"/>
                      <w:sz w:val="21"/>
                      <w:szCs w:val="21"/>
                      <w:highlight w:val="none"/>
                      <w:u w:val="none" w:color="auto"/>
                      <w:lang w:val="en-US" w:eastAsia="zh-CN"/>
                    </w:rPr>
                  </w:pPr>
                </w:p>
              </w:tc>
              <w:tc>
                <w:tcPr>
                  <w:tcW w:w="481" w:type="pct"/>
                  <w:noWrap w:val="0"/>
                  <w:vAlign w:val="center"/>
                </w:tcPr>
                <w:p w14:paraId="768C9F5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center"/>
                    <w:rPr>
                      <w:rFonts w:hint="default" w:ascii="Times New Roman" w:hAnsi="Times New Roman" w:eastAsia="宋体" w:cs="Times New Roman"/>
                      <w:color w:val="000000"/>
                      <w:spacing w:val="-2"/>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筛分机</w:t>
                  </w:r>
                </w:p>
              </w:tc>
              <w:tc>
                <w:tcPr>
                  <w:tcW w:w="366" w:type="pct"/>
                  <w:noWrap w:val="0"/>
                  <w:vAlign w:val="center"/>
                </w:tcPr>
                <w:p w14:paraId="32DE0A1F">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000000"/>
                      <w:sz w:val="21"/>
                      <w:szCs w:val="21"/>
                      <w:highlight w:val="none"/>
                      <w:u w:val="none" w:color="auto"/>
                      <w:lang w:val="en-US" w:eastAsia="zh-CN"/>
                    </w:rPr>
                  </w:pPr>
                  <w:r>
                    <w:rPr>
                      <w:rFonts w:hint="default" w:ascii="Times New Roman" w:hAnsi="Times New Roman" w:cs="Times New Roman"/>
                      <w:color w:val="auto"/>
                      <w:sz w:val="21"/>
                      <w:szCs w:val="21"/>
                      <w:highlight w:val="none"/>
                      <w:u w:val="none" w:color="auto"/>
                      <w:lang w:val="en-US" w:eastAsia="zh-CN"/>
                    </w:rPr>
                    <w:t>80</w:t>
                  </w:r>
                </w:p>
              </w:tc>
              <w:tc>
                <w:tcPr>
                  <w:tcW w:w="160" w:type="pct"/>
                  <w:noWrap w:val="0"/>
                  <w:vAlign w:val="center"/>
                </w:tcPr>
                <w:p w14:paraId="67337D4E">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rPr>
                      <w:rFonts w:hint="default" w:ascii="Times New Roman" w:hAnsi="Times New Roman" w:eastAsia="宋体" w:cs="Times New Roman"/>
                      <w:color w:val="000000"/>
                      <w:sz w:val="21"/>
                      <w:szCs w:val="21"/>
                      <w:highlight w:val="none"/>
                      <w:u w:val="none" w:color="auto"/>
                      <w:lang w:val="en-US" w:eastAsia="zh-CN"/>
                    </w:rPr>
                  </w:pPr>
                  <w:r>
                    <w:rPr>
                      <w:rFonts w:hint="default" w:ascii="Times New Roman" w:hAnsi="Times New Roman" w:eastAsia="宋体" w:cs="Times New Roman"/>
                      <w:color w:val="000000"/>
                      <w:sz w:val="21"/>
                      <w:szCs w:val="21"/>
                      <w:highlight w:val="none"/>
                      <w:u w:val="none" w:color="auto"/>
                      <w:lang w:val="en-US" w:eastAsia="zh-CN"/>
                    </w:rPr>
                    <w:t>2</w:t>
                  </w:r>
                </w:p>
              </w:tc>
              <w:tc>
                <w:tcPr>
                  <w:tcW w:w="215" w:type="pct"/>
                  <w:vMerge w:val="continue"/>
                  <w:noWrap w:val="0"/>
                  <w:vAlign w:val="center"/>
                </w:tcPr>
                <w:p w14:paraId="6867E59F">
                  <w:pPr>
                    <w:pStyle w:val="45"/>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rPr>
                      <w:rFonts w:hint="default" w:ascii="Times New Roman" w:hAnsi="Times New Roman" w:eastAsia="宋体" w:cs="Times New Roman"/>
                      <w:color w:val="000000"/>
                      <w:sz w:val="21"/>
                      <w:szCs w:val="21"/>
                      <w:highlight w:val="none"/>
                      <w:u w:val="none" w:color="auto"/>
                      <w:lang w:eastAsia="zh-CN"/>
                    </w:rPr>
                  </w:pPr>
                </w:p>
              </w:tc>
              <w:tc>
                <w:tcPr>
                  <w:tcW w:w="233" w:type="pct"/>
                  <w:noWrap w:val="0"/>
                  <w:vAlign w:val="center"/>
                </w:tcPr>
                <w:p w14:paraId="63EB571F">
                  <w:pPr>
                    <w:keepNext w:val="0"/>
                    <w:keepLines w:val="0"/>
                    <w:pageBreakBefore w:val="0"/>
                    <w:widowControl/>
                    <w:suppressLineNumbers w:val="0"/>
                    <w:kinsoku/>
                    <w:wordWrap/>
                    <w:overflowPunct/>
                    <w:topLinePunct w:val="0"/>
                    <w:autoSpaceDE/>
                    <w:autoSpaceDN/>
                    <w:bidi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24.4</w:t>
                  </w:r>
                </w:p>
              </w:tc>
              <w:tc>
                <w:tcPr>
                  <w:tcW w:w="178" w:type="pct"/>
                  <w:noWrap w:val="0"/>
                  <w:vAlign w:val="center"/>
                </w:tcPr>
                <w:p w14:paraId="481C0ED6">
                  <w:pPr>
                    <w:keepNext w:val="0"/>
                    <w:keepLines w:val="0"/>
                    <w:pageBreakBefore w:val="0"/>
                    <w:widowControl/>
                    <w:suppressLineNumbers w:val="0"/>
                    <w:kinsoku/>
                    <w:wordWrap/>
                    <w:overflowPunct/>
                    <w:topLinePunct w:val="0"/>
                    <w:autoSpaceDE/>
                    <w:autoSpaceDN/>
                    <w:bidi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27.0</w:t>
                  </w:r>
                </w:p>
              </w:tc>
              <w:tc>
                <w:tcPr>
                  <w:tcW w:w="167" w:type="pct"/>
                  <w:noWrap w:val="0"/>
                  <w:vAlign w:val="center"/>
                </w:tcPr>
                <w:p w14:paraId="045FFDE3">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rPr>
                      <w:rFonts w:hint="default" w:ascii="Times New Roman" w:hAnsi="Times New Roman" w:eastAsia="宋体" w:cs="Times New Roman"/>
                      <w:color w:val="000000"/>
                      <w:sz w:val="21"/>
                      <w:szCs w:val="21"/>
                      <w:highlight w:val="none"/>
                      <w:u w:val="none" w:color="auto"/>
                      <w:lang w:val="en-US" w:eastAsia="zh-CN"/>
                    </w:rPr>
                  </w:pPr>
                  <w:r>
                    <w:rPr>
                      <w:rFonts w:hint="eastAsia" w:ascii="Times New Roman" w:hAnsi="Times New Roman" w:eastAsia="宋体" w:cs="Times New Roman"/>
                      <w:color w:val="000000"/>
                      <w:sz w:val="21"/>
                      <w:szCs w:val="21"/>
                      <w:highlight w:val="none"/>
                      <w:u w:val="none" w:color="auto"/>
                      <w:lang w:val="en-US" w:eastAsia="zh-CN"/>
                    </w:rPr>
                    <w:t>181</w:t>
                  </w:r>
                </w:p>
              </w:tc>
              <w:tc>
                <w:tcPr>
                  <w:tcW w:w="137" w:type="pct"/>
                  <w:noWrap w:val="0"/>
                  <w:vAlign w:val="center"/>
                </w:tcPr>
                <w:p w14:paraId="16E5A70C">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93.1</w:t>
                  </w:r>
                </w:p>
              </w:tc>
              <w:tc>
                <w:tcPr>
                  <w:tcW w:w="174" w:type="pct"/>
                  <w:noWrap w:val="0"/>
                  <w:vAlign w:val="center"/>
                </w:tcPr>
                <w:p w14:paraId="7D01C7E6">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7.7</w:t>
                  </w:r>
                </w:p>
              </w:tc>
              <w:tc>
                <w:tcPr>
                  <w:tcW w:w="168" w:type="pct"/>
                  <w:noWrap w:val="0"/>
                  <w:vAlign w:val="center"/>
                </w:tcPr>
                <w:p w14:paraId="54896907">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32.9</w:t>
                  </w:r>
                </w:p>
              </w:tc>
              <w:tc>
                <w:tcPr>
                  <w:tcW w:w="219" w:type="pct"/>
                  <w:noWrap w:val="0"/>
                  <w:vAlign w:val="center"/>
                </w:tcPr>
                <w:p w14:paraId="5122A433">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12.3</w:t>
                  </w:r>
                </w:p>
              </w:tc>
              <w:tc>
                <w:tcPr>
                  <w:tcW w:w="185" w:type="pct"/>
                  <w:noWrap w:val="0"/>
                  <w:vAlign w:val="center"/>
                </w:tcPr>
                <w:p w14:paraId="32A43EB2">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43.6 </w:t>
                  </w:r>
                </w:p>
              </w:tc>
              <w:tc>
                <w:tcPr>
                  <w:tcW w:w="235" w:type="pct"/>
                  <w:noWrap w:val="0"/>
                  <w:vAlign w:val="center"/>
                </w:tcPr>
                <w:p w14:paraId="76D3A202">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65.3 </w:t>
                  </w:r>
                </w:p>
              </w:tc>
              <w:tc>
                <w:tcPr>
                  <w:tcW w:w="277" w:type="pct"/>
                  <w:noWrap w:val="0"/>
                  <w:vAlign w:val="center"/>
                </w:tcPr>
                <w:p w14:paraId="7D2359DF">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52.7 </w:t>
                  </w:r>
                </w:p>
              </w:tc>
              <w:tc>
                <w:tcPr>
                  <w:tcW w:w="285" w:type="pct"/>
                  <w:noWrap w:val="0"/>
                  <w:vAlign w:val="center"/>
                </w:tcPr>
                <w:p w14:paraId="66CFACFE">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61.2 </w:t>
                  </w:r>
                </w:p>
              </w:tc>
              <w:tc>
                <w:tcPr>
                  <w:tcW w:w="363" w:type="pct"/>
                  <w:noWrap w:val="0"/>
                  <w:vAlign w:val="center"/>
                </w:tcPr>
                <w:p w14:paraId="27DF3661">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rPr>
                      <w:rFonts w:hint="default" w:ascii="Times New Roman" w:hAnsi="Times New Roman" w:eastAsia="宋体" w:cs="Times New Roman"/>
                      <w:color w:val="000000"/>
                      <w:kern w:val="0"/>
                      <w:sz w:val="21"/>
                      <w:szCs w:val="21"/>
                      <w:highlight w:val="none"/>
                      <w:u w:val="none" w:color="auto"/>
                      <w:lang w:val="en-US" w:eastAsia="zh-CN" w:bidi="ar"/>
                    </w:rPr>
                  </w:pPr>
                  <w:r>
                    <w:rPr>
                      <w:rFonts w:hint="default" w:ascii="Times New Roman" w:hAnsi="Times New Roman" w:eastAsia="宋体" w:cs="Times New Roman"/>
                      <w:color w:val="000000"/>
                      <w:kern w:val="0"/>
                      <w:sz w:val="21"/>
                      <w:szCs w:val="21"/>
                      <w:highlight w:val="none"/>
                      <w:u w:val="none" w:color="auto"/>
                      <w:lang w:val="en-US" w:eastAsia="zh-CN" w:bidi="ar"/>
                    </w:rPr>
                    <w:t>12</w:t>
                  </w:r>
                </w:p>
              </w:tc>
              <w:tc>
                <w:tcPr>
                  <w:tcW w:w="599" w:type="pct"/>
                  <w:vMerge w:val="continue"/>
                  <w:noWrap w:val="0"/>
                  <w:vAlign w:val="center"/>
                </w:tcPr>
                <w:p w14:paraId="2C2D4A76">
                  <w:pPr>
                    <w:pStyle w:val="45"/>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rPr>
                      <w:rFonts w:hint="default" w:ascii="Times New Roman" w:hAnsi="Times New Roman" w:eastAsia="宋体" w:cs="Times New Roman"/>
                      <w:color w:val="000000"/>
                      <w:spacing w:val="-5"/>
                      <w:sz w:val="21"/>
                      <w:szCs w:val="21"/>
                      <w:highlight w:val="none"/>
                      <w:u w:val="none" w:color="auto"/>
                      <w:lang w:eastAsia="zh-CN"/>
                    </w:rPr>
                  </w:pPr>
                </w:p>
              </w:tc>
            </w:tr>
            <w:tr w14:paraId="1AC03E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69" w:type="pct"/>
                  <w:noWrap w:val="0"/>
                  <w:vAlign w:val="center"/>
                </w:tcPr>
                <w:p w14:paraId="0D7EDA20">
                  <w:pPr>
                    <w:keepNext w:val="0"/>
                    <w:keepLines w:val="0"/>
                    <w:pageBreakBefore w:val="0"/>
                    <w:widowControl/>
                    <w:suppressLineNumbers w:val="0"/>
                    <w:kinsoku/>
                    <w:wordWrap/>
                    <w:overflowPunct/>
                    <w:topLinePunct w:val="0"/>
                    <w:autoSpaceDE/>
                    <w:autoSpaceDN/>
                    <w:bidi w:val="0"/>
                    <w:jc w:val="center"/>
                    <w:textAlignment w:val="center"/>
                    <w:rPr>
                      <w:rFonts w:hint="default" w:ascii="Times New Roman" w:hAnsi="Times New Roman" w:eastAsia="宋体" w:cs="Times New Roman"/>
                      <w:color w:val="000000"/>
                      <w:kern w:val="2"/>
                      <w:sz w:val="21"/>
                      <w:szCs w:val="21"/>
                      <w:highlight w:val="none"/>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3</w:t>
                  </w:r>
                </w:p>
              </w:tc>
              <w:tc>
                <w:tcPr>
                  <w:tcW w:w="277" w:type="pct"/>
                  <w:vMerge w:val="continue"/>
                  <w:noWrap w:val="0"/>
                  <w:vAlign w:val="center"/>
                </w:tcPr>
                <w:p w14:paraId="7B16E48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ind w:left="0" w:right="0"/>
                    <w:jc w:val="center"/>
                    <w:textAlignment w:val="center"/>
                    <w:rPr>
                      <w:rFonts w:hint="default" w:ascii="Times New Roman" w:hAnsi="Times New Roman" w:eastAsia="宋体" w:cs="Times New Roman"/>
                      <w:color w:val="000000"/>
                      <w:sz w:val="21"/>
                      <w:szCs w:val="21"/>
                      <w:highlight w:val="none"/>
                      <w:u w:val="none" w:color="auto"/>
                      <w:lang w:val="en-US" w:eastAsia="zh-CN"/>
                    </w:rPr>
                  </w:pPr>
                </w:p>
              </w:tc>
              <w:tc>
                <w:tcPr>
                  <w:tcW w:w="481" w:type="pct"/>
                  <w:noWrap w:val="0"/>
                  <w:vAlign w:val="center"/>
                </w:tcPr>
                <w:p w14:paraId="3CFEF64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center"/>
                    <w:rPr>
                      <w:rFonts w:hint="default" w:ascii="Times New Roman" w:hAnsi="Times New Roman" w:eastAsia="宋体" w:cs="Times New Roman"/>
                      <w:color w:val="000000"/>
                      <w:spacing w:val="-2"/>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烘干机</w:t>
                  </w:r>
                </w:p>
              </w:tc>
              <w:tc>
                <w:tcPr>
                  <w:tcW w:w="366" w:type="pct"/>
                  <w:noWrap w:val="0"/>
                  <w:vAlign w:val="center"/>
                </w:tcPr>
                <w:p w14:paraId="5C55EEA5">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000000"/>
                      <w:sz w:val="21"/>
                      <w:szCs w:val="21"/>
                      <w:highlight w:val="none"/>
                      <w:u w:val="none" w:color="auto"/>
                      <w:lang w:val="en-US" w:eastAsia="zh-CN"/>
                    </w:rPr>
                  </w:pPr>
                  <w:r>
                    <w:rPr>
                      <w:rFonts w:hint="default" w:ascii="Times New Roman" w:hAnsi="Times New Roman" w:cs="Times New Roman"/>
                      <w:color w:val="auto"/>
                      <w:sz w:val="21"/>
                      <w:szCs w:val="21"/>
                      <w:highlight w:val="none"/>
                      <w:u w:val="none" w:color="auto"/>
                      <w:lang w:val="en-US" w:eastAsia="zh-CN"/>
                    </w:rPr>
                    <w:t>90</w:t>
                  </w:r>
                </w:p>
              </w:tc>
              <w:tc>
                <w:tcPr>
                  <w:tcW w:w="160" w:type="pct"/>
                  <w:noWrap w:val="0"/>
                  <w:vAlign w:val="center"/>
                </w:tcPr>
                <w:p w14:paraId="11965CA0">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rPr>
                      <w:rFonts w:hint="default" w:ascii="Times New Roman" w:hAnsi="Times New Roman" w:eastAsia="宋体" w:cs="Times New Roman"/>
                      <w:color w:val="000000"/>
                      <w:sz w:val="21"/>
                      <w:szCs w:val="21"/>
                      <w:highlight w:val="none"/>
                      <w:u w:val="none" w:color="auto"/>
                      <w:lang w:val="en-US" w:eastAsia="zh-CN"/>
                    </w:rPr>
                  </w:pPr>
                  <w:r>
                    <w:rPr>
                      <w:rFonts w:hint="default" w:ascii="Times New Roman" w:hAnsi="Times New Roman" w:eastAsia="宋体" w:cs="Times New Roman"/>
                      <w:color w:val="000000"/>
                      <w:sz w:val="21"/>
                      <w:szCs w:val="21"/>
                      <w:highlight w:val="none"/>
                      <w:u w:val="none" w:color="auto"/>
                      <w:lang w:val="en-US" w:eastAsia="zh-CN"/>
                    </w:rPr>
                    <w:t>2</w:t>
                  </w:r>
                </w:p>
              </w:tc>
              <w:tc>
                <w:tcPr>
                  <w:tcW w:w="215" w:type="pct"/>
                  <w:vMerge w:val="continue"/>
                  <w:noWrap w:val="0"/>
                  <w:vAlign w:val="center"/>
                </w:tcPr>
                <w:p w14:paraId="0D683569">
                  <w:pPr>
                    <w:pStyle w:val="45"/>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rPr>
                      <w:rFonts w:hint="default" w:ascii="Times New Roman" w:hAnsi="Times New Roman" w:eastAsia="宋体" w:cs="Times New Roman"/>
                      <w:color w:val="000000"/>
                      <w:sz w:val="21"/>
                      <w:szCs w:val="21"/>
                      <w:highlight w:val="none"/>
                      <w:u w:val="none" w:color="auto"/>
                      <w:lang w:eastAsia="zh-CN"/>
                    </w:rPr>
                  </w:pPr>
                </w:p>
              </w:tc>
              <w:tc>
                <w:tcPr>
                  <w:tcW w:w="233" w:type="pct"/>
                  <w:noWrap w:val="0"/>
                  <w:vAlign w:val="center"/>
                </w:tcPr>
                <w:p w14:paraId="34BDF70D">
                  <w:pPr>
                    <w:keepNext w:val="0"/>
                    <w:keepLines w:val="0"/>
                    <w:pageBreakBefore w:val="0"/>
                    <w:widowControl/>
                    <w:suppressLineNumbers w:val="0"/>
                    <w:kinsoku/>
                    <w:wordWrap/>
                    <w:overflowPunct/>
                    <w:topLinePunct w:val="0"/>
                    <w:autoSpaceDE/>
                    <w:autoSpaceDN/>
                    <w:bidi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28.8</w:t>
                  </w:r>
                </w:p>
              </w:tc>
              <w:tc>
                <w:tcPr>
                  <w:tcW w:w="178" w:type="pct"/>
                  <w:noWrap w:val="0"/>
                  <w:vAlign w:val="center"/>
                </w:tcPr>
                <w:p w14:paraId="6DBB124D">
                  <w:pPr>
                    <w:keepNext w:val="0"/>
                    <w:keepLines w:val="0"/>
                    <w:pageBreakBefore w:val="0"/>
                    <w:widowControl/>
                    <w:suppressLineNumbers w:val="0"/>
                    <w:kinsoku/>
                    <w:wordWrap/>
                    <w:overflowPunct/>
                    <w:topLinePunct w:val="0"/>
                    <w:autoSpaceDE/>
                    <w:autoSpaceDN/>
                    <w:bidi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18.8</w:t>
                  </w:r>
                </w:p>
              </w:tc>
              <w:tc>
                <w:tcPr>
                  <w:tcW w:w="167" w:type="pct"/>
                  <w:noWrap w:val="0"/>
                  <w:vAlign w:val="center"/>
                </w:tcPr>
                <w:p w14:paraId="75089523">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rPr>
                      <w:rFonts w:hint="default" w:ascii="Times New Roman" w:hAnsi="Times New Roman" w:eastAsia="宋体" w:cs="Times New Roman"/>
                      <w:color w:val="000000"/>
                      <w:sz w:val="21"/>
                      <w:szCs w:val="21"/>
                      <w:highlight w:val="none"/>
                      <w:u w:val="none" w:color="auto"/>
                      <w:lang w:val="en-US" w:eastAsia="zh-CN"/>
                    </w:rPr>
                  </w:pPr>
                  <w:r>
                    <w:rPr>
                      <w:rFonts w:hint="eastAsia" w:ascii="Times New Roman" w:hAnsi="Times New Roman" w:eastAsia="宋体" w:cs="Times New Roman"/>
                      <w:color w:val="000000"/>
                      <w:sz w:val="21"/>
                      <w:szCs w:val="21"/>
                      <w:highlight w:val="none"/>
                      <w:u w:val="none" w:color="auto"/>
                      <w:lang w:val="en-US" w:eastAsia="zh-CN"/>
                    </w:rPr>
                    <w:t>181</w:t>
                  </w:r>
                </w:p>
              </w:tc>
              <w:tc>
                <w:tcPr>
                  <w:tcW w:w="137" w:type="pct"/>
                  <w:noWrap w:val="0"/>
                  <w:vAlign w:val="center"/>
                </w:tcPr>
                <w:p w14:paraId="4E51D60F">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92.3</w:t>
                  </w:r>
                </w:p>
              </w:tc>
              <w:tc>
                <w:tcPr>
                  <w:tcW w:w="174" w:type="pct"/>
                  <w:noWrap w:val="0"/>
                  <w:vAlign w:val="center"/>
                </w:tcPr>
                <w:p w14:paraId="00B06A14">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2.8</w:t>
                  </w:r>
                </w:p>
              </w:tc>
              <w:tc>
                <w:tcPr>
                  <w:tcW w:w="168" w:type="pct"/>
                  <w:noWrap w:val="0"/>
                  <w:vAlign w:val="center"/>
                </w:tcPr>
                <w:p w14:paraId="31464DBA">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33.7</w:t>
                  </w:r>
                </w:p>
              </w:tc>
              <w:tc>
                <w:tcPr>
                  <w:tcW w:w="219" w:type="pct"/>
                  <w:noWrap w:val="0"/>
                  <w:vAlign w:val="center"/>
                </w:tcPr>
                <w:p w14:paraId="0B1BCB93">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17.2</w:t>
                  </w:r>
                </w:p>
              </w:tc>
              <w:tc>
                <w:tcPr>
                  <w:tcW w:w="185" w:type="pct"/>
                  <w:noWrap w:val="0"/>
                  <w:vAlign w:val="center"/>
                </w:tcPr>
                <w:p w14:paraId="2CBABF65">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53.7 </w:t>
                  </w:r>
                </w:p>
              </w:tc>
              <w:tc>
                <w:tcPr>
                  <w:tcW w:w="235" w:type="pct"/>
                  <w:noWrap w:val="0"/>
                  <w:vAlign w:val="center"/>
                </w:tcPr>
                <w:p w14:paraId="5A3DB87B">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84.1 </w:t>
                  </w:r>
                </w:p>
              </w:tc>
              <w:tc>
                <w:tcPr>
                  <w:tcW w:w="277" w:type="pct"/>
                  <w:noWrap w:val="0"/>
                  <w:vAlign w:val="center"/>
                </w:tcPr>
                <w:p w14:paraId="1AEBE5E6">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62.4 </w:t>
                  </w:r>
                </w:p>
              </w:tc>
              <w:tc>
                <w:tcPr>
                  <w:tcW w:w="285" w:type="pct"/>
                  <w:noWrap w:val="0"/>
                  <w:vAlign w:val="center"/>
                </w:tcPr>
                <w:p w14:paraId="0A407A5A">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68.3 </w:t>
                  </w:r>
                </w:p>
              </w:tc>
              <w:tc>
                <w:tcPr>
                  <w:tcW w:w="363" w:type="pct"/>
                  <w:noWrap w:val="0"/>
                  <w:vAlign w:val="center"/>
                </w:tcPr>
                <w:p w14:paraId="6B52C6A9">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rPr>
                      <w:rFonts w:hint="default" w:ascii="Times New Roman" w:hAnsi="Times New Roman" w:eastAsia="宋体" w:cs="Times New Roman"/>
                      <w:color w:val="000000"/>
                      <w:kern w:val="0"/>
                      <w:sz w:val="21"/>
                      <w:szCs w:val="21"/>
                      <w:highlight w:val="none"/>
                      <w:u w:val="none" w:color="auto"/>
                      <w:lang w:val="en-US" w:eastAsia="zh-CN" w:bidi="ar"/>
                    </w:rPr>
                  </w:pPr>
                  <w:r>
                    <w:rPr>
                      <w:rFonts w:hint="default" w:ascii="Times New Roman" w:hAnsi="Times New Roman" w:eastAsia="宋体" w:cs="Times New Roman"/>
                      <w:color w:val="000000"/>
                      <w:kern w:val="0"/>
                      <w:sz w:val="21"/>
                      <w:szCs w:val="21"/>
                      <w:highlight w:val="none"/>
                      <w:u w:val="none" w:color="auto"/>
                      <w:lang w:val="en-US" w:eastAsia="zh-CN" w:bidi="ar"/>
                    </w:rPr>
                    <w:t>12</w:t>
                  </w:r>
                </w:p>
              </w:tc>
              <w:tc>
                <w:tcPr>
                  <w:tcW w:w="599" w:type="pct"/>
                  <w:vMerge w:val="continue"/>
                  <w:noWrap w:val="0"/>
                  <w:vAlign w:val="center"/>
                </w:tcPr>
                <w:p w14:paraId="34E59F81">
                  <w:pPr>
                    <w:pStyle w:val="45"/>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rPr>
                      <w:rFonts w:hint="default" w:ascii="Times New Roman" w:hAnsi="Times New Roman" w:eastAsia="宋体" w:cs="Times New Roman"/>
                      <w:color w:val="000000"/>
                      <w:spacing w:val="-5"/>
                      <w:sz w:val="21"/>
                      <w:szCs w:val="21"/>
                      <w:highlight w:val="none"/>
                      <w:u w:val="none" w:color="auto"/>
                      <w:lang w:eastAsia="zh-CN"/>
                    </w:rPr>
                  </w:pPr>
                </w:p>
              </w:tc>
            </w:tr>
            <w:tr w14:paraId="513904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69" w:type="pct"/>
                  <w:noWrap w:val="0"/>
                  <w:vAlign w:val="center"/>
                </w:tcPr>
                <w:p w14:paraId="45B7F519">
                  <w:pPr>
                    <w:keepNext w:val="0"/>
                    <w:keepLines w:val="0"/>
                    <w:pageBreakBefore w:val="0"/>
                    <w:widowControl/>
                    <w:suppressLineNumbers w:val="0"/>
                    <w:kinsoku/>
                    <w:wordWrap/>
                    <w:overflowPunct/>
                    <w:topLinePunct w:val="0"/>
                    <w:autoSpaceDE/>
                    <w:autoSpaceDN/>
                    <w:bidi w:val="0"/>
                    <w:jc w:val="center"/>
                    <w:textAlignment w:val="center"/>
                    <w:rPr>
                      <w:rFonts w:hint="default" w:ascii="Times New Roman" w:hAnsi="Times New Roman" w:eastAsia="宋体" w:cs="Times New Roman"/>
                      <w:color w:val="000000"/>
                      <w:sz w:val="21"/>
                      <w:szCs w:val="21"/>
                      <w:highlight w:val="none"/>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4</w:t>
                  </w:r>
                </w:p>
              </w:tc>
              <w:tc>
                <w:tcPr>
                  <w:tcW w:w="277" w:type="pct"/>
                  <w:vMerge w:val="continue"/>
                  <w:noWrap w:val="0"/>
                  <w:vAlign w:val="center"/>
                </w:tcPr>
                <w:p w14:paraId="29E81F8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ind w:left="0" w:right="0"/>
                    <w:jc w:val="center"/>
                    <w:textAlignment w:val="center"/>
                    <w:rPr>
                      <w:rFonts w:hint="default" w:ascii="Times New Roman" w:hAnsi="Times New Roman" w:eastAsia="宋体" w:cs="Times New Roman"/>
                      <w:color w:val="000000"/>
                      <w:sz w:val="21"/>
                      <w:szCs w:val="21"/>
                      <w:highlight w:val="none"/>
                      <w:u w:val="none" w:color="auto"/>
                      <w:lang w:val="en-US" w:eastAsia="zh-CN"/>
                    </w:rPr>
                  </w:pPr>
                </w:p>
              </w:tc>
              <w:tc>
                <w:tcPr>
                  <w:tcW w:w="481" w:type="pct"/>
                  <w:noWrap w:val="0"/>
                  <w:vAlign w:val="center"/>
                </w:tcPr>
                <w:p w14:paraId="003EA69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center"/>
                    <w:rPr>
                      <w:rFonts w:hint="default" w:ascii="Times New Roman" w:hAnsi="Times New Roman" w:eastAsia="宋体" w:cs="Times New Roman"/>
                      <w:color w:val="000000"/>
                      <w:spacing w:val="-2"/>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风机</w:t>
                  </w:r>
                </w:p>
              </w:tc>
              <w:tc>
                <w:tcPr>
                  <w:tcW w:w="366" w:type="pct"/>
                  <w:noWrap w:val="0"/>
                  <w:vAlign w:val="center"/>
                </w:tcPr>
                <w:p w14:paraId="02C6C7DA">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000000"/>
                      <w:sz w:val="21"/>
                      <w:szCs w:val="21"/>
                      <w:highlight w:val="none"/>
                      <w:u w:val="none" w:color="auto"/>
                      <w:lang w:val="en-US" w:eastAsia="zh-CN"/>
                    </w:rPr>
                  </w:pPr>
                  <w:r>
                    <w:rPr>
                      <w:rFonts w:hint="default" w:ascii="Times New Roman" w:hAnsi="Times New Roman" w:cs="Times New Roman"/>
                      <w:color w:val="auto"/>
                      <w:sz w:val="21"/>
                      <w:szCs w:val="21"/>
                      <w:highlight w:val="none"/>
                      <w:u w:val="none" w:color="auto"/>
                      <w:lang w:val="en-US" w:eastAsia="zh-CN"/>
                    </w:rPr>
                    <w:t>90</w:t>
                  </w:r>
                </w:p>
              </w:tc>
              <w:tc>
                <w:tcPr>
                  <w:tcW w:w="160" w:type="pct"/>
                  <w:noWrap w:val="0"/>
                  <w:vAlign w:val="center"/>
                </w:tcPr>
                <w:p w14:paraId="4BCCC056">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rPr>
                      <w:rFonts w:hint="default" w:ascii="Times New Roman" w:hAnsi="Times New Roman" w:eastAsia="宋体" w:cs="Times New Roman"/>
                      <w:color w:val="000000"/>
                      <w:sz w:val="21"/>
                      <w:szCs w:val="21"/>
                      <w:highlight w:val="none"/>
                      <w:u w:val="none" w:color="auto"/>
                      <w:lang w:val="en-US" w:eastAsia="zh-CN"/>
                    </w:rPr>
                  </w:pPr>
                  <w:r>
                    <w:rPr>
                      <w:rFonts w:hint="default" w:ascii="Times New Roman" w:hAnsi="Times New Roman" w:eastAsia="宋体" w:cs="Times New Roman"/>
                      <w:color w:val="000000"/>
                      <w:sz w:val="21"/>
                      <w:szCs w:val="21"/>
                      <w:highlight w:val="none"/>
                      <w:u w:val="none" w:color="auto"/>
                      <w:lang w:val="en-US" w:eastAsia="zh-CN"/>
                    </w:rPr>
                    <w:t>2</w:t>
                  </w:r>
                </w:p>
              </w:tc>
              <w:tc>
                <w:tcPr>
                  <w:tcW w:w="215" w:type="pct"/>
                  <w:vMerge w:val="continue"/>
                  <w:noWrap w:val="0"/>
                  <w:vAlign w:val="center"/>
                </w:tcPr>
                <w:p w14:paraId="4D8AAA27">
                  <w:pPr>
                    <w:pStyle w:val="45"/>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rPr>
                      <w:rFonts w:hint="default" w:ascii="Times New Roman" w:hAnsi="Times New Roman" w:eastAsia="宋体" w:cs="Times New Roman"/>
                      <w:color w:val="000000"/>
                      <w:sz w:val="21"/>
                      <w:szCs w:val="21"/>
                      <w:highlight w:val="none"/>
                      <w:u w:val="none" w:color="auto"/>
                      <w:lang w:eastAsia="zh-CN"/>
                    </w:rPr>
                  </w:pPr>
                </w:p>
              </w:tc>
              <w:tc>
                <w:tcPr>
                  <w:tcW w:w="233" w:type="pct"/>
                  <w:noWrap w:val="0"/>
                  <w:vAlign w:val="center"/>
                </w:tcPr>
                <w:p w14:paraId="3F9F4196">
                  <w:pPr>
                    <w:keepNext w:val="0"/>
                    <w:keepLines w:val="0"/>
                    <w:pageBreakBefore w:val="0"/>
                    <w:widowControl/>
                    <w:suppressLineNumbers w:val="0"/>
                    <w:kinsoku/>
                    <w:wordWrap/>
                    <w:overflowPunct/>
                    <w:topLinePunct w:val="0"/>
                    <w:autoSpaceDE/>
                    <w:autoSpaceDN/>
                    <w:bidi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27.5</w:t>
                  </w:r>
                </w:p>
              </w:tc>
              <w:tc>
                <w:tcPr>
                  <w:tcW w:w="178" w:type="pct"/>
                  <w:noWrap w:val="0"/>
                  <w:vAlign w:val="center"/>
                </w:tcPr>
                <w:p w14:paraId="7EFF8D32">
                  <w:pPr>
                    <w:keepNext w:val="0"/>
                    <w:keepLines w:val="0"/>
                    <w:pageBreakBefore w:val="0"/>
                    <w:widowControl/>
                    <w:suppressLineNumbers w:val="0"/>
                    <w:kinsoku/>
                    <w:wordWrap/>
                    <w:overflowPunct/>
                    <w:topLinePunct w:val="0"/>
                    <w:autoSpaceDE/>
                    <w:autoSpaceDN/>
                    <w:bidi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36.6</w:t>
                  </w:r>
                </w:p>
              </w:tc>
              <w:tc>
                <w:tcPr>
                  <w:tcW w:w="167" w:type="pct"/>
                  <w:noWrap w:val="0"/>
                  <w:vAlign w:val="center"/>
                </w:tcPr>
                <w:p w14:paraId="057AC8DE">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rPr>
                      <w:rFonts w:hint="default" w:ascii="Times New Roman" w:hAnsi="Times New Roman" w:eastAsia="宋体" w:cs="Times New Roman"/>
                      <w:color w:val="000000"/>
                      <w:sz w:val="21"/>
                      <w:szCs w:val="21"/>
                      <w:highlight w:val="none"/>
                      <w:u w:val="none" w:color="auto"/>
                      <w:lang w:val="en-US" w:eastAsia="zh-CN"/>
                    </w:rPr>
                  </w:pPr>
                  <w:r>
                    <w:rPr>
                      <w:rFonts w:hint="eastAsia" w:ascii="Times New Roman" w:hAnsi="Times New Roman" w:eastAsia="宋体" w:cs="Times New Roman"/>
                      <w:color w:val="000000"/>
                      <w:sz w:val="21"/>
                      <w:szCs w:val="21"/>
                      <w:highlight w:val="none"/>
                      <w:u w:val="none" w:color="auto"/>
                      <w:lang w:val="en-US" w:eastAsia="zh-CN"/>
                    </w:rPr>
                    <w:t>181</w:t>
                  </w:r>
                </w:p>
              </w:tc>
              <w:tc>
                <w:tcPr>
                  <w:tcW w:w="137" w:type="pct"/>
                  <w:noWrap w:val="0"/>
                  <w:vAlign w:val="center"/>
                </w:tcPr>
                <w:p w14:paraId="3F8D2B40">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86.2</w:t>
                  </w:r>
                </w:p>
              </w:tc>
              <w:tc>
                <w:tcPr>
                  <w:tcW w:w="174" w:type="pct"/>
                  <w:noWrap w:val="0"/>
                  <w:vAlign w:val="center"/>
                </w:tcPr>
                <w:p w14:paraId="565169CB">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14.9</w:t>
                  </w:r>
                </w:p>
              </w:tc>
              <w:tc>
                <w:tcPr>
                  <w:tcW w:w="168" w:type="pct"/>
                  <w:noWrap w:val="0"/>
                  <w:vAlign w:val="center"/>
                </w:tcPr>
                <w:p w14:paraId="00AC3C47">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39.8</w:t>
                  </w:r>
                </w:p>
              </w:tc>
              <w:tc>
                <w:tcPr>
                  <w:tcW w:w="219" w:type="pct"/>
                  <w:noWrap w:val="0"/>
                  <w:vAlign w:val="center"/>
                </w:tcPr>
                <w:p w14:paraId="7887AF6D">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5.1</w:t>
                  </w:r>
                </w:p>
              </w:tc>
              <w:tc>
                <w:tcPr>
                  <w:tcW w:w="185" w:type="pct"/>
                  <w:noWrap w:val="0"/>
                  <w:vAlign w:val="center"/>
                </w:tcPr>
                <w:p w14:paraId="3000B7F0">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 xml:space="preserve">54.3 </w:t>
                  </w:r>
                </w:p>
              </w:tc>
              <w:tc>
                <w:tcPr>
                  <w:tcW w:w="235" w:type="pct"/>
                  <w:noWrap w:val="0"/>
                  <w:vAlign w:val="center"/>
                </w:tcPr>
                <w:p w14:paraId="5F2DEB48">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 xml:space="preserve">69.5 </w:t>
                  </w:r>
                </w:p>
              </w:tc>
              <w:tc>
                <w:tcPr>
                  <w:tcW w:w="277" w:type="pct"/>
                  <w:noWrap w:val="0"/>
                  <w:vAlign w:val="center"/>
                </w:tcPr>
                <w:p w14:paraId="62584097">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 xml:space="preserve">61.0 </w:t>
                  </w:r>
                </w:p>
              </w:tc>
              <w:tc>
                <w:tcPr>
                  <w:tcW w:w="285" w:type="pct"/>
                  <w:noWrap w:val="0"/>
                  <w:vAlign w:val="center"/>
                </w:tcPr>
                <w:p w14:paraId="05B39494">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 xml:space="preserve">78.8 </w:t>
                  </w:r>
                </w:p>
              </w:tc>
              <w:tc>
                <w:tcPr>
                  <w:tcW w:w="363" w:type="pct"/>
                  <w:noWrap w:val="0"/>
                  <w:vAlign w:val="center"/>
                </w:tcPr>
                <w:p w14:paraId="6DFD30DF">
                  <w:pPr>
                    <w:keepNext w:val="0"/>
                    <w:keepLines w:val="0"/>
                    <w:pageBreakBefore w:val="0"/>
                    <w:widowControl/>
                    <w:suppressLineNumbers w:val="0"/>
                    <w:kinsoku/>
                    <w:wordWrap/>
                    <w:overflowPunct/>
                    <w:topLinePunct w:val="0"/>
                    <w:autoSpaceDE/>
                    <w:autoSpaceDN/>
                    <w:bidi w:val="0"/>
                    <w:jc w:val="center"/>
                    <w:textAlignment w:val="center"/>
                    <w:rPr>
                      <w:rFonts w:hint="default" w:ascii="Times New Roman" w:hAnsi="Times New Roman" w:eastAsia="宋体" w:cs="Times New Roman"/>
                      <w:color w:val="000000"/>
                      <w:kern w:val="0"/>
                      <w:sz w:val="21"/>
                      <w:szCs w:val="21"/>
                      <w:highlight w:val="none"/>
                      <w:u w:val="none" w:color="auto"/>
                      <w:lang w:val="en-US" w:eastAsia="zh-CN" w:bidi="ar"/>
                    </w:rPr>
                  </w:pPr>
                  <w:r>
                    <w:rPr>
                      <w:rFonts w:hint="default" w:ascii="Times New Roman" w:hAnsi="Times New Roman" w:cs="Times New Roman"/>
                      <w:color w:val="000000"/>
                      <w:kern w:val="0"/>
                      <w:sz w:val="21"/>
                      <w:szCs w:val="21"/>
                      <w:highlight w:val="none"/>
                      <w:u w:val="none" w:color="auto"/>
                      <w:lang w:val="en-US" w:eastAsia="zh-CN" w:bidi="ar"/>
                    </w:rPr>
                    <w:t>24</w:t>
                  </w:r>
                </w:p>
              </w:tc>
              <w:tc>
                <w:tcPr>
                  <w:tcW w:w="599" w:type="pct"/>
                  <w:vMerge w:val="continue"/>
                  <w:noWrap w:val="0"/>
                  <w:vAlign w:val="center"/>
                </w:tcPr>
                <w:p w14:paraId="63F887FE">
                  <w:pPr>
                    <w:pStyle w:val="45"/>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rPr>
                      <w:rFonts w:hint="default" w:ascii="Times New Roman" w:hAnsi="Times New Roman" w:eastAsia="宋体" w:cs="Times New Roman"/>
                      <w:color w:val="000000"/>
                      <w:spacing w:val="-5"/>
                      <w:sz w:val="21"/>
                      <w:szCs w:val="21"/>
                      <w:highlight w:val="none"/>
                      <w:u w:val="none" w:color="auto"/>
                      <w:lang w:eastAsia="zh-CN"/>
                    </w:rPr>
                  </w:pPr>
                </w:p>
              </w:tc>
            </w:tr>
            <w:tr w14:paraId="01E046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69" w:type="pct"/>
                  <w:noWrap w:val="0"/>
                  <w:vAlign w:val="center"/>
                </w:tcPr>
                <w:p w14:paraId="5F882F91">
                  <w:pPr>
                    <w:keepNext w:val="0"/>
                    <w:keepLines w:val="0"/>
                    <w:pageBreakBefore w:val="0"/>
                    <w:widowControl/>
                    <w:suppressLineNumbers w:val="0"/>
                    <w:kinsoku/>
                    <w:wordWrap/>
                    <w:overflowPunct/>
                    <w:topLinePunct w:val="0"/>
                    <w:autoSpaceDE/>
                    <w:autoSpaceDN/>
                    <w:bidi w:val="0"/>
                    <w:jc w:val="center"/>
                    <w:textAlignment w:val="center"/>
                    <w:rPr>
                      <w:rFonts w:hint="default" w:ascii="Times New Roman" w:hAnsi="Times New Roman" w:eastAsia="宋体" w:cs="Times New Roman"/>
                      <w:color w:val="000000"/>
                      <w:sz w:val="21"/>
                      <w:szCs w:val="21"/>
                      <w:highlight w:val="none"/>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5</w:t>
                  </w:r>
                </w:p>
              </w:tc>
              <w:tc>
                <w:tcPr>
                  <w:tcW w:w="277" w:type="pct"/>
                  <w:vMerge w:val="restart"/>
                  <w:noWrap w:val="0"/>
                  <w:vAlign w:val="center"/>
                </w:tcPr>
                <w:p w14:paraId="6AA909C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ind w:left="0" w:right="0"/>
                    <w:jc w:val="center"/>
                    <w:textAlignment w:val="center"/>
                    <w:rPr>
                      <w:rFonts w:hint="default" w:ascii="Times New Roman" w:hAnsi="Times New Roman" w:eastAsia="宋体" w:cs="Times New Roman"/>
                      <w:color w:val="000000"/>
                      <w:sz w:val="21"/>
                      <w:szCs w:val="21"/>
                      <w:highlight w:val="none"/>
                      <w:u w:val="none" w:color="auto"/>
                      <w:lang w:val="en-US" w:eastAsia="zh-CN"/>
                    </w:rPr>
                  </w:pPr>
                  <w:r>
                    <w:rPr>
                      <w:rFonts w:hint="default" w:ascii="Times New Roman" w:hAnsi="Times New Roman" w:cs="Times New Roman"/>
                      <w:bCs/>
                      <w:color w:val="000000" w:themeColor="text1"/>
                      <w:sz w:val="21"/>
                      <w:szCs w:val="21"/>
                      <w:highlight w:val="none"/>
                      <w:u w:val="none"/>
                      <w:lang w:val="en-US" w:eastAsia="zh-CN"/>
                      <w14:textFill>
                        <w14:solidFill>
                          <w14:schemeClr w14:val="tx1"/>
                        </w14:solidFill>
                      </w14:textFill>
                    </w:rPr>
                    <w:t>生物质颗粒生产车间及成品仓库</w:t>
                  </w:r>
                </w:p>
              </w:tc>
              <w:tc>
                <w:tcPr>
                  <w:tcW w:w="481" w:type="pct"/>
                  <w:noWrap w:val="0"/>
                  <w:vAlign w:val="center"/>
                </w:tcPr>
                <w:p w14:paraId="0CE2FDB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center"/>
                    <w:rPr>
                      <w:rFonts w:hint="default" w:ascii="Times New Roman" w:hAnsi="Times New Roman" w:eastAsia="宋体" w:cs="Times New Roman"/>
                      <w:color w:val="000000"/>
                      <w:spacing w:val="-2"/>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破碎机</w:t>
                  </w:r>
                </w:p>
              </w:tc>
              <w:tc>
                <w:tcPr>
                  <w:tcW w:w="366" w:type="pct"/>
                  <w:noWrap w:val="0"/>
                  <w:vAlign w:val="center"/>
                </w:tcPr>
                <w:p w14:paraId="70525011">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000000"/>
                      <w:sz w:val="21"/>
                      <w:szCs w:val="21"/>
                      <w:highlight w:val="none"/>
                      <w:u w:val="none" w:color="auto"/>
                      <w:lang w:val="en-US" w:eastAsia="zh-CN"/>
                    </w:rPr>
                  </w:pPr>
                  <w:r>
                    <w:rPr>
                      <w:rFonts w:hint="default" w:ascii="Times New Roman" w:hAnsi="Times New Roman" w:cs="Times New Roman"/>
                      <w:color w:val="auto"/>
                      <w:sz w:val="21"/>
                      <w:szCs w:val="21"/>
                      <w:highlight w:val="none"/>
                      <w:u w:val="none" w:color="auto"/>
                      <w:lang w:val="en-US" w:eastAsia="zh-CN"/>
                    </w:rPr>
                    <w:t>85</w:t>
                  </w:r>
                </w:p>
              </w:tc>
              <w:tc>
                <w:tcPr>
                  <w:tcW w:w="160" w:type="pct"/>
                  <w:noWrap w:val="0"/>
                  <w:vAlign w:val="center"/>
                </w:tcPr>
                <w:p w14:paraId="14E299CD">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rPr>
                      <w:rFonts w:hint="default" w:ascii="Times New Roman" w:hAnsi="Times New Roman" w:eastAsia="宋体" w:cs="Times New Roman"/>
                      <w:color w:val="000000"/>
                      <w:sz w:val="21"/>
                      <w:szCs w:val="21"/>
                      <w:highlight w:val="none"/>
                      <w:u w:val="none" w:color="auto"/>
                      <w:lang w:val="en-US" w:eastAsia="zh-CN"/>
                    </w:rPr>
                  </w:pPr>
                  <w:r>
                    <w:rPr>
                      <w:rFonts w:hint="default" w:ascii="Times New Roman" w:hAnsi="Times New Roman" w:eastAsia="宋体" w:cs="Times New Roman"/>
                      <w:color w:val="000000"/>
                      <w:sz w:val="21"/>
                      <w:szCs w:val="21"/>
                      <w:highlight w:val="none"/>
                      <w:u w:val="none" w:color="auto"/>
                      <w:lang w:val="en-US" w:eastAsia="zh-CN"/>
                    </w:rPr>
                    <w:t>1</w:t>
                  </w:r>
                </w:p>
              </w:tc>
              <w:tc>
                <w:tcPr>
                  <w:tcW w:w="215" w:type="pct"/>
                  <w:vMerge w:val="continue"/>
                  <w:noWrap w:val="0"/>
                  <w:vAlign w:val="center"/>
                </w:tcPr>
                <w:p w14:paraId="6AAA404E">
                  <w:pPr>
                    <w:pStyle w:val="45"/>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rPr>
                      <w:rFonts w:hint="default" w:ascii="Times New Roman" w:hAnsi="Times New Roman" w:eastAsia="宋体" w:cs="Times New Roman"/>
                      <w:color w:val="000000"/>
                      <w:sz w:val="21"/>
                      <w:szCs w:val="21"/>
                      <w:highlight w:val="none"/>
                      <w:u w:val="none" w:color="auto"/>
                      <w:lang w:eastAsia="zh-CN"/>
                    </w:rPr>
                  </w:pPr>
                </w:p>
              </w:tc>
              <w:tc>
                <w:tcPr>
                  <w:tcW w:w="233" w:type="pct"/>
                  <w:noWrap w:val="0"/>
                  <w:vAlign w:val="center"/>
                </w:tcPr>
                <w:p w14:paraId="28BD9C9D">
                  <w:pPr>
                    <w:keepNext w:val="0"/>
                    <w:keepLines w:val="0"/>
                    <w:pageBreakBefore w:val="0"/>
                    <w:widowControl/>
                    <w:suppressLineNumbers w:val="0"/>
                    <w:kinsoku/>
                    <w:wordWrap/>
                    <w:overflowPunct/>
                    <w:topLinePunct w:val="0"/>
                    <w:autoSpaceDE/>
                    <w:autoSpaceDN/>
                    <w:bidi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109.1</w:t>
                  </w:r>
                </w:p>
              </w:tc>
              <w:tc>
                <w:tcPr>
                  <w:tcW w:w="178" w:type="pct"/>
                  <w:noWrap w:val="0"/>
                  <w:vAlign w:val="center"/>
                </w:tcPr>
                <w:p w14:paraId="7918EEC3">
                  <w:pPr>
                    <w:keepNext w:val="0"/>
                    <w:keepLines w:val="0"/>
                    <w:pageBreakBefore w:val="0"/>
                    <w:widowControl/>
                    <w:suppressLineNumbers w:val="0"/>
                    <w:kinsoku/>
                    <w:wordWrap/>
                    <w:overflowPunct/>
                    <w:topLinePunct w:val="0"/>
                    <w:autoSpaceDE/>
                    <w:autoSpaceDN/>
                    <w:bidi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11.3</w:t>
                  </w:r>
                </w:p>
              </w:tc>
              <w:tc>
                <w:tcPr>
                  <w:tcW w:w="167" w:type="pct"/>
                  <w:noWrap w:val="0"/>
                  <w:vAlign w:val="center"/>
                </w:tcPr>
                <w:p w14:paraId="4D0B9547">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rPr>
                      <w:rFonts w:hint="default" w:ascii="Times New Roman" w:hAnsi="Times New Roman" w:eastAsia="宋体" w:cs="Times New Roman"/>
                      <w:color w:val="000000"/>
                      <w:sz w:val="21"/>
                      <w:szCs w:val="21"/>
                      <w:highlight w:val="none"/>
                      <w:u w:val="none" w:color="auto"/>
                      <w:lang w:val="en-US" w:eastAsia="zh-CN"/>
                    </w:rPr>
                  </w:pPr>
                  <w:r>
                    <w:rPr>
                      <w:rFonts w:hint="eastAsia" w:ascii="Times New Roman" w:hAnsi="Times New Roman" w:eastAsia="宋体" w:cs="Times New Roman"/>
                      <w:color w:val="000000"/>
                      <w:sz w:val="21"/>
                      <w:szCs w:val="21"/>
                      <w:highlight w:val="none"/>
                      <w:u w:val="none" w:color="auto"/>
                      <w:lang w:val="en-US" w:eastAsia="zh-CN"/>
                    </w:rPr>
                    <w:t>181</w:t>
                  </w:r>
                </w:p>
              </w:tc>
              <w:tc>
                <w:tcPr>
                  <w:tcW w:w="137" w:type="pct"/>
                  <w:noWrap w:val="0"/>
                  <w:vAlign w:val="center"/>
                </w:tcPr>
                <w:p w14:paraId="45B80987">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14.4</w:t>
                  </w:r>
                </w:p>
              </w:tc>
              <w:tc>
                <w:tcPr>
                  <w:tcW w:w="174" w:type="pct"/>
                  <w:noWrap w:val="0"/>
                  <w:vAlign w:val="center"/>
                </w:tcPr>
                <w:p w14:paraId="2B55A28D">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11.1</w:t>
                  </w:r>
                </w:p>
              </w:tc>
              <w:tc>
                <w:tcPr>
                  <w:tcW w:w="168" w:type="pct"/>
                  <w:noWrap w:val="0"/>
                  <w:vAlign w:val="center"/>
                </w:tcPr>
                <w:p w14:paraId="3D5D2F2B">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3.9</w:t>
                  </w:r>
                </w:p>
              </w:tc>
              <w:tc>
                <w:tcPr>
                  <w:tcW w:w="219" w:type="pct"/>
                  <w:noWrap w:val="0"/>
                  <w:vAlign w:val="center"/>
                </w:tcPr>
                <w:p w14:paraId="6047DADD">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37.6</w:t>
                  </w:r>
                </w:p>
              </w:tc>
              <w:tc>
                <w:tcPr>
                  <w:tcW w:w="185" w:type="pct"/>
                  <w:noWrap w:val="0"/>
                  <w:vAlign w:val="center"/>
                </w:tcPr>
                <w:p w14:paraId="2762816A">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61.8 </w:t>
                  </w:r>
                </w:p>
              </w:tc>
              <w:tc>
                <w:tcPr>
                  <w:tcW w:w="235" w:type="pct"/>
                  <w:noWrap w:val="0"/>
                  <w:vAlign w:val="center"/>
                </w:tcPr>
                <w:p w14:paraId="230949D4">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64.1 </w:t>
                  </w:r>
                </w:p>
              </w:tc>
              <w:tc>
                <w:tcPr>
                  <w:tcW w:w="277" w:type="pct"/>
                  <w:noWrap w:val="0"/>
                  <w:vAlign w:val="center"/>
                </w:tcPr>
                <w:p w14:paraId="53178CB5">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73.2 </w:t>
                  </w:r>
                </w:p>
              </w:tc>
              <w:tc>
                <w:tcPr>
                  <w:tcW w:w="285" w:type="pct"/>
                  <w:noWrap w:val="0"/>
                  <w:vAlign w:val="center"/>
                </w:tcPr>
                <w:p w14:paraId="30DEBCDE">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53.5 </w:t>
                  </w:r>
                </w:p>
              </w:tc>
              <w:tc>
                <w:tcPr>
                  <w:tcW w:w="363" w:type="pct"/>
                  <w:noWrap w:val="0"/>
                  <w:vAlign w:val="center"/>
                </w:tcPr>
                <w:p w14:paraId="77A03387">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000000"/>
                      <w:kern w:val="0"/>
                      <w:sz w:val="21"/>
                      <w:szCs w:val="21"/>
                      <w:highlight w:val="none"/>
                      <w:u w:val="none" w:color="auto"/>
                      <w:lang w:val="en-US" w:eastAsia="zh-CN" w:bidi="ar"/>
                    </w:rPr>
                  </w:pPr>
                  <w:r>
                    <w:rPr>
                      <w:rFonts w:hint="default" w:ascii="Times New Roman" w:hAnsi="Times New Roman" w:eastAsia="宋体" w:cs="Times New Roman"/>
                      <w:color w:val="000000"/>
                      <w:kern w:val="0"/>
                      <w:sz w:val="21"/>
                      <w:szCs w:val="21"/>
                      <w:highlight w:val="none"/>
                      <w:u w:val="none" w:color="auto"/>
                      <w:lang w:val="en-US" w:eastAsia="zh-CN" w:bidi="ar"/>
                    </w:rPr>
                    <w:t>12</w:t>
                  </w:r>
                </w:p>
              </w:tc>
              <w:tc>
                <w:tcPr>
                  <w:tcW w:w="599" w:type="pct"/>
                  <w:vMerge w:val="continue"/>
                  <w:noWrap w:val="0"/>
                  <w:vAlign w:val="center"/>
                </w:tcPr>
                <w:p w14:paraId="7E703375">
                  <w:pPr>
                    <w:pStyle w:val="45"/>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rPr>
                      <w:rFonts w:hint="default" w:ascii="Times New Roman" w:hAnsi="Times New Roman" w:eastAsia="宋体" w:cs="Times New Roman"/>
                      <w:color w:val="000000"/>
                      <w:spacing w:val="-5"/>
                      <w:sz w:val="21"/>
                      <w:szCs w:val="21"/>
                      <w:highlight w:val="none"/>
                      <w:u w:val="none" w:color="auto"/>
                      <w:lang w:eastAsia="zh-CN"/>
                    </w:rPr>
                  </w:pPr>
                </w:p>
              </w:tc>
            </w:tr>
            <w:tr w14:paraId="1E987D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69" w:type="pct"/>
                  <w:noWrap w:val="0"/>
                  <w:vAlign w:val="center"/>
                </w:tcPr>
                <w:p w14:paraId="59751075">
                  <w:pPr>
                    <w:keepNext w:val="0"/>
                    <w:keepLines w:val="0"/>
                    <w:pageBreakBefore w:val="0"/>
                    <w:widowControl/>
                    <w:suppressLineNumbers w:val="0"/>
                    <w:kinsoku/>
                    <w:wordWrap/>
                    <w:overflowPunct/>
                    <w:topLinePunct w:val="0"/>
                    <w:autoSpaceDE/>
                    <w:autoSpaceDN/>
                    <w:bidi w:val="0"/>
                    <w:jc w:val="center"/>
                    <w:textAlignment w:val="center"/>
                    <w:rPr>
                      <w:rFonts w:hint="default" w:ascii="Times New Roman" w:hAnsi="Times New Roman" w:eastAsia="宋体" w:cs="Times New Roman"/>
                      <w:color w:val="000000"/>
                      <w:sz w:val="21"/>
                      <w:szCs w:val="21"/>
                      <w:highlight w:val="none"/>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6</w:t>
                  </w:r>
                </w:p>
              </w:tc>
              <w:tc>
                <w:tcPr>
                  <w:tcW w:w="277" w:type="pct"/>
                  <w:vMerge w:val="continue"/>
                  <w:noWrap w:val="0"/>
                  <w:vAlign w:val="center"/>
                </w:tcPr>
                <w:p w14:paraId="67229E1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ind w:left="0" w:right="0"/>
                    <w:jc w:val="center"/>
                    <w:textAlignment w:val="center"/>
                    <w:rPr>
                      <w:rFonts w:hint="default" w:ascii="Times New Roman" w:hAnsi="Times New Roman" w:eastAsia="宋体" w:cs="Times New Roman"/>
                      <w:color w:val="000000"/>
                      <w:sz w:val="21"/>
                      <w:szCs w:val="21"/>
                      <w:highlight w:val="none"/>
                      <w:u w:val="none" w:color="auto"/>
                      <w:lang w:val="en-US" w:eastAsia="zh-CN"/>
                    </w:rPr>
                  </w:pPr>
                </w:p>
              </w:tc>
              <w:tc>
                <w:tcPr>
                  <w:tcW w:w="481" w:type="pct"/>
                  <w:noWrap w:val="0"/>
                  <w:vAlign w:val="center"/>
                </w:tcPr>
                <w:p w14:paraId="0808873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center"/>
                    <w:rPr>
                      <w:rFonts w:hint="default" w:ascii="Times New Roman" w:hAnsi="Times New Roman" w:eastAsia="宋体" w:cs="Times New Roman"/>
                      <w:color w:val="000000"/>
                      <w:spacing w:val="-2"/>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筛分机</w:t>
                  </w:r>
                </w:p>
              </w:tc>
              <w:tc>
                <w:tcPr>
                  <w:tcW w:w="366" w:type="pct"/>
                  <w:noWrap w:val="0"/>
                  <w:vAlign w:val="center"/>
                </w:tcPr>
                <w:p w14:paraId="7DB82F93">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000000"/>
                      <w:sz w:val="21"/>
                      <w:szCs w:val="21"/>
                      <w:highlight w:val="none"/>
                      <w:u w:val="none" w:color="auto"/>
                      <w:lang w:val="en-US" w:eastAsia="zh-CN"/>
                    </w:rPr>
                  </w:pPr>
                  <w:r>
                    <w:rPr>
                      <w:rFonts w:hint="default" w:ascii="Times New Roman" w:hAnsi="Times New Roman" w:cs="Times New Roman"/>
                      <w:color w:val="auto"/>
                      <w:sz w:val="21"/>
                      <w:szCs w:val="21"/>
                      <w:highlight w:val="none"/>
                      <w:u w:val="none" w:color="auto"/>
                      <w:lang w:val="en-US" w:eastAsia="zh-CN"/>
                    </w:rPr>
                    <w:t>80</w:t>
                  </w:r>
                </w:p>
              </w:tc>
              <w:tc>
                <w:tcPr>
                  <w:tcW w:w="160" w:type="pct"/>
                  <w:noWrap w:val="0"/>
                  <w:vAlign w:val="center"/>
                </w:tcPr>
                <w:p w14:paraId="4713D7E9">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rPr>
                      <w:rFonts w:hint="default" w:ascii="Times New Roman" w:hAnsi="Times New Roman" w:eastAsia="宋体" w:cs="Times New Roman"/>
                      <w:color w:val="000000"/>
                      <w:sz w:val="21"/>
                      <w:szCs w:val="21"/>
                      <w:highlight w:val="none"/>
                      <w:u w:val="none" w:color="auto"/>
                      <w:lang w:val="en-US" w:eastAsia="zh-CN"/>
                    </w:rPr>
                  </w:pPr>
                  <w:r>
                    <w:rPr>
                      <w:rFonts w:hint="default" w:ascii="Times New Roman" w:hAnsi="Times New Roman" w:eastAsia="宋体" w:cs="Times New Roman"/>
                      <w:color w:val="000000"/>
                      <w:sz w:val="21"/>
                      <w:szCs w:val="21"/>
                      <w:highlight w:val="none"/>
                      <w:u w:val="none" w:color="auto"/>
                      <w:lang w:val="en-US" w:eastAsia="zh-CN"/>
                    </w:rPr>
                    <w:t>1</w:t>
                  </w:r>
                </w:p>
              </w:tc>
              <w:tc>
                <w:tcPr>
                  <w:tcW w:w="215" w:type="pct"/>
                  <w:vMerge w:val="continue"/>
                  <w:noWrap w:val="0"/>
                  <w:vAlign w:val="center"/>
                </w:tcPr>
                <w:p w14:paraId="4F504A0A">
                  <w:pPr>
                    <w:pStyle w:val="45"/>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rPr>
                      <w:rFonts w:hint="default" w:ascii="Times New Roman" w:hAnsi="Times New Roman" w:eastAsia="宋体" w:cs="Times New Roman"/>
                      <w:color w:val="000000"/>
                      <w:sz w:val="21"/>
                      <w:szCs w:val="21"/>
                      <w:highlight w:val="none"/>
                      <w:u w:val="none" w:color="auto"/>
                      <w:lang w:eastAsia="zh-CN"/>
                    </w:rPr>
                  </w:pPr>
                </w:p>
              </w:tc>
              <w:tc>
                <w:tcPr>
                  <w:tcW w:w="233" w:type="pct"/>
                  <w:noWrap w:val="0"/>
                  <w:vAlign w:val="center"/>
                </w:tcPr>
                <w:p w14:paraId="1B794CE4">
                  <w:pPr>
                    <w:keepNext w:val="0"/>
                    <w:keepLines w:val="0"/>
                    <w:pageBreakBefore w:val="0"/>
                    <w:widowControl/>
                    <w:suppressLineNumbers w:val="0"/>
                    <w:kinsoku/>
                    <w:wordWrap/>
                    <w:overflowPunct/>
                    <w:topLinePunct w:val="0"/>
                    <w:autoSpaceDE/>
                    <w:autoSpaceDN/>
                    <w:bidi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116.4</w:t>
                  </w:r>
                </w:p>
              </w:tc>
              <w:tc>
                <w:tcPr>
                  <w:tcW w:w="178" w:type="pct"/>
                  <w:noWrap w:val="0"/>
                  <w:vAlign w:val="center"/>
                </w:tcPr>
                <w:p w14:paraId="7AD4CB46">
                  <w:pPr>
                    <w:keepNext w:val="0"/>
                    <w:keepLines w:val="0"/>
                    <w:pageBreakBefore w:val="0"/>
                    <w:widowControl/>
                    <w:suppressLineNumbers w:val="0"/>
                    <w:kinsoku/>
                    <w:wordWrap/>
                    <w:overflowPunct/>
                    <w:topLinePunct w:val="0"/>
                    <w:autoSpaceDE/>
                    <w:autoSpaceDN/>
                    <w:bidi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14.4</w:t>
                  </w:r>
                </w:p>
              </w:tc>
              <w:tc>
                <w:tcPr>
                  <w:tcW w:w="167" w:type="pct"/>
                  <w:noWrap w:val="0"/>
                  <w:vAlign w:val="center"/>
                </w:tcPr>
                <w:p w14:paraId="4D29D9AE">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rPr>
                      <w:rFonts w:hint="default" w:ascii="Times New Roman" w:hAnsi="Times New Roman" w:eastAsia="宋体" w:cs="Times New Roman"/>
                      <w:color w:val="000000"/>
                      <w:sz w:val="21"/>
                      <w:szCs w:val="21"/>
                      <w:highlight w:val="none"/>
                      <w:u w:val="none" w:color="auto"/>
                      <w:lang w:val="en-US" w:eastAsia="zh-CN"/>
                    </w:rPr>
                  </w:pPr>
                  <w:r>
                    <w:rPr>
                      <w:rFonts w:hint="eastAsia" w:ascii="Times New Roman" w:hAnsi="Times New Roman" w:eastAsia="宋体" w:cs="Times New Roman"/>
                      <w:color w:val="000000"/>
                      <w:sz w:val="21"/>
                      <w:szCs w:val="21"/>
                      <w:highlight w:val="none"/>
                      <w:u w:val="none" w:color="auto"/>
                      <w:lang w:val="en-US" w:eastAsia="zh-CN"/>
                    </w:rPr>
                    <w:t>181</w:t>
                  </w:r>
                </w:p>
              </w:tc>
              <w:tc>
                <w:tcPr>
                  <w:tcW w:w="137" w:type="pct"/>
                  <w:noWrap w:val="0"/>
                  <w:vAlign w:val="center"/>
                </w:tcPr>
                <w:p w14:paraId="691D8EE0">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6.5</w:t>
                  </w:r>
                </w:p>
              </w:tc>
              <w:tc>
                <w:tcPr>
                  <w:tcW w:w="174" w:type="pct"/>
                  <w:noWrap w:val="0"/>
                  <w:vAlign w:val="center"/>
                </w:tcPr>
                <w:p w14:paraId="7C2C06B2">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11.1</w:t>
                  </w:r>
                </w:p>
              </w:tc>
              <w:tc>
                <w:tcPr>
                  <w:tcW w:w="168" w:type="pct"/>
                  <w:noWrap w:val="0"/>
                  <w:vAlign w:val="center"/>
                </w:tcPr>
                <w:p w14:paraId="54D839D4">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11.7</w:t>
                  </w:r>
                </w:p>
              </w:tc>
              <w:tc>
                <w:tcPr>
                  <w:tcW w:w="219" w:type="pct"/>
                  <w:noWrap w:val="0"/>
                  <w:vAlign w:val="center"/>
                </w:tcPr>
                <w:p w14:paraId="288A84DA">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37.6</w:t>
                  </w:r>
                </w:p>
              </w:tc>
              <w:tc>
                <w:tcPr>
                  <w:tcW w:w="185" w:type="pct"/>
                  <w:noWrap w:val="0"/>
                  <w:vAlign w:val="center"/>
                </w:tcPr>
                <w:p w14:paraId="1B743A9D">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 xml:space="preserve">63.7 </w:t>
                  </w:r>
                </w:p>
              </w:tc>
              <w:tc>
                <w:tcPr>
                  <w:tcW w:w="235" w:type="pct"/>
                  <w:noWrap w:val="0"/>
                  <w:vAlign w:val="center"/>
                </w:tcPr>
                <w:p w14:paraId="7223EB85">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 xml:space="preserve">59.1 </w:t>
                  </w:r>
                </w:p>
              </w:tc>
              <w:tc>
                <w:tcPr>
                  <w:tcW w:w="277" w:type="pct"/>
                  <w:noWrap w:val="0"/>
                  <w:vAlign w:val="center"/>
                </w:tcPr>
                <w:p w14:paraId="2E816EAB">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 xml:space="preserve">58.6 </w:t>
                  </w:r>
                </w:p>
              </w:tc>
              <w:tc>
                <w:tcPr>
                  <w:tcW w:w="285" w:type="pct"/>
                  <w:noWrap w:val="0"/>
                  <w:vAlign w:val="center"/>
                </w:tcPr>
                <w:p w14:paraId="6A3D3FB4">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 xml:space="preserve">48.5 </w:t>
                  </w:r>
                </w:p>
              </w:tc>
              <w:tc>
                <w:tcPr>
                  <w:tcW w:w="363" w:type="pct"/>
                  <w:noWrap w:val="0"/>
                  <w:vAlign w:val="center"/>
                </w:tcPr>
                <w:p w14:paraId="2007C571">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000000"/>
                      <w:kern w:val="0"/>
                      <w:sz w:val="21"/>
                      <w:szCs w:val="21"/>
                      <w:highlight w:val="none"/>
                      <w:u w:val="none" w:color="auto"/>
                      <w:lang w:val="en-US" w:eastAsia="zh-CN" w:bidi="ar"/>
                    </w:rPr>
                  </w:pPr>
                  <w:r>
                    <w:rPr>
                      <w:rFonts w:hint="default" w:ascii="Times New Roman" w:hAnsi="Times New Roman" w:eastAsia="宋体" w:cs="Times New Roman"/>
                      <w:color w:val="000000"/>
                      <w:kern w:val="0"/>
                      <w:sz w:val="21"/>
                      <w:szCs w:val="21"/>
                      <w:highlight w:val="none"/>
                      <w:u w:val="none" w:color="auto"/>
                      <w:lang w:val="en-US" w:eastAsia="zh-CN" w:bidi="ar"/>
                    </w:rPr>
                    <w:t>12</w:t>
                  </w:r>
                </w:p>
              </w:tc>
              <w:tc>
                <w:tcPr>
                  <w:tcW w:w="599" w:type="pct"/>
                  <w:vMerge w:val="continue"/>
                  <w:noWrap w:val="0"/>
                  <w:vAlign w:val="center"/>
                </w:tcPr>
                <w:p w14:paraId="7AC6625D">
                  <w:pPr>
                    <w:pStyle w:val="45"/>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rPr>
                      <w:rFonts w:hint="default" w:ascii="Times New Roman" w:hAnsi="Times New Roman" w:eastAsia="宋体" w:cs="Times New Roman"/>
                      <w:color w:val="000000"/>
                      <w:spacing w:val="-5"/>
                      <w:sz w:val="21"/>
                      <w:szCs w:val="21"/>
                      <w:highlight w:val="none"/>
                      <w:u w:val="none" w:color="auto"/>
                      <w:lang w:eastAsia="zh-CN"/>
                    </w:rPr>
                  </w:pPr>
                </w:p>
              </w:tc>
            </w:tr>
            <w:tr w14:paraId="263943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69" w:type="pct"/>
                  <w:noWrap w:val="0"/>
                  <w:vAlign w:val="center"/>
                </w:tcPr>
                <w:p w14:paraId="6A122715">
                  <w:pPr>
                    <w:keepNext w:val="0"/>
                    <w:keepLines w:val="0"/>
                    <w:pageBreakBefore w:val="0"/>
                    <w:widowControl/>
                    <w:suppressLineNumbers w:val="0"/>
                    <w:kinsoku/>
                    <w:wordWrap/>
                    <w:overflowPunct/>
                    <w:topLinePunct w:val="0"/>
                    <w:autoSpaceDE/>
                    <w:autoSpaceDN/>
                    <w:bidi w:val="0"/>
                    <w:jc w:val="center"/>
                    <w:textAlignment w:val="center"/>
                    <w:rPr>
                      <w:rFonts w:hint="default" w:ascii="Times New Roman" w:hAnsi="Times New Roman" w:eastAsia="宋体" w:cs="Times New Roman"/>
                      <w:color w:val="000000"/>
                      <w:sz w:val="21"/>
                      <w:szCs w:val="21"/>
                      <w:highlight w:val="none"/>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7</w:t>
                  </w:r>
                </w:p>
              </w:tc>
              <w:tc>
                <w:tcPr>
                  <w:tcW w:w="277" w:type="pct"/>
                  <w:vMerge w:val="continue"/>
                  <w:noWrap w:val="0"/>
                  <w:vAlign w:val="center"/>
                </w:tcPr>
                <w:p w14:paraId="63FFFDE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ind w:left="0" w:right="0"/>
                    <w:jc w:val="center"/>
                    <w:textAlignment w:val="center"/>
                    <w:rPr>
                      <w:rFonts w:hint="default" w:ascii="Times New Roman" w:hAnsi="Times New Roman" w:eastAsia="宋体" w:cs="Times New Roman"/>
                      <w:color w:val="000000"/>
                      <w:sz w:val="21"/>
                      <w:szCs w:val="21"/>
                      <w:highlight w:val="none"/>
                      <w:u w:val="none" w:color="auto"/>
                      <w:lang w:val="en-US" w:eastAsia="zh-CN"/>
                    </w:rPr>
                  </w:pPr>
                </w:p>
              </w:tc>
              <w:tc>
                <w:tcPr>
                  <w:tcW w:w="481" w:type="pct"/>
                  <w:noWrap w:val="0"/>
                  <w:vAlign w:val="center"/>
                </w:tcPr>
                <w:p w14:paraId="1523654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center"/>
                    <w:rPr>
                      <w:rFonts w:hint="default" w:ascii="Times New Roman" w:hAnsi="Times New Roman" w:eastAsia="宋体" w:cs="Times New Roman"/>
                      <w:color w:val="000000"/>
                      <w:spacing w:val="-2"/>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造粒机</w:t>
                  </w:r>
                </w:p>
              </w:tc>
              <w:tc>
                <w:tcPr>
                  <w:tcW w:w="366" w:type="pct"/>
                  <w:noWrap w:val="0"/>
                  <w:vAlign w:val="center"/>
                </w:tcPr>
                <w:p w14:paraId="28FA6685">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000000"/>
                      <w:sz w:val="21"/>
                      <w:szCs w:val="21"/>
                      <w:highlight w:val="none"/>
                      <w:u w:val="none" w:color="auto"/>
                      <w:lang w:val="en-US" w:eastAsia="zh-CN"/>
                    </w:rPr>
                  </w:pPr>
                  <w:r>
                    <w:rPr>
                      <w:rFonts w:hint="default" w:ascii="Times New Roman" w:hAnsi="Times New Roman" w:cs="Times New Roman"/>
                      <w:color w:val="auto"/>
                      <w:sz w:val="21"/>
                      <w:szCs w:val="21"/>
                      <w:highlight w:val="none"/>
                      <w:u w:val="none" w:color="auto"/>
                      <w:lang w:val="en-US" w:eastAsia="zh-CN"/>
                    </w:rPr>
                    <w:t>70</w:t>
                  </w:r>
                </w:p>
              </w:tc>
              <w:tc>
                <w:tcPr>
                  <w:tcW w:w="160" w:type="pct"/>
                  <w:noWrap w:val="0"/>
                  <w:vAlign w:val="center"/>
                </w:tcPr>
                <w:p w14:paraId="6C01B43C">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rPr>
                      <w:rFonts w:hint="default" w:ascii="Times New Roman" w:hAnsi="Times New Roman" w:eastAsia="宋体" w:cs="Times New Roman"/>
                      <w:color w:val="000000"/>
                      <w:sz w:val="21"/>
                      <w:szCs w:val="21"/>
                      <w:highlight w:val="none"/>
                      <w:u w:val="none" w:color="auto"/>
                      <w:lang w:val="en-US" w:eastAsia="zh-CN"/>
                    </w:rPr>
                  </w:pPr>
                  <w:r>
                    <w:rPr>
                      <w:rFonts w:hint="default" w:ascii="Times New Roman" w:hAnsi="Times New Roman" w:cs="Times New Roman"/>
                      <w:color w:val="000000"/>
                      <w:sz w:val="21"/>
                      <w:szCs w:val="21"/>
                      <w:highlight w:val="none"/>
                      <w:u w:val="none" w:color="auto"/>
                      <w:lang w:val="en-US" w:eastAsia="zh-CN"/>
                    </w:rPr>
                    <w:t>1</w:t>
                  </w:r>
                </w:p>
              </w:tc>
              <w:tc>
                <w:tcPr>
                  <w:tcW w:w="215" w:type="pct"/>
                  <w:vMerge w:val="continue"/>
                  <w:noWrap w:val="0"/>
                  <w:vAlign w:val="center"/>
                </w:tcPr>
                <w:p w14:paraId="679434A6">
                  <w:pPr>
                    <w:pStyle w:val="45"/>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rPr>
                      <w:rFonts w:hint="default" w:ascii="Times New Roman" w:hAnsi="Times New Roman" w:eastAsia="宋体" w:cs="Times New Roman"/>
                      <w:color w:val="000000"/>
                      <w:sz w:val="21"/>
                      <w:szCs w:val="21"/>
                      <w:highlight w:val="none"/>
                      <w:u w:val="none" w:color="auto"/>
                      <w:lang w:eastAsia="zh-CN"/>
                    </w:rPr>
                  </w:pPr>
                </w:p>
              </w:tc>
              <w:tc>
                <w:tcPr>
                  <w:tcW w:w="233" w:type="pct"/>
                  <w:noWrap w:val="0"/>
                  <w:vAlign w:val="center"/>
                </w:tcPr>
                <w:p w14:paraId="0CF6B14B">
                  <w:pPr>
                    <w:keepNext w:val="0"/>
                    <w:keepLines w:val="0"/>
                    <w:pageBreakBefore w:val="0"/>
                    <w:widowControl/>
                    <w:suppressLineNumbers w:val="0"/>
                    <w:kinsoku/>
                    <w:wordWrap/>
                    <w:overflowPunct/>
                    <w:topLinePunct w:val="0"/>
                    <w:autoSpaceDE/>
                    <w:autoSpaceDN/>
                    <w:bidi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111.2</w:t>
                  </w:r>
                </w:p>
              </w:tc>
              <w:tc>
                <w:tcPr>
                  <w:tcW w:w="178" w:type="pct"/>
                  <w:noWrap w:val="0"/>
                  <w:vAlign w:val="center"/>
                </w:tcPr>
                <w:p w14:paraId="67CBE0CD">
                  <w:pPr>
                    <w:keepNext w:val="0"/>
                    <w:keepLines w:val="0"/>
                    <w:pageBreakBefore w:val="0"/>
                    <w:widowControl/>
                    <w:suppressLineNumbers w:val="0"/>
                    <w:kinsoku/>
                    <w:wordWrap/>
                    <w:overflowPunct/>
                    <w:topLinePunct w:val="0"/>
                    <w:autoSpaceDE/>
                    <w:autoSpaceDN/>
                    <w:bidi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21.1</w:t>
                  </w:r>
                </w:p>
              </w:tc>
              <w:tc>
                <w:tcPr>
                  <w:tcW w:w="167" w:type="pct"/>
                  <w:noWrap w:val="0"/>
                  <w:vAlign w:val="center"/>
                </w:tcPr>
                <w:p w14:paraId="13CCDB58">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rPr>
                      <w:rFonts w:hint="default" w:ascii="Times New Roman" w:hAnsi="Times New Roman" w:eastAsia="宋体" w:cs="Times New Roman"/>
                      <w:color w:val="000000"/>
                      <w:sz w:val="21"/>
                      <w:szCs w:val="21"/>
                      <w:highlight w:val="none"/>
                      <w:u w:val="none" w:color="auto"/>
                      <w:lang w:val="en-US" w:eastAsia="zh-CN"/>
                    </w:rPr>
                  </w:pPr>
                  <w:r>
                    <w:rPr>
                      <w:rFonts w:hint="eastAsia" w:ascii="Times New Roman" w:hAnsi="Times New Roman" w:eastAsia="宋体" w:cs="Times New Roman"/>
                      <w:color w:val="000000"/>
                      <w:sz w:val="21"/>
                      <w:szCs w:val="21"/>
                      <w:highlight w:val="none"/>
                      <w:u w:val="none" w:color="auto"/>
                      <w:lang w:val="en-US" w:eastAsia="zh-CN"/>
                    </w:rPr>
                    <w:t>181</w:t>
                  </w:r>
                </w:p>
              </w:tc>
              <w:tc>
                <w:tcPr>
                  <w:tcW w:w="137" w:type="pct"/>
                  <w:noWrap w:val="0"/>
                  <w:vAlign w:val="center"/>
                </w:tcPr>
                <w:p w14:paraId="29156524">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9.1</w:t>
                  </w:r>
                </w:p>
              </w:tc>
              <w:tc>
                <w:tcPr>
                  <w:tcW w:w="174" w:type="pct"/>
                  <w:noWrap w:val="0"/>
                  <w:vAlign w:val="center"/>
                </w:tcPr>
                <w:p w14:paraId="33F402BE">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19.4</w:t>
                  </w:r>
                </w:p>
              </w:tc>
              <w:tc>
                <w:tcPr>
                  <w:tcW w:w="168" w:type="pct"/>
                  <w:noWrap w:val="0"/>
                  <w:vAlign w:val="center"/>
                </w:tcPr>
                <w:p w14:paraId="3B9E7719">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9.8</w:t>
                  </w:r>
                </w:p>
              </w:tc>
              <w:tc>
                <w:tcPr>
                  <w:tcW w:w="219" w:type="pct"/>
                  <w:noWrap w:val="0"/>
                  <w:vAlign w:val="center"/>
                </w:tcPr>
                <w:p w14:paraId="0836EE5D">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29.7</w:t>
                  </w:r>
                </w:p>
              </w:tc>
              <w:tc>
                <w:tcPr>
                  <w:tcW w:w="185" w:type="pct"/>
                  <w:noWrap w:val="0"/>
                  <w:vAlign w:val="center"/>
                </w:tcPr>
                <w:p w14:paraId="0581E5D6">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 xml:space="preserve">50.8 </w:t>
                  </w:r>
                </w:p>
              </w:tc>
              <w:tc>
                <w:tcPr>
                  <w:tcW w:w="235" w:type="pct"/>
                  <w:noWrap w:val="0"/>
                  <w:vAlign w:val="center"/>
                </w:tcPr>
                <w:p w14:paraId="31729F5E">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 xml:space="preserve">44.2 </w:t>
                  </w:r>
                </w:p>
              </w:tc>
              <w:tc>
                <w:tcPr>
                  <w:tcW w:w="277" w:type="pct"/>
                  <w:noWrap w:val="0"/>
                  <w:vAlign w:val="center"/>
                </w:tcPr>
                <w:p w14:paraId="34E64FE0">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 xml:space="preserve">50.2 </w:t>
                  </w:r>
                </w:p>
              </w:tc>
              <w:tc>
                <w:tcPr>
                  <w:tcW w:w="285" w:type="pct"/>
                  <w:noWrap w:val="0"/>
                  <w:vAlign w:val="center"/>
                </w:tcPr>
                <w:p w14:paraId="30C68D8E">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 xml:space="preserve">40.5 </w:t>
                  </w:r>
                </w:p>
              </w:tc>
              <w:tc>
                <w:tcPr>
                  <w:tcW w:w="363" w:type="pct"/>
                  <w:noWrap w:val="0"/>
                  <w:vAlign w:val="center"/>
                </w:tcPr>
                <w:p w14:paraId="3C963BCA">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000000"/>
                      <w:kern w:val="0"/>
                      <w:sz w:val="21"/>
                      <w:szCs w:val="21"/>
                      <w:highlight w:val="none"/>
                      <w:u w:val="none" w:color="auto"/>
                      <w:lang w:val="en-US" w:eastAsia="zh-CN" w:bidi="ar"/>
                    </w:rPr>
                  </w:pPr>
                  <w:r>
                    <w:rPr>
                      <w:rFonts w:hint="default" w:ascii="Times New Roman" w:hAnsi="Times New Roman" w:eastAsia="宋体" w:cs="Times New Roman"/>
                      <w:color w:val="000000"/>
                      <w:kern w:val="0"/>
                      <w:sz w:val="21"/>
                      <w:szCs w:val="21"/>
                      <w:highlight w:val="none"/>
                      <w:u w:val="none" w:color="auto"/>
                      <w:lang w:val="en-US" w:eastAsia="zh-CN" w:bidi="ar"/>
                    </w:rPr>
                    <w:t>12</w:t>
                  </w:r>
                </w:p>
              </w:tc>
              <w:tc>
                <w:tcPr>
                  <w:tcW w:w="599" w:type="pct"/>
                  <w:vMerge w:val="continue"/>
                  <w:noWrap w:val="0"/>
                  <w:vAlign w:val="center"/>
                </w:tcPr>
                <w:p w14:paraId="5C219894">
                  <w:pPr>
                    <w:pStyle w:val="45"/>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rPr>
                      <w:rFonts w:hint="default" w:ascii="Times New Roman" w:hAnsi="Times New Roman" w:eastAsia="宋体" w:cs="Times New Roman"/>
                      <w:color w:val="000000"/>
                      <w:spacing w:val="-5"/>
                      <w:sz w:val="21"/>
                      <w:szCs w:val="21"/>
                      <w:highlight w:val="none"/>
                      <w:u w:val="none" w:color="auto"/>
                      <w:lang w:eastAsia="zh-CN"/>
                    </w:rPr>
                  </w:pPr>
                </w:p>
              </w:tc>
            </w:tr>
            <w:tr w14:paraId="535002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69" w:type="pct"/>
                  <w:noWrap w:val="0"/>
                  <w:vAlign w:val="center"/>
                </w:tcPr>
                <w:p w14:paraId="70456833">
                  <w:pPr>
                    <w:keepNext w:val="0"/>
                    <w:keepLines w:val="0"/>
                    <w:pageBreakBefore w:val="0"/>
                    <w:widowControl/>
                    <w:suppressLineNumbers w:val="0"/>
                    <w:kinsoku/>
                    <w:wordWrap/>
                    <w:overflowPunct/>
                    <w:topLinePunct w:val="0"/>
                    <w:autoSpaceDE/>
                    <w:autoSpaceDN/>
                    <w:bidi w:val="0"/>
                    <w:jc w:val="center"/>
                    <w:textAlignment w:val="center"/>
                    <w:rPr>
                      <w:rFonts w:hint="default" w:ascii="Times New Roman" w:hAnsi="Times New Roman" w:eastAsia="宋体" w:cs="Times New Roman"/>
                      <w:color w:val="000000"/>
                      <w:sz w:val="21"/>
                      <w:szCs w:val="21"/>
                      <w:highlight w:val="none"/>
                      <w:u w:val="none" w:color="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8</w:t>
                  </w:r>
                </w:p>
              </w:tc>
              <w:tc>
                <w:tcPr>
                  <w:tcW w:w="277" w:type="pct"/>
                  <w:vMerge w:val="continue"/>
                  <w:noWrap w:val="0"/>
                  <w:vAlign w:val="center"/>
                </w:tcPr>
                <w:p w14:paraId="3C3A0FE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ind w:left="0" w:right="0"/>
                    <w:jc w:val="center"/>
                    <w:textAlignment w:val="center"/>
                    <w:rPr>
                      <w:rFonts w:hint="default" w:ascii="Times New Roman" w:hAnsi="Times New Roman" w:eastAsia="宋体" w:cs="Times New Roman"/>
                      <w:color w:val="000000"/>
                      <w:sz w:val="21"/>
                      <w:szCs w:val="21"/>
                      <w:highlight w:val="none"/>
                      <w:u w:val="none" w:color="auto"/>
                      <w:lang w:val="en-US" w:eastAsia="zh-CN"/>
                    </w:rPr>
                  </w:pPr>
                </w:p>
              </w:tc>
              <w:tc>
                <w:tcPr>
                  <w:tcW w:w="481" w:type="pct"/>
                  <w:noWrap w:val="0"/>
                  <w:vAlign w:val="center"/>
                </w:tcPr>
                <w:p w14:paraId="41966E1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center"/>
                    <w:rPr>
                      <w:rFonts w:hint="default" w:ascii="Times New Roman" w:hAnsi="Times New Roman" w:eastAsia="宋体" w:cs="Times New Roman"/>
                      <w:color w:val="000000"/>
                      <w:spacing w:val="-2"/>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风机</w:t>
                  </w:r>
                </w:p>
              </w:tc>
              <w:tc>
                <w:tcPr>
                  <w:tcW w:w="366" w:type="pct"/>
                  <w:noWrap w:val="0"/>
                  <w:vAlign w:val="center"/>
                </w:tcPr>
                <w:p w14:paraId="451EF71E">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000000"/>
                      <w:spacing w:val="-4"/>
                      <w:sz w:val="21"/>
                      <w:szCs w:val="21"/>
                      <w:highlight w:val="none"/>
                      <w:u w:val="none" w:color="auto"/>
                      <w:lang w:val="en-US" w:eastAsia="zh-CN"/>
                    </w:rPr>
                  </w:pPr>
                  <w:r>
                    <w:rPr>
                      <w:rFonts w:hint="default" w:ascii="Times New Roman" w:hAnsi="Times New Roman" w:cs="Times New Roman"/>
                      <w:color w:val="auto"/>
                      <w:sz w:val="21"/>
                      <w:szCs w:val="21"/>
                      <w:highlight w:val="none"/>
                      <w:u w:val="none" w:color="auto"/>
                      <w:lang w:val="en-US" w:eastAsia="zh-CN"/>
                    </w:rPr>
                    <w:t>90</w:t>
                  </w:r>
                </w:p>
              </w:tc>
              <w:tc>
                <w:tcPr>
                  <w:tcW w:w="160" w:type="pct"/>
                  <w:noWrap w:val="0"/>
                  <w:vAlign w:val="center"/>
                </w:tcPr>
                <w:p w14:paraId="13561509">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rPr>
                      <w:rFonts w:hint="default" w:ascii="Times New Roman" w:hAnsi="Times New Roman" w:eastAsia="宋体" w:cs="Times New Roman"/>
                      <w:color w:val="000000"/>
                      <w:sz w:val="21"/>
                      <w:szCs w:val="21"/>
                      <w:highlight w:val="none"/>
                      <w:u w:val="none" w:color="auto"/>
                    </w:rPr>
                  </w:pPr>
                  <w:r>
                    <w:rPr>
                      <w:rFonts w:hint="default" w:ascii="Times New Roman" w:hAnsi="Times New Roman" w:eastAsia="宋体" w:cs="Times New Roman"/>
                      <w:color w:val="000000"/>
                      <w:sz w:val="21"/>
                      <w:szCs w:val="21"/>
                      <w:highlight w:val="none"/>
                      <w:u w:val="none" w:color="auto"/>
                    </w:rPr>
                    <w:t>1</w:t>
                  </w:r>
                </w:p>
              </w:tc>
              <w:tc>
                <w:tcPr>
                  <w:tcW w:w="215" w:type="pct"/>
                  <w:vMerge w:val="continue"/>
                  <w:noWrap w:val="0"/>
                  <w:vAlign w:val="center"/>
                </w:tcPr>
                <w:p w14:paraId="2382E2F7">
                  <w:pPr>
                    <w:pStyle w:val="45"/>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rPr>
                      <w:rFonts w:hint="default" w:ascii="Times New Roman" w:hAnsi="Times New Roman" w:eastAsia="宋体" w:cs="Times New Roman"/>
                      <w:color w:val="000000"/>
                      <w:sz w:val="21"/>
                      <w:szCs w:val="21"/>
                      <w:highlight w:val="none"/>
                      <w:u w:val="none" w:color="auto"/>
                      <w:lang w:eastAsia="zh-CN"/>
                    </w:rPr>
                  </w:pPr>
                </w:p>
              </w:tc>
              <w:tc>
                <w:tcPr>
                  <w:tcW w:w="233" w:type="pct"/>
                  <w:noWrap w:val="0"/>
                  <w:vAlign w:val="center"/>
                </w:tcPr>
                <w:p w14:paraId="128B4BA2">
                  <w:pPr>
                    <w:keepNext w:val="0"/>
                    <w:keepLines w:val="0"/>
                    <w:pageBreakBefore w:val="0"/>
                    <w:widowControl/>
                    <w:suppressLineNumbers w:val="0"/>
                    <w:kinsoku/>
                    <w:wordWrap/>
                    <w:overflowPunct/>
                    <w:topLinePunct w:val="0"/>
                    <w:autoSpaceDE/>
                    <w:autoSpaceDN/>
                    <w:bidi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104.3</w:t>
                  </w:r>
                </w:p>
              </w:tc>
              <w:tc>
                <w:tcPr>
                  <w:tcW w:w="178" w:type="pct"/>
                  <w:noWrap w:val="0"/>
                  <w:vAlign w:val="center"/>
                </w:tcPr>
                <w:p w14:paraId="3546B19A">
                  <w:pPr>
                    <w:keepNext w:val="0"/>
                    <w:keepLines w:val="0"/>
                    <w:pageBreakBefore w:val="0"/>
                    <w:widowControl/>
                    <w:suppressLineNumbers w:val="0"/>
                    <w:kinsoku/>
                    <w:wordWrap/>
                    <w:overflowPunct/>
                    <w:topLinePunct w:val="0"/>
                    <w:autoSpaceDE/>
                    <w:autoSpaceDN/>
                    <w:bidi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19.6</w:t>
                  </w:r>
                </w:p>
              </w:tc>
              <w:tc>
                <w:tcPr>
                  <w:tcW w:w="167" w:type="pct"/>
                  <w:noWrap w:val="0"/>
                  <w:vAlign w:val="center"/>
                </w:tcPr>
                <w:p w14:paraId="27426F0F">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000000"/>
                      <w:sz w:val="21"/>
                      <w:szCs w:val="21"/>
                      <w:highlight w:val="none"/>
                      <w:u w:val="none" w:color="auto"/>
                      <w:lang w:val="en-US" w:eastAsia="zh-CN"/>
                    </w:rPr>
                  </w:pPr>
                  <w:r>
                    <w:rPr>
                      <w:rFonts w:hint="eastAsia" w:ascii="Times New Roman" w:hAnsi="Times New Roman" w:eastAsia="宋体" w:cs="Times New Roman"/>
                      <w:color w:val="000000"/>
                      <w:sz w:val="21"/>
                      <w:szCs w:val="21"/>
                      <w:highlight w:val="none"/>
                      <w:u w:val="none" w:color="auto"/>
                      <w:lang w:val="en-US" w:eastAsia="zh-CN"/>
                    </w:rPr>
                    <w:t>181</w:t>
                  </w:r>
                </w:p>
              </w:tc>
              <w:tc>
                <w:tcPr>
                  <w:tcW w:w="137" w:type="pct"/>
                  <w:noWrap w:val="0"/>
                  <w:vAlign w:val="center"/>
                </w:tcPr>
                <w:p w14:paraId="182333D4">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16</w:t>
                  </w:r>
                </w:p>
              </w:tc>
              <w:tc>
                <w:tcPr>
                  <w:tcW w:w="174" w:type="pct"/>
                  <w:noWrap w:val="0"/>
                  <w:vAlign w:val="center"/>
                </w:tcPr>
                <w:p w14:paraId="1DF23EA1">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20.4</w:t>
                  </w:r>
                </w:p>
              </w:tc>
              <w:tc>
                <w:tcPr>
                  <w:tcW w:w="168" w:type="pct"/>
                  <w:noWrap w:val="0"/>
                  <w:vAlign w:val="center"/>
                </w:tcPr>
                <w:p w14:paraId="7D8D1D67">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 xml:space="preserve">3.0 </w:t>
                  </w:r>
                </w:p>
              </w:tc>
              <w:tc>
                <w:tcPr>
                  <w:tcW w:w="219" w:type="pct"/>
                  <w:noWrap w:val="0"/>
                  <w:vAlign w:val="center"/>
                </w:tcPr>
                <w:p w14:paraId="506BE19B">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27.7</w:t>
                  </w:r>
                </w:p>
              </w:tc>
              <w:tc>
                <w:tcPr>
                  <w:tcW w:w="185" w:type="pct"/>
                  <w:noWrap w:val="0"/>
                  <w:vAlign w:val="center"/>
                </w:tcPr>
                <w:p w14:paraId="0876ECF9">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65.9 </w:t>
                  </w:r>
                </w:p>
              </w:tc>
              <w:tc>
                <w:tcPr>
                  <w:tcW w:w="235" w:type="pct"/>
                  <w:noWrap w:val="0"/>
                  <w:vAlign w:val="center"/>
                </w:tcPr>
                <w:p w14:paraId="4D8D3D73">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63.8 </w:t>
                  </w:r>
                </w:p>
              </w:tc>
              <w:tc>
                <w:tcPr>
                  <w:tcW w:w="277" w:type="pct"/>
                  <w:noWrap w:val="0"/>
                  <w:vAlign w:val="center"/>
                </w:tcPr>
                <w:p w14:paraId="4F8D5A3E">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80.5 </w:t>
                  </w:r>
                </w:p>
              </w:tc>
              <w:tc>
                <w:tcPr>
                  <w:tcW w:w="285" w:type="pct"/>
                  <w:noWrap w:val="0"/>
                  <w:vAlign w:val="center"/>
                </w:tcPr>
                <w:p w14:paraId="2E856B91">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61.2 </w:t>
                  </w:r>
                </w:p>
              </w:tc>
              <w:tc>
                <w:tcPr>
                  <w:tcW w:w="363" w:type="pct"/>
                  <w:noWrap w:val="0"/>
                  <w:vAlign w:val="center"/>
                </w:tcPr>
                <w:p w14:paraId="1C8B860C">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000000"/>
                      <w:kern w:val="0"/>
                      <w:sz w:val="21"/>
                      <w:szCs w:val="21"/>
                      <w:highlight w:val="none"/>
                      <w:u w:val="none" w:color="auto"/>
                      <w:lang w:val="en-US" w:eastAsia="zh-CN" w:bidi="ar"/>
                    </w:rPr>
                  </w:pPr>
                  <w:r>
                    <w:rPr>
                      <w:rFonts w:hint="default" w:ascii="Times New Roman" w:hAnsi="Times New Roman" w:eastAsia="宋体" w:cs="Times New Roman"/>
                      <w:color w:val="000000"/>
                      <w:kern w:val="0"/>
                      <w:sz w:val="21"/>
                      <w:szCs w:val="21"/>
                      <w:highlight w:val="none"/>
                      <w:u w:val="none" w:color="auto"/>
                      <w:lang w:val="en-US" w:eastAsia="zh-CN" w:bidi="ar"/>
                    </w:rPr>
                    <w:t>12</w:t>
                  </w:r>
                </w:p>
              </w:tc>
              <w:tc>
                <w:tcPr>
                  <w:tcW w:w="599" w:type="pct"/>
                  <w:vMerge w:val="continue"/>
                  <w:noWrap w:val="0"/>
                  <w:vAlign w:val="center"/>
                </w:tcPr>
                <w:p w14:paraId="630501DA">
                  <w:pPr>
                    <w:pStyle w:val="45"/>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rPr>
                      <w:rFonts w:hint="default" w:ascii="Times New Roman" w:hAnsi="Times New Roman" w:eastAsia="宋体" w:cs="Times New Roman"/>
                      <w:color w:val="000000"/>
                      <w:sz w:val="21"/>
                      <w:szCs w:val="21"/>
                      <w:highlight w:val="none"/>
                      <w:u w:val="none" w:color="auto"/>
                      <w:lang w:eastAsia="zh-CN"/>
                    </w:rPr>
                  </w:pPr>
                </w:p>
              </w:tc>
            </w:tr>
            <w:tr w14:paraId="55567F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5000" w:type="pct"/>
                  <w:gridSpan w:val="19"/>
                  <w:noWrap w:val="0"/>
                  <w:vAlign w:val="center"/>
                </w:tcPr>
                <w:p w14:paraId="56CA1A40">
                  <w:pPr>
                    <w:pStyle w:val="45"/>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rPr>
                      <w:rFonts w:hint="default" w:ascii="Times New Roman" w:hAnsi="Times New Roman" w:eastAsia="宋体" w:cs="Times New Roman"/>
                      <w:color w:val="000000"/>
                      <w:spacing w:val="-5"/>
                      <w:sz w:val="21"/>
                      <w:szCs w:val="21"/>
                      <w:highlight w:val="none"/>
                      <w:u w:val="none" w:color="auto"/>
                      <w:lang w:val="en-US" w:eastAsia="zh-CN"/>
                    </w:rPr>
                  </w:pPr>
                  <w:r>
                    <w:rPr>
                      <w:rFonts w:hint="default" w:ascii="Times New Roman" w:hAnsi="Times New Roman" w:eastAsia="宋体" w:cs="Times New Roman"/>
                      <w:color w:val="000000"/>
                      <w:sz w:val="21"/>
                      <w:szCs w:val="21"/>
                      <w:highlight w:val="none"/>
                      <w:u w:val="none" w:color="auto"/>
                      <w:lang w:eastAsia="zh-CN"/>
                    </w:rPr>
                    <w:t>注：以</w:t>
                  </w:r>
                  <w:r>
                    <w:rPr>
                      <w:rFonts w:hint="default" w:ascii="Times New Roman" w:hAnsi="Times New Roman" w:eastAsia="宋体" w:cs="Times New Roman"/>
                      <w:color w:val="000000"/>
                      <w:sz w:val="21"/>
                      <w:szCs w:val="21"/>
                      <w:highlight w:val="none"/>
                      <w:u w:val="none" w:color="auto"/>
                      <w:lang w:val="en-US" w:eastAsia="zh-CN"/>
                    </w:rPr>
                    <w:t>厂区西南角</w:t>
                  </w:r>
                  <w:r>
                    <w:rPr>
                      <w:rFonts w:hint="default" w:ascii="Times New Roman" w:hAnsi="Times New Roman" w:eastAsia="宋体" w:cs="Times New Roman"/>
                      <w:color w:val="000000"/>
                      <w:sz w:val="21"/>
                      <w:szCs w:val="21"/>
                      <w:highlight w:val="none"/>
                      <w:u w:val="none" w:color="auto"/>
                      <w:lang w:eastAsia="zh-CN"/>
                    </w:rPr>
                    <w:t>为（0 ，0）点，</w:t>
                  </w:r>
                  <w:r>
                    <w:rPr>
                      <w:rFonts w:hint="default" w:ascii="Times New Roman" w:hAnsi="Times New Roman" w:eastAsia="宋体" w:cs="Times New Roman"/>
                      <w:color w:val="000000"/>
                      <w:sz w:val="21"/>
                      <w:szCs w:val="21"/>
                      <w:highlight w:val="none"/>
                      <w:u w:val="none" w:color="auto"/>
                      <w:lang w:val="en-US" w:eastAsia="zh-CN"/>
                    </w:rPr>
                    <w:t>以厂区西南角向东南</w:t>
                  </w:r>
                  <w:r>
                    <w:rPr>
                      <w:rFonts w:hint="default" w:ascii="Times New Roman" w:hAnsi="Times New Roman" w:eastAsia="宋体" w:cs="Times New Roman"/>
                      <w:color w:val="000000"/>
                      <w:sz w:val="21"/>
                      <w:szCs w:val="21"/>
                      <w:highlight w:val="none"/>
                      <w:u w:val="none" w:color="auto"/>
                      <w:lang w:eastAsia="zh-CN"/>
                    </w:rPr>
                    <w:t>为 X 轴正方向，</w:t>
                  </w:r>
                  <w:r>
                    <w:rPr>
                      <w:rFonts w:hint="default" w:ascii="Times New Roman" w:hAnsi="Times New Roman" w:eastAsia="宋体" w:cs="Times New Roman"/>
                      <w:color w:val="000000"/>
                      <w:sz w:val="21"/>
                      <w:szCs w:val="21"/>
                      <w:highlight w:val="none"/>
                      <w:u w:val="none" w:color="auto"/>
                      <w:lang w:val="en-US" w:eastAsia="zh-CN"/>
                    </w:rPr>
                    <w:t>以厂区西南角向东北</w:t>
                  </w:r>
                  <w:r>
                    <w:rPr>
                      <w:rFonts w:hint="default" w:ascii="Times New Roman" w:hAnsi="Times New Roman" w:eastAsia="宋体" w:cs="Times New Roman"/>
                      <w:color w:val="000000"/>
                      <w:sz w:val="21"/>
                      <w:szCs w:val="21"/>
                      <w:highlight w:val="none"/>
                      <w:u w:val="none" w:color="auto"/>
                      <w:lang w:eastAsia="zh-CN"/>
                    </w:rPr>
                    <w:t>为Y轴正方向</w:t>
                  </w:r>
                </w:p>
              </w:tc>
            </w:tr>
          </w:tbl>
          <w:p w14:paraId="11F02634">
            <w:pPr>
              <w:keepNext w:val="0"/>
              <w:keepLines w:val="0"/>
              <w:pageBreakBefore w:val="0"/>
              <w:widowControl/>
              <w:suppressLineNumbers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bCs/>
                <w:sz w:val="24"/>
                <w:szCs w:val="24"/>
              </w:rPr>
            </w:pPr>
            <w:r>
              <w:rPr>
                <w:rFonts w:hint="default" w:ascii="Times New Roman" w:hAnsi="Times New Roman" w:eastAsia="宋体" w:cs="Times New Roman"/>
                <w:b/>
                <w:bCs/>
                <w:color w:val="000000"/>
                <w:kern w:val="0"/>
                <w:sz w:val="24"/>
                <w:szCs w:val="24"/>
                <w:lang w:val="en-US" w:eastAsia="zh-CN" w:bidi="ar"/>
              </w:rPr>
              <w:t>表</w:t>
            </w:r>
            <w:r>
              <w:rPr>
                <w:rFonts w:hint="eastAsia" w:ascii="Times New Roman" w:hAnsi="Times New Roman" w:eastAsia="宋体" w:cs="Times New Roman"/>
                <w:b/>
                <w:bCs/>
                <w:color w:val="000000"/>
                <w:kern w:val="0"/>
                <w:sz w:val="24"/>
                <w:szCs w:val="24"/>
                <w:lang w:val="en-US" w:eastAsia="zh-CN" w:bidi="ar"/>
              </w:rPr>
              <w:t xml:space="preserve">4-18  </w:t>
            </w:r>
            <w:r>
              <w:rPr>
                <w:rFonts w:hint="default" w:ascii="Times New Roman" w:hAnsi="Times New Roman" w:eastAsia="宋体" w:cs="Times New Roman"/>
                <w:b/>
                <w:bCs/>
                <w:color w:val="000000"/>
                <w:kern w:val="0"/>
                <w:sz w:val="24"/>
                <w:szCs w:val="24"/>
                <w:lang w:val="en-US" w:eastAsia="zh-CN" w:bidi="ar"/>
              </w:rPr>
              <w:t>车间边界噪声源强一览表</w:t>
            </w:r>
          </w:p>
          <w:tbl>
            <w:tblPr>
              <w:tblStyle w:val="30"/>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710"/>
              <w:gridCol w:w="2714"/>
              <w:gridCol w:w="2714"/>
              <w:gridCol w:w="2717"/>
              <w:gridCol w:w="2725"/>
            </w:tblGrid>
            <w:tr w14:paraId="308365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98" w:type="pct"/>
                  <w:vMerge w:val="restart"/>
                  <w:noWrap w:val="0"/>
                  <w:vAlign w:val="center"/>
                </w:tcPr>
                <w:p w14:paraId="7ADB6340">
                  <w:pPr>
                    <w:pStyle w:val="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000000"/>
                      <w:sz w:val="21"/>
                      <w:szCs w:val="21"/>
                      <w:u w:val="none"/>
                      <w:vertAlign w:val="baseline"/>
                      <w:lang w:val="en-US" w:eastAsia="zh-CN"/>
                    </w:rPr>
                  </w:pPr>
                  <w:r>
                    <w:rPr>
                      <w:rFonts w:hint="eastAsia" w:ascii="Times New Roman" w:hAnsi="Times New Roman" w:cs="Times New Roman"/>
                      <w:color w:val="000000"/>
                      <w:sz w:val="21"/>
                      <w:szCs w:val="21"/>
                      <w:u w:val="none"/>
                      <w:vertAlign w:val="baseline"/>
                      <w:lang w:val="en-US" w:eastAsia="zh-CN"/>
                    </w:rPr>
                    <w:t>面源</w:t>
                  </w:r>
                </w:p>
              </w:tc>
              <w:tc>
                <w:tcPr>
                  <w:tcW w:w="4001" w:type="pct"/>
                  <w:gridSpan w:val="4"/>
                  <w:noWrap w:val="0"/>
                  <w:vAlign w:val="center"/>
                </w:tcPr>
                <w:p w14:paraId="5C563E65">
                  <w:pPr>
                    <w:pStyle w:val="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000000"/>
                      <w:sz w:val="21"/>
                      <w:szCs w:val="21"/>
                      <w:u w:val="none"/>
                      <w:vertAlign w:val="baseline"/>
                      <w:lang w:val="en-US" w:eastAsia="zh-CN"/>
                    </w:rPr>
                  </w:pPr>
                  <w:r>
                    <w:rPr>
                      <w:rFonts w:hint="default" w:ascii="Times New Roman" w:hAnsi="Times New Roman" w:eastAsia="宋体" w:cs="Times New Roman"/>
                      <w:color w:val="000000"/>
                      <w:sz w:val="21"/>
                      <w:szCs w:val="21"/>
                      <w:u w:val="none"/>
                      <w:vertAlign w:val="baseline"/>
                      <w:lang w:val="en-US" w:eastAsia="zh-CN"/>
                    </w:rPr>
                    <w:t>车间边界声压级dB（A）</w:t>
                  </w:r>
                </w:p>
              </w:tc>
            </w:tr>
            <w:tr w14:paraId="2785A9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98" w:type="pct"/>
                  <w:vMerge w:val="continue"/>
                  <w:noWrap w:val="0"/>
                  <w:vAlign w:val="center"/>
                </w:tcPr>
                <w:p w14:paraId="5E8755A2">
                  <w:pPr>
                    <w:pStyle w:val="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000000"/>
                      <w:sz w:val="21"/>
                      <w:szCs w:val="21"/>
                      <w:u w:val="none"/>
                      <w:vertAlign w:val="baseline"/>
                      <w:lang w:val="en-US" w:eastAsia="zh-CN"/>
                    </w:rPr>
                  </w:pPr>
                </w:p>
              </w:tc>
              <w:tc>
                <w:tcPr>
                  <w:tcW w:w="999" w:type="pct"/>
                  <w:noWrap w:val="0"/>
                  <w:vAlign w:val="center"/>
                </w:tcPr>
                <w:p w14:paraId="79BF59BC">
                  <w:pPr>
                    <w:pStyle w:val="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000000"/>
                      <w:sz w:val="21"/>
                      <w:szCs w:val="21"/>
                      <w:u w:val="none"/>
                      <w:vertAlign w:val="baseline"/>
                      <w:lang w:val="en-US" w:eastAsia="zh-CN"/>
                    </w:rPr>
                  </w:pPr>
                  <w:r>
                    <w:rPr>
                      <w:rFonts w:hint="default" w:ascii="Times New Roman" w:hAnsi="Times New Roman" w:eastAsia="宋体" w:cs="Times New Roman"/>
                      <w:color w:val="000000"/>
                      <w:sz w:val="21"/>
                      <w:szCs w:val="21"/>
                      <w:u w:val="none"/>
                      <w:vertAlign w:val="baseline"/>
                      <w:lang w:val="en-US" w:eastAsia="zh-CN"/>
                    </w:rPr>
                    <w:t>车间东边界</w:t>
                  </w:r>
                </w:p>
              </w:tc>
              <w:tc>
                <w:tcPr>
                  <w:tcW w:w="999" w:type="pct"/>
                  <w:noWrap w:val="0"/>
                  <w:vAlign w:val="center"/>
                </w:tcPr>
                <w:p w14:paraId="35E840CD">
                  <w:pPr>
                    <w:pStyle w:val="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000000"/>
                      <w:sz w:val="21"/>
                      <w:szCs w:val="21"/>
                      <w:u w:val="none"/>
                      <w:vertAlign w:val="baseline"/>
                      <w:lang w:val="en-US" w:eastAsia="zh-CN"/>
                    </w:rPr>
                  </w:pPr>
                  <w:r>
                    <w:rPr>
                      <w:rFonts w:hint="default" w:ascii="Times New Roman" w:hAnsi="Times New Roman" w:eastAsia="宋体" w:cs="Times New Roman"/>
                      <w:color w:val="000000"/>
                      <w:sz w:val="21"/>
                      <w:szCs w:val="21"/>
                      <w:u w:val="none"/>
                      <w:vertAlign w:val="baseline"/>
                      <w:lang w:val="en-US" w:eastAsia="zh-CN"/>
                    </w:rPr>
                    <w:t>车间</w:t>
                  </w:r>
                  <w:r>
                    <w:rPr>
                      <w:rFonts w:hint="eastAsia" w:ascii="Times New Roman" w:hAnsi="Times New Roman" w:eastAsia="宋体" w:cs="Times New Roman"/>
                      <w:color w:val="000000"/>
                      <w:sz w:val="21"/>
                      <w:szCs w:val="21"/>
                      <w:u w:val="none"/>
                      <w:vertAlign w:val="baseline"/>
                      <w:lang w:val="en-US" w:eastAsia="zh-CN"/>
                    </w:rPr>
                    <w:t>南</w:t>
                  </w:r>
                  <w:r>
                    <w:rPr>
                      <w:rFonts w:hint="default" w:ascii="Times New Roman" w:hAnsi="Times New Roman" w:eastAsia="宋体" w:cs="Times New Roman"/>
                      <w:color w:val="000000"/>
                      <w:sz w:val="21"/>
                      <w:szCs w:val="21"/>
                      <w:u w:val="none"/>
                      <w:vertAlign w:val="baseline"/>
                      <w:lang w:val="en-US" w:eastAsia="zh-CN"/>
                    </w:rPr>
                    <w:t>边界</w:t>
                  </w:r>
                </w:p>
              </w:tc>
              <w:tc>
                <w:tcPr>
                  <w:tcW w:w="1000" w:type="pct"/>
                  <w:noWrap w:val="0"/>
                  <w:vAlign w:val="center"/>
                </w:tcPr>
                <w:p w14:paraId="1AF05519">
                  <w:pPr>
                    <w:pStyle w:val="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000000"/>
                      <w:sz w:val="21"/>
                      <w:szCs w:val="21"/>
                      <w:u w:val="none"/>
                      <w:vertAlign w:val="baseline"/>
                      <w:lang w:val="en-US" w:eastAsia="zh-CN"/>
                    </w:rPr>
                  </w:pPr>
                  <w:r>
                    <w:rPr>
                      <w:rFonts w:hint="default" w:ascii="Times New Roman" w:hAnsi="Times New Roman" w:eastAsia="宋体" w:cs="Times New Roman"/>
                      <w:color w:val="000000"/>
                      <w:sz w:val="21"/>
                      <w:szCs w:val="21"/>
                      <w:u w:val="none"/>
                      <w:vertAlign w:val="baseline"/>
                      <w:lang w:val="en-US" w:eastAsia="zh-CN"/>
                    </w:rPr>
                    <w:t>车间</w:t>
                  </w:r>
                  <w:r>
                    <w:rPr>
                      <w:rFonts w:hint="eastAsia" w:ascii="Times New Roman" w:hAnsi="Times New Roman" w:eastAsia="宋体" w:cs="Times New Roman"/>
                      <w:color w:val="000000"/>
                      <w:sz w:val="21"/>
                      <w:szCs w:val="21"/>
                      <w:u w:val="none"/>
                      <w:vertAlign w:val="baseline"/>
                      <w:lang w:val="en-US" w:eastAsia="zh-CN"/>
                    </w:rPr>
                    <w:t>西</w:t>
                  </w:r>
                  <w:r>
                    <w:rPr>
                      <w:rFonts w:hint="default" w:ascii="Times New Roman" w:hAnsi="Times New Roman" w:eastAsia="宋体" w:cs="Times New Roman"/>
                      <w:color w:val="000000"/>
                      <w:sz w:val="21"/>
                      <w:szCs w:val="21"/>
                      <w:u w:val="none"/>
                      <w:vertAlign w:val="baseline"/>
                      <w:lang w:val="en-US" w:eastAsia="zh-CN"/>
                    </w:rPr>
                    <w:t>边界</w:t>
                  </w:r>
                </w:p>
              </w:tc>
              <w:tc>
                <w:tcPr>
                  <w:tcW w:w="1002" w:type="pct"/>
                  <w:noWrap w:val="0"/>
                  <w:vAlign w:val="center"/>
                </w:tcPr>
                <w:p w14:paraId="3DC6E431">
                  <w:pPr>
                    <w:pStyle w:val="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000000"/>
                      <w:sz w:val="21"/>
                      <w:szCs w:val="21"/>
                      <w:u w:val="none"/>
                      <w:vertAlign w:val="baseline"/>
                      <w:lang w:val="en-US" w:eastAsia="zh-CN"/>
                    </w:rPr>
                  </w:pPr>
                  <w:r>
                    <w:rPr>
                      <w:rFonts w:hint="default" w:ascii="Times New Roman" w:hAnsi="Times New Roman" w:eastAsia="宋体" w:cs="Times New Roman"/>
                      <w:color w:val="000000"/>
                      <w:sz w:val="21"/>
                      <w:szCs w:val="21"/>
                      <w:u w:val="none"/>
                      <w:vertAlign w:val="baseline"/>
                      <w:lang w:val="en-US" w:eastAsia="zh-CN"/>
                    </w:rPr>
                    <w:t>车间</w:t>
                  </w:r>
                  <w:r>
                    <w:rPr>
                      <w:rFonts w:hint="eastAsia" w:ascii="Times New Roman" w:hAnsi="Times New Roman" w:eastAsia="宋体" w:cs="Times New Roman"/>
                      <w:color w:val="000000"/>
                      <w:sz w:val="21"/>
                      <w:szCs w:val="21"/>
                      <w:u w:val="none"/>
                      <w:vertAlign w:val="baseline"/>
                      <w:lang w:val="en-US" w:eastAsia="zh-CN"/>
                    </w:rPr>
                    <w:t>北</w:t>
                  </w:r>
                  <w:r>
                    <w:rPr>
                      <w:rFonts w:hint="default" w:ascii="Times New Roman" w:hAnsi="Times New Roman" w:eastAsia="宋体" w:cs="Times New Roman"/>
                      <w:color w:val="000000"/>
                      <w:sz w:val="21"/>
                      <w:szCs w:val="21"/>
                      <w:u w:val="none"/>
                      <w:vertAlign w:val="baseline"/>
                      <w:lang w:val="en-US" w:eastAsia="zh-CN"/>
                    </w:rPr>
                    <w:t>边界</w:t>
                  </w:r>
                </w:p>
              </w:tc>
            </w:tr>
            <w:tr w14:paraId="5C7E1B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98" w:type="pct"/>
                  <w:noWrap w:val="0"/>
                  <w:vAlign w:val="center"/>
                </w:tcPr>
                <w:p w14:paraId="71510FE2">
                  <w:pPr>
                    <w:pStyle w:val="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000000"/>
                      <w:sz w:val="21"/>
                      <w:szCs w:val="21"/>
                      <w:u w:val="none"/>
                      <w:vertAlign w:val="baseline"/>
                      <w:lang w:val="en-US" w:eastAsia="zh-CN"/>
                    </w:rPr>
                  </w:pPr>
                  <w:r>
                    <w:rPr>
                      <w:rFonts w:hint="default" w:ascii="Times New Roman" w:hAnsi="Times New Roman" w:cs="Times New Roman"/>
                      <w:bCs/>
                      <w:color w:val="000000" w:themeColor="text1"/>
                      <w:sz w:val="21"/>
                      <w:szCs w:val="21"/>
                      <w:highlight w:val="none"/>
                      <w:u w:val="none"/>
                      <w:lang w:val="en-US" w:eastAsia="zh-CN"/>
                      <w14:textFill>
                        <w14:solidFill>
                          <w14:schemeClr w14:val="tx1"/>
                        </w14:solidFill>
                      </w14:textFill>
                    </w:rPr>
                    <w:t>生产车间</w:t>
                  </w:r>
                </w:p>
              </w:tc>
              <w:tc>
                <w:tcPr>
                  <w:tcW w:w="2714" w:type="dxa"/>
                  <w:noWrap w:val="0"/>
                  <w:vAlign w:val="center"/>
                </w:tcPr>
                <w:p w14:paraId="02A71E0D">
                  <w:pPr>
                    <w:keepNext w:val="0"/>
                    <w:keepLines w:val="0"/>
                    <w:widowControl/>
                    <w:suppressLineNumbers w:val="0"/>
                    <w:jc w:val="center"/>
                    <w:textAlignment w:val="center"/>
                    <w:rPr>
                      <w:rFonts w:hint="default" w:ascii="Times New Roman" w:hAnsi="Times New Roman" w:eastAsia="宋体" w:cs="Times New Roman"/>
                      <w:color w:val="000000"/>
                      <w:sz w:val="21"/>
                      <w:szCs w:val="21"/>
                      <w:u w:val="none"/>
                      <w:vertAlign w:val="baseline"/>
                      <w:lang w:val="en-US" w:eastAsia="zh-CN"/>
                    </w:rPr>
                  </w:pPr>
                  <w:r>
                    <w:rPr>
                      <w:rFonts w:hint="default" w:ascii="Times New Roman" w:hAnsi="Times New Roman" w:eastAsia="宋体" w:cs="Times New Roman"/>
                      <w:i w:val="0"/>
                      <w:iCs w:val="0"/>
                      <w:color w:val="000000"/>
                      <w:kern w:val="0"/>
                      <w:sz w:val="22"/>
                      <w:szCs w:val="22"/>
                      <w:u w:val="none"/>
                      <w:lang w:val="en-US" w:eastAsia="zh-CN" w:bidi="ar"/>
                    </w:rPr>
                    <w:t xml:space="preserve">57.8 </w:t>
                  </w:r>
                </w:p>
              </w:tc>
              <w:tc>
                <w:tcPr>
                  <w:tcW w:w="2714" w:type="dxa"/>
                  <w:noWrap w:val="0"/>
                  <w:vAlign w:val="center"/>
                </w:tcPr>
                <w:p w14:paraId="7A194B95">
                  <w:pPr>
                    <w:keepNext w:val="0"/>
                    <w:keepLines w:val="0"/>
                    <w:widowControl/>
                    <w:suppressLineNumbers w:val="0"/>
                    <w:jc w:val="center"/>
                    <w:textAlignment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i w:val="0"/>
                      <w:iCs w:val="0"/>
                      <w:color w:val="000000"/>
                      <w:kern w:val="0"/>
                      <w:sz w:val="22"/>
                      <w:szCs w:val="22"/>
                      <w:u w:val="none"/>
                      <w:lang w:val="en-US" w:eastAsia="zh-CN" w:bidi="ar"/>
                    </w:rPr>
                    <w:t xml:space="preserve">84.3 </w:t>
                  </w:r>
                </w:p>
              </w:tc>
              <w:tc>
                <w:tcPr>
                  <w:tcW w:w="2717" w:type="dxa"/>
                  <w:noWrap w:val="0"/>
                  <w:vAlign w:val="center"/>
                </w:tcPr>
                <w:p w14:paraId="4A1DD506">
                  <w:pPr>
                    <w:keepNext w:val="0"/>
                    <w:keepLines w:val="0"/>
                    <w:widowControl/>
                    <w:suppressLineNumbers w:val="0"/>
                    <w:jc w:val="center"/>
                    <w:textAlignment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i w:val="0"/>
                      <w:iCs w:val="0"/>
                      <w:color w:val="000000"/>
                      <w:kern w:val="0"/>
                      <w:sz w:val="22"/>
                      <w:szCs w:val="22"/>
                      <w:u w:val="none"/>
                      <w:lang w:val="en-US" w:eastAsia="zh-CN" w:bidi="ar"/>
                    </w:rPr>
                    <w:t xml:space="preserve">65.7 </w:t>
                  </w:r>
                </w:p>
              </w:tc>
              <w:tc>
                <w:tcPr>
                  <w:tcW w:w="2725" w:type="dxa"/>
                  <w:noWrap w:val="0"/>
                  <w:vAlign w:val="center"/>
                </w:tcPr>
                <w:p w14:paraId="06ACACD0">
                  <w:pPr>
                    <w:keepNext w:val="0"/>
                    <w:keepLines w:val="0"/>
                    <w:widowControl/>
                    <w:suppressLineNumbers w:val="0"/>
                    <w:jc w:val="center"/>
                    <w:textAlignment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i w:val="0"/>
                      <w:iCs w:val="0"/>
                      <w:color w:val="000000"/>
                      <w:kern w:val="0"/>
                      <w:sz w:val="22"/>
                      <w:szCs w:val="22"/>
                      <w:u w:val="none"/>
                      <w:lang w:val="en-US" w:eastAsia="zh-CN" w:bidi="ar"/>
                    </w:rPr>
                    <w:t xml:space="preserve">80.3 </w:t>
                  </w:r>
                </w:p>
              </w:tc>
            </w:tr>
            <w:tr w14:paraId="54B66B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98" w:type="pct"/>
                  <w:noWrap w:val="0"/>
                  <w:vAlign w:val="center"/>
                </w:tcPr>
                <w:p w14:paraId="602BD288">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center"/>
                    <w:rPr>
                      <w:rFonts w:hint="eastAsia" w:cs="Times New Roman"/>
                      <w:color w:val="000000"/>
                      <w:sz w:val="21"/>
                      <w:szCs w:val="21"/>
                      <w:highlight w:val="none"/>
                      <w:u w:val="none" w:color="auto"/>
                      <w:lang w:val="en-US" w:eastAsia="zh-CN"/>
                    </w:rPr>
                  </w:pPr>
                  <w:r>
                    <w:rPr>
                      <w:rFonts w:hint="default" w:ascii="Times New Roman" w:hAnsi="Times New Roman" w:cs="Times New Roman"/>
                      <w:bCs/>
                      <w:color w:val="000000" w:themeColor="text1"/>
                      <w:sz w:val="21"/>
                      <w:szCs w:val="21"/>
                      <w:highlight w:val="none"/>
                      <w:u w:val="none"/>
                      <w:lang w:val="en-US" w:eastAsia="zh-CN"/>
                      <w14:textFill>
                        <w14:solidFill>
                          <w14:schemeClr w14:val="tx1"/>
                        </w14:solidFill>
                      </w14:textFill>
                    </w:rPr>
                    <w:t>生物质颗粒生产车间及成品仓库</w:t>
                  </w:r>
                </w:p>
              </w:tc>
              <w:tc>
                <w:tcPr>
                  <w:tcW w:w="2714" w:type="dxa"/>
                  <w:noWrap w:val="0"/>
                  <w:vAlign w:val="center"/>
                </w:tcPr>
                <w:p w14:paraId="07218C06">
                  <w:pPr>
                    <w:keepNext w:val="0"/>
                    <w:keepLines w:val="0"/>
                    <w:widowControl/>
                    <w:suppressLineNumbers w:val="0"/>
                    <w:jc w:val="center"/>
                    <w:textAlignment w:val="center"/>
                    <w:rPr>
                      <w:rFonts w:hint="default" w:cs="Times New Roman"/>
                      <w:color w:val="000000"/>
                      <w:sz w:val="21"/>
                      <w:szCs w:val="21"/>
                      <w:u w:val="none"/>
                      <w:vertAlign w:val="baseline"/>
                      <w:lang w:val="en-US" w:eastAsia="zh-CN"/>
                    </w:rPr>
                  </w:pPr>
                  <w:r>
                    <w:rPr>
                      <w:rFonts w:hint="default" w:ascii="Times New Roman" w:hAnsi="Times New Roman" w:eastAsia="宋体" w:cs="Times New Roman"/>
                      <w:i w:val="0"/>
                      <w:iCs w:val="0"/>
                      <w:color w:val="000000"/>
                      <w:kern w:val="0"/>
                      <w:sz w:val="22"/>
                      <w:szCs w:val="22"/>
                      <w:u w:val="none"/>
                      <w:lang w:val="en-US" w:eastAsia="zh-CN" w:bidi="ar"/>
                    </w:rPr>
                    <w:t xml:space="preserve">69.0 </w:t>
                  </w:r>
                </w:p>
              </w:tc>
              <w:tc>
                <w:tcPr>
                  <w:tcW w:w="2714" w:type="dxa"/>
                  <w:noWrap w:val="0"/>
                  <w:vAlign w:val="center"/>
                </w:tcPr>
                <w:p w14:paraId="0C1AE25E">
                  <w:pPr>
                    <w:keepNext w:val="0"/>
                    <w:keepLines w:val="0"/>
                    <w:widowControl/>
                    <w:suppressLineNumbers w:val="0"/>
                    <w:jc w:val="center"/>
                    <w:textAlignment w:val="center"/>
                    <w:rPr>
                      <w:rFonts w:hint="eastAsia" w:cs="Times New Roman"/>
                      <w:kern w:val="2"/>
                      <w:sz w:val="21"/>
                      <w:szCs w:val="21"/>
                      <w:lang w:val="en-US" w:eastAsia="zh-CN" w:bidi="ar-SA"/>
                    </w:rPr>
                  </w:pPr>
                  <w:r>
                    <w:rPr>
                      <w:rFonts w:hint="default" w:ascii="Times New Roman" w:hAnsi="Times New Roman" w:eastAsia="宋体" w:cs="Times New Roman"/>
                      <w:i w:val="0"/>
                      <w:iCs w:val="0"/>
                      <w:color w:val="000000"/>
                      <w:kern w:val="0"/>
                      <w:sz w:val="22"/>
                      <w:szCs w:val="22"/>
                      <w:u w:val="none"/>
                      <w:lang w:val="en-US" w:eastAsia="zh-CN" w:bidi="ar"/>
                    </w:rPr>
                    <w:t xml:space="preserve">67.6 </w:t>
                  </w:r>
                </w:p>
              </w:tc>
              <w:tc>
                <w:tcPr>
                  <w:tcW w:w="2717" w:type="dxa"/>
                  <w:noWrap w:val="0"/>
                  <w:vAlign w:val="center"/>
                </w:tcPr>
                <w:p w14:paraId="6B2AF472">
                  <w:pPr>
                    <w:keepNext w:val="0"/>
                    <w:keepLines w:val="0"/>
                    <w:widowControl/>
                    <w:suppressLineNumbers w:val="0"/>
                    <w:jc w:val="center"/>
                    <w:textAlignment w:val="center"/>
                    <w:rPr>
                      <w:rFonts w:hint="eastAsia" w:cs="Times New Roman"/>
                      <w:kern w:val="2"/>
                      <w:sz w:val="21"/>
                      <w:szCs w:val="21"/>
                      <w:lang w:val="en-US" w:eastAsia="zh-CN" w:bidi="ar-SA"/>
                    </w:rPr>
                  </w:pPr>
                  <w:r>
                    <w:rPr>
                      <w:rFonts w:hint="default" w:ascii="Times New Roman" w:hAnsi="Times New Roman" w:eastAsia="宋体" w:cs="Times New Roman"/>
                      <w:i w:val="0"/>
                      <w:iCs w:val="0"/>
                      <w:color w:val="000000"/>
                      <w:kern w:val="0"/>
                      <w:sz w:val="22"/>
                      <w:szCs w:val="22"/>
                      <w:u w:val="none"/>
                      <w:lang w:val="en-US" w:eastAsia="zh-CN" w:bidi="ar"/>
                    </w:rPr>
                    <w:t xml:space="preserve">81.3 </w:t>
                  </w:r>
                </w:p>
              </w:tc>
              <w:tc>
                <w:tcPr>
                  <w:tcW w:w="2725" w:type="dxa"/>
                  <w:noWrap w:val="0"/>
                  <w:vAlign w:val="center"/>
                </w:tcPr>
                <w:p w14:paraId="71EE441A">
                  <w:pPr>
                    <w:keepNext w:val="0"/>
                    <w:keepLines w:val="0"/>
                    <w:widowControl/>
                    <w:suppressLineNumbers w:val="0"/>
                    <w:jc w:val="center"/>
                    <w:textAlignment w:val="center"/>
                    <w:rPr>
                      <w:rFonts w:hint="eastAsia" w:cs="Times New Roman"/>
                      <w:kern w:val="2"/>
                      <w:sz w:val="21"/>
                      <w:szCs w:val="21"/>
                      <w:lang w:val="en-US" w:eastAsia="zh-CN" w:bidi="ar-SA"/>
                    </w:rPr>
                  </w:pPr>
                  <w:r>
                    <w:rPr>
                      <w:rFonts w:hint="default" w:ascii="Times New Roman" w:hAnsi="Times New Roman" w:eastAsia="宋体" w:cs="Times New Roman"/>
                      <w:i w:val="0"/>
                      <w:iCs w:val="0"/>
                      <w:color w:val="000000"/>
                      <w:kern w:val="0"/>
                      <w:sz w:val="22"/>
                      <w:szCs w:val="22"/>
                      <w:u w:val="none"/>
                      <w:lang w:val="en-US" w:eastAsia="zh-CN" w:bidi="ar"/>
                    </w:rPr>
                    <w:t xml:space="preserve">62.1 </w:t>
                  </w:r>
                </w:p>
              </w:tc>
            </w:tr>
          </w:tbl>
          <w:p w14:paraId="7C562028">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sz w:val="24"/>
                <w:szCs w:val="24"/>
              </w:rPr>
            </w:pPr>
            <w:r>
              <w:rPr>
                <w:rFonts w:hint="default" w:ascii="Times New Roman" w:hAnsi="Times New Roman" w:eastAsia="宋体" w:cs="Times New Roman"/>
                <w:color w:val="000000"/>
                <w:kern w:val="0"/>
                <w:sz w:val="24"/>
                <w:szCs w:val="24"/>
                <w:lang w:val="en-US" w:eastAsia="zh-CN" w:bidi="ar"/>
              </w:rPr>
              <w:t>为进一步降低人工操作产生的噪声对环境的影响，建议建设单位应做好噪声防治措施，具体措施如下：</w:t>
            </w:r>
          </w:p>
          <w:p w14:paraId="439EE6D9">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sz w:val="24"/>
                <w:szCs w:val="24"/>
              </w:rPr>
            </w:pPr>
            <w:r>
              <w:rPr>
                <w:rFonts w:hint="default" w:ascii="Times New Roman" w:hAnsi="Times New Roman" w:eastAsia="宋体" w:cs="Times New Roman"/>
                <w:color w:val="000000"/>
                <w:kern w:val="0"/>
                <w:sz w:val="24"/>
                <w:szCs w:val="24"/>
                <w:lang w:val="en-US" w:eastAsia="zh-CN" w:bidi="ar"/>
              </w:rPr>
              <w:t>①选购设备时购置符合国家颁布的各类机械噪声标准的低噪声设备，选用低噪声工艺；</w:t>
            </w:r>
          </w:p>
          <w:p w14:paraId="115A3A6C">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sz w:val="24"/>
                <w:szCs w:val="24"/>
              </w:rPr>
            </w:pPr>
            <w:r>
              <w:rPr>
                <w:rFonts w:hint="default" w:ascii="Times New Roman" w:hAnsi="Times New Roman" w:eastAsia="宋体" w:cs="Times New Roman"/>
                <w:color w:val="000000"/>
                <w:kern w:val="0"/>
                <w:sz w:val="24"/>
                <w:szCs w:val="24"/>
                <w:lang w:val="en-US" w:eastAsia="zh-CN" w:bidi="ar"/>
              </w:rPr>
              <w:t>②对高噪声设备采取声学控制措施，如对声源采用隔声、减振、消声、吸声等措施；</w:t>
            </w:r>
          </w:p>
          <w:p w14:paraId="65BBDDBB">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sz w:val="24"/>
                <w:szCs w:val="24"/>
              </w:rPr>
            </w:pPr>
            <w:r>
              <w:rPr>
                <w:rFonts w:hint="default" w:ascii="Times New Roman" w:hAnsi="Times New Roman" w:eastAsia="宋体" w:cs="Times New Roman"/>
                <w:color w:val="000000"/>
                <w:kern w:val="0"/>
                <w:sz w:val="24"/>
                <w:szCs w:val="24"/>
                <w:lang w:val="en-US" w:eastAsia="zh-CN" w:bidi="ar"/>
              </w:rPr>
              <w:t>③合理布局高噪声设备，各高噪声设备在密闭车间内作业同时采用隔声、减振、消声、吸声等措施。</w:t>
            </w:r>
          </w:p>
          <w:p w14:paraId="4AC7F64A">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sz w:val="24"/>
                <w:szCs w:val="24"/>
              </w:rPr>
            </w:pPr>
            <w:r>
              <w:rPr>
                <w:rFonts w:hint="default" w:ascii="Times New Roman" w:hAnsi="Times New Roman" w:eastAsia="宋体" w:cs="Times New Roman"/>
                <w:color w:val="000000"/>
                <w:kern w:val="0"/>
                <w:sz w:val="24"/>
                <w:szCs w:val="24"/>
                <w:lang w:val="en-US" w:eastAsia="zh-CN" w:bidi="ar"/>
              </w:rPr>
              <w:t>④加强管理，机械设备定期维护及保养，防止设备故障形成的非正常生产噪声，同时确保环保措施发挥最佳有效的功能；加强人员环保意识教育，防止人为噪声。</w:t>
            </w:r>
          </w:p>
          <w:p w14:paraId="075AB094">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sz w:val="24"/>
                <w:szCs w:val="24"/>
              </w:rPr>
            </w:pPr>
            <w:r>
              <w:rPr>
                <w:rFonts w:hint="default" w:ascii="Times New Roman" w:hAnsi="Times New Roman" w:eastAsia="宋体" w:cs="Times New Roman"/>
                <w:color w:val="000000"/>
                <w:kern w:val="0"/>
                <w:sz w:val="24"/>
                <w:szCs w:val="24"/>
                <w:lang w:val="en-US" w:eastAsia="zh-CN" w:bidi="ar"/>
              </w:rPr>
              <w:t>⑤制定噪声监测计划，对噪声进行定期监测，用于判定厂界的噪声是否达标，若不达标，排查出高噪声污染源，指定针对性整改方案。</w:t>
            </w:r>
          </w:p>
          <w:p w14:paraId="770EF0FE">
            <w:pPr>
              <w:keepNext w:val="0"/>
              <w:keepLines w:val="0"/>
              <w:pageBreakBefore w:val="0"/>
              <w:widowControl/>
              <w:suppressLineNumbers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bCs/>
                <w:sz w:val="24"/>
                <w:szCs w:val="24"/>
              </w:rPr>
            </w:pPr>
            <w:r>
              <w:rPr>
                <w:rFonts w:hint="default" w:ascii="Times New Roman" w:hAnsi="Times New Roman" w:eastAsia="宋体" w:cs="Times New Roman"/>
                <w:b/>
                <w:bCs/>
                <w:color w:val="000000"/>
                <w:kern w:val="0"/>
                <w:sz w:val="24"/>
                <w:szCs w:val="24"/>
                <w:lang w:val="en-US" w:eastAsia="zh-CN" w:bidi="ar"/>
              </w:rPr>
              <w:t>表</w:t>
            </w:r>
            <w:r>
              <w:rPr>
                <w:rFonts w:hint="eastAsia" w:ascii="Times New Roman" w:hAnsi="Times New Roman" w:eastAsia="宋体" w:cs="Times New Roman"/>
                <w:b/>
                <w:bCs/>
                <w:color w:val="000000"/>
                <w:kern w:val="0"/>
                <w:sz w:val="24"/>
                <w:szCs w:val="24"/>
                <w:lang w:val="en-US" w:eastAsia="zh-CN" w:bidi="ar"/>
              </w:rPr>
              <w:t>4-</w:t>
            </w:r>
            <w:r>
              <w:rPr>
                <w:rFonts w:hint="eastAsia" w:cs="Times New Roman"/>
                <w:b/>
                <w:bCs/>
                <w:color w:val="000000"/>
                <w:kern w:val="0"/>
                <w:sz w:val="24"/>
                <w:szCs w:val="24"/>
                <w:lang w:val="en-US" w:eastAsia="zh-CN" w:bidi="ar"/>
              </w:rPr>
              <w:t xml:space="preserve">19  </w:t>
            </w:r>
            <w:r>
              <w:rPr>
                <w:rFonts w:hint="eastAsia" w:ascii="Times New Roman" w:hAnsi="Times New Roman" w:eastAsia="宋体" w:cs="Times New Roman"/>
                <w:b/>
                <w:bCs/>
                <w:color w:val="000000"/>
                <w:kern w:val="0"/>
                <w:sz w:val="24"/>
                <w:szCs w:val="24"/>
                <w:lang w:val="en-US" w:eastAsia="zh-CN" w:bidi="ar"/>
              </w:rPr>
              <w:t xml:space="preserve"> 降噪后车间外噪声源强一览表</w:t>
            </w:r>
          </w:p>
          <w:tbl>
            <w:tblPr>
              <w:tblStyle w:val="30"/>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712"/>
              <w:gridCol w:w="2714"/>
              <w:gridCol w:w="2714"/>
              <w:gridCol w:w="2714"/>
              <w:gridCol w:w="2729"/>
            </w:tblGrid>
            <w:tr w14:paraId="0BED62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98" w:type="pct"/>
                  <w:vMerge w:val="restart"/>
                  <w:noWrap w:val="0"/>
                  <w:vAlign w:val="center"/>
                </w:tcPr>
                <w:p w14:paraId="69595A34">
                  <w:pPr>
                    <w:pStyle w:val="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000000"/>
                      <w:sz w:val="21"/>
                      <w:szCs w:val="21"/>
                      <w:u w:val="none"/>
                      <w:vertAlign w:val="baseline"/>
                      <w:lang w:val="en-US" w:eastAsia="zh-CN"/>
                    </w:rPr>
                  </w:pPr>
                  <w:r>
                    <w:rPr>
                      <w:rFonts w:hint="eastAsia" w:ascii="Times New Roman" w:hAnsi="Times New Roman" w:cs="Times New Roman"/>
                      <w:color w:val="000000"/>
                      <w:sz w:val="21"/>
                      <w:szCs w:val="21"/>
                      <w:u w:val="none"/>
                      <w:vertAlign w:val="baseline"/>
                      <w:lang w:val="en-US" w:eastAsia="zh-CN"/>
                    </w:rPr>
                    <w:t>面源</w:t>
                  </w:r>
                </w:p>
              </w:tc>
              <w:tc>
                <w:tcPr>
                  <w:tcW w:w="4001" w:type="pct"/>
                  <w:gridSpan w:val="4"/>
                  <w:noWrap w:val="0"/>
                  <w:vAlign w:val="center"/>
                </w:tcPr>
                <w:p w14:paraId="7DA285CC">
                  <w:pPr>
                    <w:pStyle w:val="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000000"/>
                      <w:sz w:val="21"/>
                      <w:szCs w:val="21"/>
                      <w:u w:val="none"/>
                      <w:vertAlign w:val="baseline"/>
                      <w:lang w:val="en-US" w:eastAsia="zh-CN"/>
                    </w:rPr>
                  </w:pPr>
                  <w:r>
                    <w:rPr>
                      <w:rFonts w:hint="default" w:ascii="Times New Roman" w:hAnsi="Times New Roman" w:eastAsia="宋体" w:cs="Times New Roman"/>
                      <w:color w:val="000000"/>
                      <w:sz w:val="21"/>
                      <w:szCs w:val="21"/>
                      <w:u w:val="none"/>
                      <w:vertAlign w:val="baseline"/>
                      <w:lang w:val="en-US" w:eastAsia="zh-CN"/>
                    </w:rPr>
                    <w:t>车间边界声压级dB（A）</w:t>
                  </w:r>
                </w:p>
              </w:tc>
            </w:tr>
            <w:tr w14:paraId="6F161D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98" w:type="pct"/>
                  <w:vMerge w:val="continue"/>
                  <w:noWrap w:val="0"/>
                  <w:vAlign w:val="center"/>
                </w:tcPr>
                <w:p w14:paraId="34FFD273">
                  <w:pPr>
                    <w:pStyle w:val="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000000"/>
                      <w:sz w:val="21"/>
                      <w:szCs w:val="21"/>
                      <w:u w:val="none"/>
                      <w:vertAlign w:val="baseline"/>
                      <w:lang w:val="en-US" w:eastAsia="zh-CN"/>
                    </w:rPr>
                  </w:pPr>
                </w:p>
              </w:tc>
              <w:tc>
                <w:tcPr>
                  <w:tcW w:w="999" w:type="pct"/>
                  <w:noWrap w:val="0"/>
                  <w:vAlign w:val="center"/>
                </w:tcPr>
                <w:p w14:paraId="4D5783C2">
                  <w:pPr>
                    <w:pStyle w:val="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000000"/>
                      <w:sz w:val="21"/>
                      <w:szCs w:val="21"/>
                      <w:u w:val="none"/>
                      <w:vertAlign w:val="baseline"/>
                      <w:lang w:val="en-US" w:eastAsia="zh-CN"/>
                    </w:rPr>
                  </w:pPr>
                  <w:r>
                    <w:rPr>
                      <w:rFonts w:hint="default" w:ascii="Times New Roman" w:hAnsi="Times New Roman" w:eastAsia="宋体" w:cs="Times New Roman"/>
                      <w:color w:val="000000"/>
                      <w:sz w:val="21"/>
                      <w:szCs w:val="21"/>
                      <w:u w:val="none"/>
                      <w:vertAlign w:val="baseline"/>
                      <w:lang w:val="en-US" w:eastAsia="zh-CN"/>
                    </w:rPr>
                    <w:t>车间东边界</w:t>
                  </w:r>
                </w:p>
              </w:tc>
              <w:tc>
                <w:tcPr>
                  <w:tcW w:w="999" w:type="pct"/>
                  <w:noWrap w:val="0"/>
                  <w:vAlign w:val="center"/>
                </w:tcPr>
                <w:p w14:paraId="4AA228E7">
                  <w:pPr>
                    <w:pStyle w:val="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000000"/>
                      <w:sz w:val="21"/>
                      <w:szCs w:val="21"/>
                      <w:u w:val="none"/>
                      <w:vertAlign w:val="baseline"/>
                      <w:lang w:val="en-US" w:eastAsia="zh-CN"/>
                    </w:rPr>
                  </w:pPr>
                  <w:r>
                    <w:rPr>
                      <w:rFonts w:hint="default" w:ascii="Times New Roman" w:hAnsi="Times New Roman" w:eastAsia="宋体" w:cs="Times New Roman"/>
                      <w:color w:val="000000"/>
                      <w:sz w:val="21"/>
                      <w:szCs w:val="21"/>
                      <w:u w:val="none"/>
                      <w:vertAlign w:val="baseline"/>
                      <w:lang w:val="en-US" w:eastAsia="zh-CN"/>
                    </w:rPr>
                    <w:t>车间</w:t>
                  </w:r>
                  <w:r>
                    <w:rPr>
                      <w:rFonts w:hint="eastAsia" w:ascii="Times New Roman" w:hAnsi="Times New Roman" w:eastAsia="宋体" w:cs="Times New Roman"/>
                      <w:color w:val="000000"/>
                      <w:sz w:val="21"/>
                      <w:szCs w:val="21"/>
                      <w:u w:val="none"/>
                      <w:vertAlign w:val="baseline"/>
                      <w:lang w:val="en-US" w:eastAsia="zh-CN"/>
                    </w:rPr>
                    <w:t>南</w:t>
                  </w:r>
                  <w:r>
                    <w:rPr>
                      <w:rFonts w:hint="default" w:ascii="Times New Roman" w:hAnsi="Times New Roman" w:eastAsia="宋体" w:cs="Times New Roman"/>
                      <w:color w:val="000000"/>
                      <w:sz w:val="21"/>
                      <w:szCs w:val="21"/>
                      <w:u w:val="none"/>
                      <w:vertAlign w:val="baseline"/>
                      <w:lang w:val="en-US" w:eastAsia="zh-CN"/>
                    </w:rPr>
                    <w:t>边界</w:t>
                  </w:r>
                </w:p>
              </w:tc>
              <w:tc>
                <w:tcPr>
                  <w:tcW w:w="999" w:type="pct"/>
                  <w:noWrap w:val="0"/>
                  <w:vAlign w:val="center"/>
                </w:tcPr>
                <w:p w14:paraId="78363791">
                  <w:pPr>
                    <w:pStyle w:val="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000000"/>
                      <w:sz w:val="21"/>
                      <w:szCs w:val="21"/>
                      <w:u w:val="none"/>
                      <w:vertAlign w:val="baseline"/>
                      <w:lang w:val="en-US" w:eastAsia="zh-CN"/>
                    </w:rPr>
                  </w:pPr>
                  <w:r>
                    <w:rPr>
                      <w:rFonts w:hint="default" w:ascii="Times New Roman" w:hAnsi="Times New Roman" w:eastAsia="宋体" w:cs="Times New Roman"/>
                      <w:color w:val="000000"/>
                      <w:sz w:val="21"/>
                      <w:szCs w:val="21"/>
                      <w:u w:val="none"/>
                      <w:vertAlign w:val="baseline"/>
                      <w:lang w:val="en-US" w:eastAsia="zh-CN"/>
                    </w:rPr>
                    <w:t>车间</w:t>
                  </w:r>
                  <w:r>
                    <w:rPr>
                      <w:rFonts w:hint="eastAsia" w:ascii="Times New Roman" w:hAnsi="Times New Roman" w:eastAsia="宋体" w:cs="Times New Roman"/>
                      <w:color w:val="000000"/>
                      <w:sz w:val="21"/>
                      <w:szCs w:val="21"/>
                      <w:u w:val="none"/>
                      <w:vertAlign w:val="baseline"/>
                      <w:lang w:val="en-US" w:eastAsia="zh-CN"/>
                    </w:rPr>
                    <w:t>西</w:t>
                  </w:r>
                  <w:r>
                    <w:rPr>
                      <w:rFonts w:hint="default" w:ascii="Times New Roman" w:hAnsi="Times New Roman" w:eastAsia="宋体" w:cs="Times New Roman"/>
                      <w:color w:val="000000"/>
                      <w:sz w:val="21"/>
                      <w:szCs w:val="21"/>
                      <w:u w:val="none"/>
                      <w:vertAlign w:val="baseline"/>
                      <w:lang w:val="en-US" w:eastAsia="zh-CN"/>
                    </w:rPr>
                    <w:t>边界</w:t>
                  </w:r>
                </w:p>
              </w:tc>
              <w:tc>
                <w:tcPr>
                  <w:tcW w:w="1003" w:type="pct"/>
                  <w:noWrap w:val="0"/>
                  <w:vAlign w:val="center"/>
                </w:tcPr>
                <w:p w14:paraId="02E6D600">
                  <w:pPr>
                    <w:pStyle w:val="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000000"/>
                      <w:sz w:val="21"/>
                      <w:szCs w:val="21"/>
                      <w:u w:val="none"/>
                      <w:vertAlign w:val="baseline"/>
                      <w:lang w:val="en-US" w:eastAsia="zh-CN"/>
                    </w:rPr>
                  </w:pPr>
                  <w:r>
                    <w:rPr>
                      <w:rFonts w:hint="default" w:ascii="Times New Roman" w:hAnsi="Times New Roman" w:eastAsia="宋体" w:cs="Times New Roman"/>
                      <w:color w:val="000000"/>
                      <w:sz w:val="21"/>
                      <w:szCs w:val="21"/>
                      <w:u w:val="none"/>
                      <w:vertAlign w:val="baseline"/>
                      <w:lang w:val="en-US" w:eastAsia="zh-CN"/>
                    </w:rPr>
                    <w:t>车间</w:t>
                  </w:r>
                  <w:r>
                    <w:rPr>
                      <w:rFonts w:hint="eastAsia" w:ascii="Times New Roman" w:hAnsi="Times New Roman" w:eastAsia="宋体" w:cs="Times New Roman"/>
                      <w:color w:val="000000"/>
                      <w:sz w:val="21"/>
                      <w:szCs w:val="21"/>
                      <w:u w:val="none"/>
                      <w:vertAlign w:val="baseline"/>
                      <w:lang w:val="en-US" w:eastAsia="zh-CN"/>
                    </w:rPr>
                    <w:t>北</w:t>
                  </w:r>
                  <w:r>
                    <w:rPr>
                      <w:rFonts w:hint="default" w:ascii="Times New Roman" w:hAnsi="Times New Roman" w:eastAsia="宋体" w:cs="Times New Roman"/>
                      <w:color w:val="000000"/>
                      <w:sz w:val="21"/>
                      <w:szCs w:val="21"/>
                      <w:u w:val="none"/>
                      <w:vertAlign w:val="baseline"/>
                      <w:lang w:val="en-US" w:eastAsia="zh-CN"/>
                    </w:rPr>
                    <w:t>边界</w:t>
                  </w:r>
                </w:p>
              </w:tc>
            </w:tr>
            <w:tr w14:paraId="5880AC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98" w:type="pct"/>
                  <w:noWrap w:val="0"/>
                  <w:vAlign w:val="center"/>
                </w:tcPr>
                <w:p w14:paraId="2AAAFA2B">
                  <w:pPr>
                    <w:pStyle w:val="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000000"/>
                      <w:kern w:val="2"/>
                      <w:sz w:val="21"/>
                      <w:szCs w:val="21"/>
                      <w:u w:val="none"/>
                      <w:vertAlign w:val="baseline"/>
                      <w:lang w:val="en-US" w:eastAsia="zh-CN" w:bidi="ar"/>
                    </w:rPr>
                  </w:pPr>
                  <w:r>
                    <w:rPr>
                      <w:rFonts w:hint="default" w:ascii="Times New Roman" w:hAnsi="Times New Roman" w:cs="Times New Roman"/>
                      <w:bCs/>
                      <w:color w:val="000000" w:themeColor="text1"/>
                      <w:sz w:val="21"/>
                      <w:szCs w:val="21"/>
                      <w:highlight w:val="none"/>
                      <w:u w:val="none"/>
                      <w:lang w:val="en-US" w:eastAsia="zh-CN"/>
                      <w14:textFill>
                        <w14:solidFill>
                          <w14:schemeClr w14:val="tx1"/>
                        </w14:solidFill>
                      </w14:textFill>
                    </w:rPr>
                    <w:t>生产车间</w:t>
                  </w:r>
                </w:p>
              </w:tc>
              <w:tc>
                <w:tcPr>
                  <w:tcW w:w="2715" w:type="dxa"/>
                  <w:noWrap w:val="0"/>
                  <w:vAlign w:val="center"/>
                </w:tcPr>
                <w:p w14:paraId="5F6655D1">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u w:val="none"/>
                      <w:vertAlign w:val="baseline"/>
                      <w:lang w:val="en-US" w:eastAsia="zh-CN" w:bidi="ar-SA"/>
                    </w:rPr>
                  </w:pPr>
                  <w:r>
                    <w:rPr>
                      <w:rFonts w:hint="default" w:ascii="Times New Roman" w:hAnsi="Times New Roman" w:eastAsia="宋体" w:cs="Times New Roman"/>
                      <w:i w:val="0"/>
                      <w:iCs w:val="0"/>
                      <w:color w:val="000000"/>
                      <w:kern w:val="0"/>
                      <w:sz w:val="22"/>
                      <w:szCs w:val="22"/>
                      <w:u w:val="none"/>
                      <w:lang w:val="en-US" w:eastAsia="zh-CN" w:bidi="ar"/>
                    </w:rPr>
                    <w:t xml:space="preserve">37.8 </w:t>
                  </w:r>
                </w:p>
              </w:tc>
              <w:tc>
                <w:tcPr>
                  <w:tcW w:w="2715" w:type="dxa"/>
                  <w:noWrap w:val="0"/>
                  <w:vAlign w:val="center"/>
                </w:tcPr>
                <w:p w14:paraId="1A05D32D">
                  <w:pPr>
                    <w:keepNext w:val="0"/>
                    <w:keepLines w:val="0"/>
                    <w:widowControl/>
                    <w:suppressLineNumbers w:val="0"/>
                    <w:jc w:val="center"/>
                    <w:textAlignment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i w:val="0"/>
                      <w:iCs w:val="0"/>
                      <w:color w:val="000000"/>
                      <w:kern w:val="0"/>
                      <w:sz w:val="22"/>
                      <w:szCs w:val="22"/>
                      <w:u w:val="none"/>
                      <w:lang w:val="en-US" w:eastAsia="zh-CN" w:bidi="ar"/>
                    </w:rPr>
                    <w:t xml:space="preserve">64.3 </w:t>
                  </w:r>
                </w:p>
              </w:tc>
              <w:tc>
                <w:tcPr>
                  <w:tcW w:w="2715" w:type="dxa"/>
                  <w:noWrap w:val="0"/>
                  <w:vAlign w:val="center"/>
                </w:tcPr>
                <w:p w14:paraId="23B910F8">
                  <w:pPr>
                    <w:keepNext w:val="0"/>
                    <w:keepLines w:val="0"/>
                    <w:widowControl/>
                    <w:suppressLineNumbers w:val="0"/>
                    <w:jc w:val="center"/>
                    <w:textAlignment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i w:val="0"/>
                      <w:iCs w:val="0"/>
                      <w:color w:val="000000"/>
                      <w:kern w:val="0"/>
                      <w:sz w:val="22"/>
                      <w:szCs w:val="22"/>
                      <w:u w:val="none"/>
                      <w:lang w:val="en-US" w:eastAsia="zh-CN" w:bidi="ar"/>
                    </w:rPr>
                    <w:t xml:space="preserve">45.7 </w:t>
                  </w:r>
                </w:p>
              </w:tc>
              <w:tc>
                <w:tcPr>
                  <w:tcW w:w="2726" w:type="dxa"/>
                  <w:noWrap w:val="0"/>
                  <w:vAlign w:val="center"/>
                </w:tcPr>
                <w:p w14:paraId="0F0D5117">
                  <w:pPr>
                    <w:keepNext w:val="0"/>
                    <w:keepLines w:val="0"/>
                    <w:widowControl/>
                    <w:suppressLineNumbers w:val="0"/>
                    <w:jc w:val="center"/>
                    <w:textAlignment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i w:val="0"/>
                      <w:iCs w:val="0"/>
                      <w:color w:val="000000"/>
                      <w:kern w:val="0"/>
                      <w:sz w:val="22"/>
                      <w:szCs w:val="22"/>
                      <w:u w:val="none"/>
                      <w:lang w:val="en-US" w:eastAsia="zh-CN" w:bidi="ar"/>
                    </w:rPr>
                    <w:t xml:space="preserve">60.3 </w:t>
                  </w:r>
                </w:p>
              </w:tc>
            </w:tr>
            <w:tr w14:paraId="686323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98" w:type="pct"/>
                  <w:noWrap w:val="0"/>
                  <w:vAlign w:val="center"/>
                </w:tcPr>
                <w:p w14:paraId="773DF80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cs="Times New Roman"/>
                      <w:bCs/>
                      <w:color w:val="000000" w:themeColor="text1"/>
                      <w:sz w:val="21"/>
                      <w:szCs w:val="21"/>
                      <w:highlight w:val="none"/>
                      <w:u w:val="none"/>
                      <w:lang w:val="en-US" w:eastAsia="zh-CN"/>
                      <w14:textFill>
                        <w14:solidFill>
                          <w14:schemeClr w14:val="tx1"/>
                        </w14:solidFill>
                      </w14:textFill>
                    </w:rPr>
                    <w:t>生物质颗粒生产车间及成品仓库</w:t>
                  </w:r>
                </w:p>
              </w:tc>
              <w:tc>
                <w:tcPr>
                  <w:tcW w:w="2715" w:type="dxa"/>
                  <w:noWrap w:val="0"/>
                  <w:vAlign w:val="center"/>
                </w:tcPr>
                <w:p w14:paraId="5001FA3A">
                  <w:pPr>
                    <w:keepNext w:val="0"/>
                    <w:keepLines w:val="0"/>
                    <w:widowControl/>
                    <w:suppressLineNumbers w:val="0"/>
                    <w:jc w:val="center"/>
                    <w:textAlignment w:val="center"/>
                    <w:rPr>
                      <w:rFonts w:hint="eastAsia" w:cs="Times New Roman"/>
                      <w:color w:val="000000"/>
                      <w:kern w:val="2"/>
                      <w:sz w:val="21"/>
                      <w:szCs w:val="21"/>
                      <w:u w:val="none"/>
                      <w:vertAlign w:val="baseline"/>
                      <w:lang w:val="en-US" w:eastAsia="zh-CN" w:bidi="ar-SA"/>
                    </w:rPr>
                  </w:pPr>
                  <w:r>
                    <w:rPr>
                      <w:rFonts w:hint="default" w:ascii="Times New Roman" w:hAnsi="Times New Roman" w:eastAsia="宋体" w:cs="Times New Roman"/>
                      <w:i w:val="0"/>
                      <w:iCs w:val="0"/>
                      <w:color w:val="000000"/>
                      <w:kern w:val="0"/>
                      <w:sz w:val="22"/>
                      <w:szCs w:val="22"/>
                      <w:u w:val="none"/>
                      <w:lang w:val="en-US" w:eastAsia="zh-CN" w:bidi="ar"/>
                    </w:rPr>
                    <w:t xml:space="preserve">49.0 </w:t>
                  </w:r>
                </w:p>
              </w:tc>
              <w:tc>
                <w:tcPr>
                  <w:tcW w:w="2715" w:type="dxa"/>
                  <w:noWrap w:val="0"/>
                  <w:vAlign w:val="center"/>
                </w:tcPr>
                <w:p w14:paraId="3FA569B9">
                  <w:pPr>
                    <w:keepNext w:val="0"/>
                    <w:keepLines w:val="0"/>
                    <w:widowControl/>
                    <w:suppressLineNumbers w:val="0"/>
                    <w:jc w:val="center"/>
                    <w:textAlignment w:val="center"/>
                    <w:rPr>
                      <w:rFonts w:hint="eastAsia" w:cs="Times New Roman"/>
                      <w:kern w:val="2"/>
                      <w:sz w:val="21"/>
                      <w:szCs w:val="21"/>
                      <w:lang w:val="en-US" w:eastAsia="zh-CN" w:bidi="ar-SA"/>
                    </w:rPr>
                  </w:pPr>
                  <w:r>
                    <w:rPr>
                      <w:rFonts w:hint="default" w:ascii="Times New Roman" w:hAnsi="Times New Roman" w:eastAsia="宋体" w:cs="Times New Roman"/>
                      <w:i w:val="0"/>
                      <w:iCs w:val="0"/>
                      <w:color w:val="000000"/>
                      <w:kern w:val="0"/>
                      <w:sz w:val="22"/>
                      <w:szCs w:val="22"/>
                      <w:u w:val="none"/>
                      <w:lang w:val="en-US" w:eastAsia="zh-CN" w:bidi="ar"/>
                    </w:rPr>
                    <w:t xml:space="preserve">47.6 </w:t>
                  </w:r>
                </w:p>
              </w:tc>
              <w:tc>
                <w:tcPr>
                  <w:tcW w:w="2715" w:type="dxa"/>
                  <w:noWrap w:val="0"/>
                  <w:vAlign w:val="center"/>
                </w:tcPr>
                <w:p w14:paraId="3C178C5D">
                  <w:pPr>
                    <w:keepNext w:val="0"/>
                    <w:keepLines w:val="0"/>
                    <w:widowControl/>
                    <w:suppressLineNumbers w:val="0"/>
                    <w:jc w:val="center"/>
                    <w:textAlignment w:val="center"/>
                    <w:rPr>
                      <w:rFonts w:hint="eastAsia" w:cs="Times New Roman"/>
                      <w:kern w:val="2"/>
                      <w:sz w:val="21"/>
                      <w:szCs w:val="21"/>
                      <w:lang w:val="en-US" w:eastAsia="zh-CN" w:bidi="ar-SA"/>
                    </w:rPr>
                  </w:pPr>
                  <w:r>
                    <w:rPr>
                      <w:rFonts w:hint="default" w:ascii="Times New Roman" w:hAnsi="Times New Roman" w:eastAsia="宋体" w:cs="Times New Roman"/>
                      <w:i w:val="0"/>
                      <w:iCs w:val="0"/>
                      <w:color w:val="000000"/>
                      <w:kern w:val="0"/>
                      <w:sz w:val="22"/>
                      <w:szCs w:val="22"/>
                      <w:u w:val="none"/>
                      <w:lang w:val="en-US" w:eastAsia="zh-CN" w:bidi="ar"/>
                    </w:rPr>
                    <w:t xml:space="preserve">61.3 </w:t>
                  </w:r>
                </w:p>
              </w:tc>
              <w:tc>
                <w:tcPr>
                  <w:tcW w:w="2726" w:type="dxa"/>
                  <w:noWrap w:val="0"/>
                  <w:vAlign w:val="center"/>
                </w:tcPr>
                <w:p w14:paraId="0F079444">
                  <w:pPr>
                    <w:keepNext w:val="0"/>
                    <w:keepLines w:val="0"/>
                    <w:widowControl/>
                    <w:suppressLineNumbers w:val="0"/>
                    <w:jc w:val="center"/>
                    <w:textAlignment w:val="center"/>
                    <w:rPr>
                      <w:rFonts w:hint="eastAsia" w:cs="Times New Roman"/>
                      <w:kern w:val="2"/>
                      <w:sz w:val="21"/>
                      <w:szCs w:val="21"/>
                      <w:lang w:val="en-US" w:eastAsia="zh-CN" w:bidi="ar-SA"/>
                    </w:rPr>
                  </w:pPr>
                  <w:r>
                    <w:rPr>
                      <w:rFonts w:hint="default" w:ascii="Times New Roman" w:hAnsi="Times New Roman" w:eastAsia="宋体" w:cs="Times New Roman"/>
                      <w:i w:val="0"/>
                      <w:iCs w:val="0"/>
                      <w:color w:val="000000"/>
                      <w:kern w:val="0"/>
                      <w:sz w:val="22"/>
                      <w:szCs w:val="22"/>
                      <w:u w:val="none"/>
                      <w:lang w:val="en-US" w:eastAsia="zh-CN" w:bidi="ar"/>
                    </w:rPr>
                    <w:t xml:space="preserve">42.1 </w:t>
                  </w:r>
                </w:p>
              </w:tc>
            </w:tr>
          </w:tbl>
          <w:p w14:paraId="506998BD">
            <w:pPr>
              <w:pStyle w:val="8"/>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textAlignment w:val="auto"/>
              <w:rPr>
                <w:rFonts w:hint="default" w:ascii="Times New Roman" w:hAnsi="Times New Roman" w:cs="Times New Roman"/>
                <w:b w:val="0"/>
                <w:bCs w:val="0"/>
                <w:color w:val="000000"/>
                <w:sz w:val="24"/>
                <w:szCs w:val="24"/>
              </w:rPr>
            </w:pPr>
            <w:r>
              <w:rPr>
                <w:rFonts w:hint="default" w:ascii="Times New Roman" w:hAnsi="Times New Roman" w:cs="Times New Roman"/>
                <w:b w:val="0"/>
                <w:bCs w:val="0"/>
                <w:color w:val="000000"/>
                <w:sz w:val="24"/>
                <w:szCs w:val="24"/>
              </w:rPr>
              <w:t>3.2</w:t>
            </w:r>
            <w:r>
              <w:rPr>
                <w:rFonts w:hint="eastAsia" w:ascii="Times New Roman" w:hAnsi="Times New Roman" w:cs="Times New Roman"/>
                <w:b w:val="0"/>
                <w:bCs w:val="0"/>
                <w:color w:val="000000"/>
                <w:sz w:val="24"/>
                <w:szCs w:val="24"/>
                <w:lang w:val="en-US" w:eastAsia="zh-CN"/>
              </w:rPr>
              <w:t xml:space="preserve"> </w:t>
            </w:r>
            <w:r>
              <w:rPr>
                <w:rFonts w:hint="default" w:ascii="Times New Roman" w:hAnsi="Times New Roman" w:cs="Times New Roman"/>
                <w:b w:val="0"/>
                <w:bCs w:val="0"/>
                <w:color w:val="000000"/>
                <w:sz w:val="24"/>
                <w:szCs w:val="24"/>
              </w:rPr>
              <w:t>噪声预测模式</w:t>
            </w:r>
          </w:p>
          <w:p w14:paraId="7F53D789">
            <w:pPr>
              <w:pStyle w:val="8"/>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根据《环境影响评价技术导则-声环境》（HJ2.4-2021）要求，本次评价声环境质量预测范围为项目四周厂界。本次评价根据《环境影响评价技术导则-声环境》（HJ2.4-2021）中声级预测模式对边界进行达标预测分析。</w:t>
            </w:r>
          </w:p>
          <w:p w14:paraId="48F6F935">
            <w:pPr>
              <w:pStyle w:val="8"/>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①建设项目声源在预测点产生的等效声级贡献值(</w:t>
            </w:r>
            <w:r>
              <w:rPr>
                <w:rFonts w:hint="default" w:ascii="Times New Roman" w:hAnsi="Times New Roman" w:cs="Times New Roman"/>
                <w:color w:val="000000"/>
                <w:sz w:val="24"/>
                <w:szCs w:val="24"/>
              </w:rPr>
              <w:object>
                <v:shape id="_x0000_i1025" o:spt="75" type="#_x0000_t75" style="height:18.75pt;width:21pt;" o:ole="t" filled="f" o:preferrelative="t" stroked="f" coordsize="21600,21600">
                  <v:path/>
                  <v:fill on="f" focussize="0,0"/>
                  <v:stroke on="f"/>
                  <v:imagedata r:id="rId15" o:title=""/>
                  <o:lock v:ext="edit" aspectratio="t"/>
                  <w10:wrap type="none"/>
                  <w10:anchorlock/>
                </v:shape>
                <o:OLEObject Type="Embed" ProgID="Equation.KSEE3" ShapeID="_x0000_i1025" DrawAspect="Content" ObjectID="_1468075725" r:id="rId14">
                  <o:LockedField>false</o:LockedField>
                </o:OLEObject>
              </w:object>
            </w:r>
            <w:r>
              <w:rPr>
                <w:rFonts w:hint="default" w:ascii="Times New Roman" w:hAnsi="Times New Roman" w:cs="Times New Roman"/>
                <w:color w:val="000000"/>
                <w:sz w:val="24"/>
                <w:szCs w:val="24"/>
              </w:rPr>
              <w:t>)计算公式：</w:t>
            </w:r>
          </w:p>
          <w:p w14:paraId="2B139E08">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000000"/>
                <w:sz w:val="24"/>
                <w:szCs w:val="24"/>
              </w:rPr>
            </w:pPr>
            <w:r>
              <w:rPr>
                <w:color w:val="000000"/>
                <w:position w:val="-14"/>
                <w:sz w:val="24"/>
                <w:szCs w:val="24"/>
              </w:rPr>
              <w:object>
                <v:shape id="_x0000_i1026" o:spt="75" type="#_x0000_t75" style="height:18.75pt;width:21pt;" o:ole="t" filled="f" o:preferrelative="t" stroked="f" coordsize="21600,21600">
                  <v:path/>
                  <v:fill on="f" focussize="0,0"/>
                  <v:stroke on="f"/>
                  <v:imagedata r:id="rId15" o:title=""/>
                  <o:lock v:ext="edit" aspectratio="t"/>
                  <w10:wrap type="none"/>
                  <w10:anchorlock/>
                </v:shape>
                <o:OLEObject Type="Embed" ProgID="Equation.KSEE3" ShapeID="_x0000_i1026" DrawAspect="Content" ObjectID="_1468075726" r:id="rId16">
                  <o:LockedField>false</o:LockedField>
                </o:OLEObject>
              </w:object>
            </w:r>
            <w:r>
              <w:rPr>
                <w:color w:val="000000"/>
                <w:sz w:val="24"/>
                <w:szCs w:val="24"/>
              </w:rPr>
              <w:t>=</w:t>
            </w:r>
            <w:r>
              <w:rPr>
                <w:color w:val="000000"/>
                <w:position w:val="-10"/>
                <w:sz w:val="24"/>
                <w:szCs w:val="24"/>
              </w:rPr>
              <w:object>
                <v:shape id="_x0000_i1027" o:spt="75" type="#_x0000_t75" style="height:15.75pt;width:24pt;" o:ole="t" filled="f" o:preferrelative="t" stroked="f" coordsize="21600,21600">
                  <v:path/>
                  <v:fill on="f" focussize="0,0"/>
                  <v:stroke on="f"/>
                  <v:imagedata r:id="rId18" o:title=""/>
                  <o:lock v:ext="edit" aspectratio="t"/>
                  <w10:wrap type="none"/>
                  <w10:anchorlock/>
                </v:shape>
                <o:OLEObject Type="Embed" ProgID="Equation.KSEE3" ShapeID="_x0000_i1027" DrawAspect="Content" ObjectID="_1468075727" r:id="rId17">
                  <o:LockedField>false</o:LockedField>
                </o:OLEObject>
              </w:object>
            </w:r>
            <w:r>
              <w:rPr>
                <w:color w:val="000000"/>
                <w:sz w:val="24"/>
                <w:szCs w:val="24"/>
              </w:rPr>
              <w:t>(</w:t>
            </w:r>
            <w:r>
              <w:rPr>
                <w:color w:val="000000"/>
                <w:position w:val="-12"/>
                <w:sz w:val="24"/>
                <w:szCs w:val="24"/>
              </w:rPr>
              <w:object>
                <v:shape id="_x0000_i1028" o:spt="75" type="#_x0000_t75" style="height:18pt;width:9.75pt;" o:ole="t" filled="f" o:preferrelative="t" stroked="f" coordsize="21600,21600">
                  <v:path/>
                  <v:fill on="f" focussize="0,0"/>
                  <v:stroke on="f"/>
                  <v:imagedata r:id="rId20" o:title=""/>
                  <o:lock v:ext="edit" aspectratio="t"/>
                  <w10:wrap type="none"/>
                  <w10:anchorlock/>
                </v:shape>
                <o:OLEObject Type="Embed" ProgID="Equation.KSEE3" ShapeID="_x0000_i1028" DrawAspect="Content" ObjectID="_1468075728" r:id="rId19">
                  <o:LockedField>false</o:LockedField>
                </o:OLEObject>
              </w:object>
            </w:r>
            <w:r>
              <w:rPr>
                <w:color w:val="000000"/>
                <w:position w:val="-28"/>
                <w:sz w:val="24"/>
                <w:szCs w:val="24"/>
              </w:rPr>
              <w:object>
                <v:shape id="_x0000_i1029" o:spt="75" type="#_x0000_t75" style="height:27pt;width:54.75pt;" o:ole="t" filled="f" o:preferrelative="t" stroked="f" coordsize="21600,21600">
                  <v:path/>
                  <v:fill on="f" focussize="0,0"/>
                  <v:stroke on="f"/>
                  <v:imagedata r:id="rId22" o:title=""/>
                  <o:lock v:ext="edit" aspectratio="t"/>
                  <w10:wrap type="none"/>
                  <w10:anchorlock/>
                </v:shape>
                <o:OLEObject Type="Embed" ProgID="Equation.KSEE3" ShapeID="_x0000_i1029" DrawAspect="Content" ObjectID="_1468075729" r:id="rId21">
                  <o:LockedField>false</o:LockedField>
                </o:OLEObject>
              </w:object>
            </w:r>
            <w:r>
              <w:rPr>
                <w:color w:val="000000"/>
                <w:sz w:val="24"/>
                <w:szCs w:val="24"/>
              </w:rPr>
              <w:t>)</w:t>
            </w:r>
          </w:p>
          <w:p w14:paraId="11B495FD">
            <w:pPr>
              <w:pStyle w:val="8"/>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式中：</w:t>
            </w:r>
            <w:r>
              <w:rPr>
                <w:rFonts w:hint="default" w:ascii="Times New Roman" w:hAnsi="Times New Roman" w:cs="Times New Roman"/>
                <w:color w:val="000000"/>
                <w:sz w:val="24"/>
                <w:szCs w:val="24"/>
              </w:rPr>
              <w:object>
                <v:shape id="_x0000_i1030" o:spt="75" type="#_x0000_t75" style="height:18.75pt;width:21pt;" o:ole="t" filled="f" o:preferrelative="t" stroked="f" coordsize="21600,21600">
                  <v:path/>
                  <v:fill on="f" focussize="0,0"/>
                  <v:stroke on="f"/>
                  <v:imagedata r:id="rId15" o:title=""/>
                  <o:lock v:ext="edit" aspectratio="t"/>
                  <w10:wrap type="none"/>
                  <w10:anchorlock/>
                </v:shape>
                <o:OLEObject Type="Embed" ProgID="Equation.KSEE3" ShapeID="_x0000_i1030" DrawAspect="Content" ObjectID="_1468075730" r:id="rId23">
                  <o:LockedField>false</o:LockedField>
                </o:OLEObject>
              </w:object>
            </w:r>
            <w:r>
              <w:rPr>
                <w:rFonts w:hint="default" w:ascii="Times New Roman" w:hAnsi="Times New Roman" w:cs="Times New Roman"/>
                <w:color w:val="000000"/>
                <w:sz w:val="24"/>
                <w:szCs w:val="24"/>
              </w:rPr>
              <w:t>：建设项目声源在预测点的等效声级贡献值，dB(A)；</w:t>
            </w:r>
          </w:p>
          <w:p w14:paraId="42D530E3">
            <w:pPr>
              <w:pStyle w:val="8"/>
              <w:keepNext w:val="0"/>
              <w:keepLines w:val="0"/>
              <w:pageBreakBefore w:val="0"/>
              <w:widowControl w:val="0"/>
              <w:kinsoku/>
              <w:wordWrap/>
              <w:overflowPunct/>
              <w:topLinePunct w:val="0"/>
              <w:autoSpaceDE/>
              <w:autoSpaceDN/>
              <w:bidi w:val="0"/>
              <w:adjustRightInd/>
              <w:snapToGrid/>
              <w:spacing w:after="0" w:line="360" w:lineRule="auto"/>
              <w:ind w:left="0" w:leftChars="0" w:firstLine="1200" w:firstLineChars="500"/>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object>
                <v:shape id="_x0000_i1031" o:spt="75" type="#_x0000_t75" style="height:17.25pt;width:18pt;" o:ole="t" filled="f" o:preferrelative="t" stroked="f" coordsize="21600,21600">
                  <v:path/>
                  <v:fill on="f" focussize="0,0"/>
                  <v:stroke on="f"/>
                  <v:imagedata r:id="rId25" o:title=""/>
                  <o:lock v:ext="edit" aspectratio="t"/>
                  <w10:wrap type="none"/>
                  <w10:anchorlock/>
                </v:shape>
                <o:OLEObject Type="Embed" ProgID="Equation.KSEE3" ShapeID="_x0000_i1031" DrawAspect="Content" ObjectID="_1468075731" r:id="rId24">
                  <o:LockedField>false</o:LockedField>
                </o:OLEObject>
              </w:object>
            </w:r>
            <w:r>
              <w:rPr>
                <w:rFonts w:hint="default" w:ascii="Times New Roman" w:hAnsi="Times New Roman" w:cs="Times New Roman"/>
                <w:color w:val="000000"/>
                <w:sz w:val="24"/>
                <w:szCs w:val="24"/>
              </w:rPr>
              <w:t>：声源在预测点产生的A声级，dB(A)；</w:t>
            </w:r>
          </w:p>
          <w:p w14:paraId="00DBE19A">
            <w:pPr>
              <w:pStyle w:val="8"/>
              <w:keepNext w:val="0"/>
              <w:keepLines w:val="0"/>
              <w:pageBreakBefore w:val="0"/>
              <w:widowControl w:val="0"/>
              <w:kinsoku/>
              <w:wordWrap/>
              <w:overflowPunct/>
              <w:topLinePunct w:val="0"/>
              <w:autoSpaceDE/>
              <w:autoSpaceDN/>
              <w:bidi w:val="0"/>
              <w:adjustRightInd/>
              <w:snapToGrid/>
              <w:spacing w:after="0" w:line="360" w:lineRule="auto"/>
              <w:ind w:left="0" w:leftChars="0" w:firstLine="1200" w:firstLineChars="500"/>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T：预测计算的时间段，s；</w:t>
            </w:r>
          </w:p>
          <w:p w14:paraId="16C6C732">
            <w:pPr>
              <w:pStyle w:val="8"/>
              <w:keepNext w:val="0"/>
              <w:keepLines w:val="0"/>
              <w:pageBreakBefore w:val="0"/>
              <w:widowControl w:val="0"/>
              <w:kinsoku/>
              <w:wordWrap/>
              <w:overflowPunct/>
              <w:topLinePunct w:val="0"/>
              <w:autoSpaceDE/>
              <w:autoSpaceDN/>
              <w:bidi w:val="0"/>
              <w:adjustRightInd/>
              <w:snapToGrid/>
              <w:spacing w:after="0" w:line="360" w:lineRule="auto"/>
              <w:ind w:left="0" w:leftChars="0" w:firstLine="1200" w:firstLineChars="500"/>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Ti：i声源在T时段内的运行时间，s。</w:t>
            </w:r>
          </w:p>
          <w:p w14:paraId="154867E2">
            <w:pPr>
              <w:pStyle w:val="8"/>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②无指向性点声源的几何发散衰减计算公式为：</w:t>
            </w:r>
          </w:p>
          <w:p w14:paraId="36C973C6">
            <w:pPr>
              <w:pStyle w:val="8"/>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jc w:val="center"/>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Lr =L0 -20lg(R/R0)</w:t>
            </w:r>
          </w:p>
          <w:p w14:paraId="270DD8AB">
            <w:pPr>
              <w:pStyle w:val="8"/>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式中：Lr：距噪声源距离为r处声级值，dB(A)；</w:t>
            </w:r>
          </w:p>
          <w:p w14:paraId="767BEC67">
            <w:pPr>
              <w:pStyle w:val="8"/>
              <w:keepNext w:val="0"/>
              <w:keepLines w:val="0"/>
              <w:pageBreakBefore w:val="0"/>
              <w:widowControl w:val="0"/>
              <w:kinsoku/>
              <w:wordWrap/>
              <w:overflowPunct/>
              <w:topLinePunct w:val="0"/>
              <w:autoSpaceDE/>
              <w:autoSpaceDN/>
              <w:bidi w:val="0"/>
              <w:adjustRightInd/>
              <w:snapToGrid/>
              <w:spacing w:after="0" w:line="360" w:lineRule="auto"/>
              <w:ind w:left="0" w:leftChars="0" w:firstLine="1200" w:firstLineChars="500"/>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L</w:t>
            </w:r>
            <w:r>
              <w:rPr>
                <w:rFonts w:hint="default" w:ascii="Times New Roman" w:hAnsi="Times New Roman" w:cs="Times New Roman"/>
                <w:color w:val="000000"/>
                <w:sz w:val="24"/>
                <w:szCs w:val="24"/>
                <w:vertAlign w:val="subscript"/>
              </w:rPr>
              <w:t>0</w:t>
            </w:r>
            <w:r>
              <w:rPr>
                <w:rFonts w:hint="default" w:ascii="Times New Roman" w:hAnsi="Times New Roman" w:cs="Times New Roman"/>
                <w:color w:val="000000"/>
                <w:sz w:val="24"/>
                <w:szCs w:val="24"/>
              </w:rPr>
              <w:t>：距噪声源距离为r</w:t>
            </w:r>
            <w:r>
              <w:rPr>
                <w:rFonts w:hint="default" w:ascii="Times New Roman" w:hAnsi="Times New Roman" w:cs="Times New Roman"/>
                <w:color w:val="000000"/>
                <w:sz w:val="24"/>
                <w:szCs w:val="24"/>
                <w:vertAlign w:val="subscript"/>
              </w:rPr>
              <w:t>0</w:t>
            </w:r>
            <w:r>
              <w:rPr>
                <w:rFonts w:hint="default" w:ascii="Times New Roman" w:hAnsi="Times New Roman" w:cs="Times New Roman"/>
                <w:color w:val="000000"/>
                <w:sz w:val="24"/>
                <w:szCs w:val="24"/>
              </w:rPr>
              <w:t>处声级值，dB(A)；</w:t>
            </w:r>
          </w:p>
          <w:p w14:paraId="6C6A3370">
            <w:pPr>
              <w:pStyle w:val="8"/>
              <w:keepNext w:val="0"/>
              <w:keepLines w:val="0"/>
              <w:pageBreakBefore w:val="0"/>
              <w:widowControl w:val="0"/>
              <w:kinsoku/>
              <w:wordWrap/>
              <w:overflowPunct/>
              <w:topLinePunct w:val="0"/>
              <w:autoSpaceDE/>
              <w:autoSpaceDN/>
              <w:bidi w:val="0"/>
              <w:adjustRightInd/>
              <w:snapToGrid/>
              <w:spacing w:after="0" w:line="360" w:lineRule="auto"/>
              <w:ind w:left="0" w:leftChars="0" w:firstLine="1200" w:firstLineChars="500"/>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R：关心点距噪声源距离，m；</w:t>
            </w:r>
          </w:p>
          <w:p w14:paraId="004E4D0A">
            <w:pPr>
              <w:pStyle w:val="8"/>
              <w:keepNext w:val="0"/>
              <w:keepLines w:val="0"/>
              <w:pageBreakBefore w:val="0"/>
              <w:widowControl w:val="0"/>
              <w:kinsoku/>
              <w:wordWrap/>
              <w:overflowPunct/>
              <w:topLinePunct w:val="0"/>
              <w:autoSpaceDE/>
              <w:autoSpaceDN/>
              <w:bidi w:val="0"/>
              <w:adjustRightInd/>
              <w:snapToGrid/>
              <w:spacing w:after="0" w:line="360" w:lineRule="auto"/>
              <w:ind w:left="0" w:leftChars="0" w:firstLine="1200" w:firstLineChars="500"/>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r</w:t>
            </w:r>
            <w:r>
              <w:rPr>
                <w:rFonts w:hint="default" w:ascii="Times New Roman" w:hAnsi="Times New Roman" w:cs="Times New Roman"/>
                <w:color w:val="000000"/>
                <w:sz w:val="24"/>
                <w:szCs w:val="24"/>
                <w:vertAlign w:val="subscript"/>
              </w:rPr>
              <w:t>0</w:t>
            </w:r>
            <w:r>
              <w:rPr>
                <w:rFonts w:hint="default" w:ascii="Times New Roman" w:hAnsi="Times New Roman" w:cs="Times New Roman"/>
                <w:color w:val="000000"/>
                <w:sz w:val="24"/>
                <w:szCs w:val="24"/>
              </w:rPr>
              <w:t>--距噪声源距离，r</w:t>
            </w:r>
            <w:r>
              <w:rPr>
                <w:rFonts w:hint="default" w:ascii="Times New Roman" w:hAnsi="Times New Roman" w:cs="Times New Roman"/>
                <w:color w:val="000000"/>
                <w:sz w:val="24"/>
                <w:szCs w:val="24"/>
                <w:vertAlign w:val="subscript"/>
              </w:rPr>
              <w:t>0</w:t>
            </w:r>
            <w:r>
              <w:rPr>
                <w:rFonts w:hint="default" w:ascii="Times New Roman" w:hAnsi="Times New Roman" w:cs="Times New Roman"/>
                <w:color w:val="000000"/>
                <w:sz w:val="24"/>
                <w:szCs w:val="24"/>
              </w:rPr>
              <w:t>取1m。</w:t>
            </w:r>
          </w:p>
          <w:p w14:paraId="48838D5B">
            <w:pPr>
              <w:pStyle w:val="8"/>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③各预测点声压级按下列公式进行叠加：</w:t>
            </w:r>
          </w:p>
          <w:p w14:paraId="55685EC3">
            <w:pPr>
              <w:pStyle w:val="8"/>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jc w:val="center"/>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L</w:t>
            </w:r>
            <w:r>
              <w:rPr>
                <w:rFonts w:hint="default" w:ascii="Times New Roman" w:hAnsi="Times New Roman" w:cs="Times New Roman"/>
                <w:color w:val="000000"/>
                <w:sz w:val="24"/>
                <w:szCs w:val="24"/>
                <w:vertAlign w:val="subscript"/>
              </w:rPr>
              <w:t>总</w:t>
            </w:r>
            <w:r>
              <w:rPr>
                <w:rFonts w:hint="default" w:ascii="Times New Roman" w:hAnsi="Times New Roman" w:cs="Times New Roman"/>
                <w:color w:val="000000"/>
                <w:sz w:val="24"/>
                <w:szCs w:val="24"/>
              </w:rPr>
              <w:t>= 10lg(∑100.1Li+100.1Lb)</w:t>
            </w:r>
          </w:p>
          <w:p w14:paraId="3B685455">
            <w:pPr>
              <w:pStyle w:val="8"/>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式中：L总——预测点叠加后的总声压级，dB(A)；</w:t>
            </w:r>
          </w:p>
          <w:p w14:paraId="0BFF0C7A">
            <w:pPr>
              <w:pStyle w:val="8"/>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 xml:space="preserve">      L</w:t>
            </w:r>
            <w:r>
              <w:rPr>
                <w:rFonts w:hint="default" w:ascii="Times New Roman" w:hAnsi="Times New Roman" w:cs="Times New Roman"/>
                <w:color w:val="000000"/>
                <w:sz w:val="24"/>
                <w:szCs w:val="24"/>
                <w:vertAlign w:val="subscript"/>
              </w:rPr>
              <w:t>i</w:t>
            </w:r>
            <w:r>
              <w:rPr>
                <w:rFonts w:hint="default" w:ascii="Times New Roman" w:hAnsi="Times New Roman" w:cs="Times New Roman"/>
                <w:color w:val="000000"/>
                <w:sz w:val="24"/>
                <w:szCs w:val="24"/>
              </w:rPr>
              <w:t xml:space="preserve"> ——第i个声源到预测点处的声压级，dB(A)；</w:t>
            </w:r>
          </w:p>
          <w:p w14:paraId="31EF9278">
            <w:pPr>
              <w:pStyle w:val="8"/>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 xml:space="preserve">      L</w:t>
            </w:r>
            <w:r>
              <w:rPr>
                <w:rFonts w:hint="default" w:ascii="Times New Roman" w:hAnsi="Times New Roman" w:cs="Times New Roman"/>
                <w:color w:val="000000"/>
                <w:sz w:val="24"/>
                <w:szCs w:val="24"/>
                <w:vertAlign w:val="subscript"/>
              </w:rPr>
              <w:t>b</w:t>
            </w:r>
            <w:r>
              <w:rPr>
                <w:rFonts w:hint="default" w:ascii="Times New Roman" w:hAnsi="Times New Roman" w:cs="Times New Roman"/>
                <w:color w:val="000000"/>
                <w:sz w:val="24"/>
                <w:szCs w:val="24"/>
              </w:rPr>
              <w:t>——环境噪声本底值，dB(A)；</w:t>
            </w:r>
          </w:p>
          <w:p w14:paraId="3FC81845">
            <w:pPr>
              <w:pStyle w:val="8"/>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 xml:space="preserve">      n——声源个数。</w:t>
            </w:r>
          </w:p>
          <w:p w14:paraId="399BDB13">
            <w:pPr>
              <w:pStyle w:val="8"/>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3.3预测结果及分析</w:t>
            </w:r>
          </w:p>
          <w:p w14:paraId="6E61BECD">
            <w:pPr>
              <w:pStyle w:val="8"/>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本项目生产噪声对四周厂界</w:t>
            </w:r>
            <w:r>
              <w:rPr>
                <w:rFonts w:hint="eastAsia" w:ascii="Times New Roman" w:hAnsi="Times New Roman" w:cs="Times New Roman"/>
                <w:color w:val="000000"/>
                <w:sz w:val="24"/>
                <w:szCs w:val="24"/>
                <w:lang w:val="en-US" w:eastAsia="zh-CN"/>
              </w:rPr>
              <w:t>及周边环境敏感点</w:t>
            </w:r>
            <w:r>
              <w:rPr>
                <w:rFonts w:hint="default" w:ascii="Times New Roman" w:hAnsi="Times New Roman" w:cs="Times New Roman"/>
                <w:color w:val="000000"/>
                <w:sz w:val="24"/>
                <w:szCs w:val="24"/>
              </w:rPr>
              <w:t>的噪声预测结果见下表。</w:t>
            </w:r>
          </w:p>
          <w:p w14:paraId="7421796A">
            <w:pPr>
              <w:pStyle w:val="28"/>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jc w:val="center"/>
              <w:textAlignment w:val="auto"/>
              <w:rPr>
                <w:rFonts w:hint="default" w:ascii="Times New Roman" w:hAnsi="Times New Roman" w:cs="Times New Roman"/>
                <w:b/>
                <w:bCs/>
                <w:color w:val="auto"/>
                <w:sz w:val="24"/>
                <w:szCs w:val="24"/>
                <w:lang w:val="en-US" w:eastAsia="zh-CN"/>
              </w:rPr>
            </w:pPr>
            <w:r>
              <w:rPr>
                <w:rFonts w:hint="default" w:ascii="Times New Roman" w:hAnsi="Times New Roman" w:cs="Times New Roman"/>
                <w:b/>
                <w:bCs/>
                <w:color w:val="auto"/>
                <w:sz w:val="24"/>
                <w:szCs w:val="24"/>
                <w:lang w:val="en-US" w:eastAsia="zh-CN"/>
              </w:rPr>
              <w:t>表4-</w:t>
            </w:r>
            <w:r>
              <w:rPr>
                <w:rFonts w:hint="eastAsia" w:ascii="Times New Roman" w:hAnsi="Times New Roman" w:cs="Times New Roman"/>
                <w:b/>
                <w:bCs/>
                <w:color w:val="auto"/>
                <w:sz w:val="24"/>
                <w:szCs w:val="24"/>
                <w:lang w:val="en-US" w:eastAsia="zh-CN"/>
              </w:rPr>
              <w:t>20</w:t>
            </w:r>
            <w:r>
              <w:rPr>
                <w:rFonts w:hint="default" w:ascii="Times New Roman" w:hAnsi="Times New Roman" w:cs="Times New Roman"/>
                <w:b/>
                <w:bCs/>
                <w:color w:val="auto"/>
                <w:sz w:val="24"/>
                <w:szCs w:val="24"/>
                <w:lang w:val="en-US" w:eastAsia="zh-CN"/>
              </w:rPr>
              <w:t xml:space="preserve">  各厂界噪声贡献值结果统计表</w:t>
            </w:r>
          </w:p>
          <w:tbl>
            <w:tblPr>
              <w:tblStyle w:val="29"/>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6"/>
              <w:gridCol w:w="2940"/>
              <w:gridCol w:w="1764"/>
              <w:gridCol w:w="1924"/>
              <w:gridCol w:w="2655"/>
              <w:gridCol w:w="1720"/>
              <w:gridCol w:w="1721"/>
            </w:tblGrid>
            <w:tr w14:paraId="4A4234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jc w:val="center"/>
              </w:trPr>
              <w:tc>
                <w:tcPr>
                  <w:tcW w:w="315" w:type="pct"/>
                  <w:noWrap w:val="0"/>
                  <w:vAlign w:val="center"/>
                </w:tcPr>
                <w:p w14:paraId="3D69D0BD">
                  <w:pPr>
                    <w:keepNext w:val="0"/>
                    <w:keepLines w:val="0"/>
                    <w:pageBreakBefore w:val="0"/>
                    <w:suppressLineNumbers w:val="0"/>
                    <w:kinsoku/>
                    <w:wordWrap/>
                    <w:overflowPunct/>
                    <w:topLinePunct w:val="0"/>
                    <w:bidi w:val="0"/>
                    <w:snapToGrid/>
                    <w:spacing w:before="0" w:beforeAutospacing="0" w:after="0" w:afterAutospacing="0" w:line="240" w:lineRule="auto"/>
                    <w:ind w:left="0" w:right="0"/>
                    <w:jc w:val="center"/>
                    <w:rPr>
                      <w:rFonts w:hint="default" w:ascii="Times New Roman" w:hAnsi="Times New Roman" w:eastAsia="宋体" w:cs="Times New Roman"/>
                      <w:bCs/>
                      <w:color w:val="auto"/>
                      <w:sz w:val="21"/>
                      <w:szCs w:val="21"/>
                      <w:u w:val="none" w:color="auto"/>
                    </w:rPr>
                  </w:pPr>
                  <w:r>
                    <w:rPr>
                      <w:rFonts w:hint="default" w:ascii="Times New Roman" w:hAnsi="Times New Roman" w:eastAsia="宋体" w:cs="Times New Roman"/>
                      <w:color w:val="auto"/>
                      <w:sz w:val="21"/>
                      <w:szCs w:val="21"/>
                      <w:u w:val="none" w:color="auto"/>
                    </w:rPr>
                    <w:t>评价点</w:t>
                  </w:r>
                </w:p>
              </w:tc>
              <w:tc>
                <w:tcPr>
                  <w:tcW w:w="1082" w:type="pct"/>
                  <w:noWrap w:val="0"/>
                  <w:vAlign w:val="center"/>
                </w:tcPr>
                <w:p w14:paraId="3B9F8A33">
                  <w:pPr>
                    <w:keepNext w:val="0"/>
                    <w:keepLines w:val="0"/>
                    <w:pageBreakBefore w:val="0"/>
                    <w:suppressLineNumbers w:val="0"/>
                    <w:kinsoku/>
                    <w:wordWrap/>
                    <w:overflowPunct/>
                    <w:topLinePunct w:val="0"/>
                    <w:bidi w:val="0"/>
                    <w:snapToGrid/>
                    <w:spacing w:before="0" w:beforeAutospacing="0" w:after="0" w:afterAutospacing="0" w:line="240" w:lineRule="auto"/>
                    <w:ind w:left="0" w:right="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污染源名称</w:t>
                  </w:r>
                </w:p>
              </w:tc>
              <w:tc>
                <w:tcPr>
                  <w:tcW w:w="649" w:type="pct"/>
                  <w:noWrap w:val="0"/>
                  <w:vAlign w:val="center"/>
                </w:tcPr>
                <w:p w14:paraId="3F835DCE">
                  <w:pPr>
                    <w:keepNext w:val="0"/>
                    <w:keepLines w:val="0"/>
                    <w:pageBreakBefore w:val="0"/>
                    <w:suppressLineNumbers w:val="0"/>
                    <w:kinsoku/>
                    <w:wordWrap/>
                    <w:overflowPunct/>
                    <w:topLinePunct w:val="0"/>
                    <w:bidi w:val="0"/>
                    <w:snapToGrid/>
                    <w:spacing w:before="0" w:beforeAutospacing="0" w:after="0" w:afterAutospacing="0" w:line="240" w:lineRule="auto"/>
                    <w:ind w:left="0" w:right="0"/>
                    <w:jc w:val="center"/>
                    <w:rPr>
                      <w:rFonts w:hint="default" w:ascii="Times New Roman" w:hAnsi="Times New Roman" w:eastAsia="宋体" w:cs="Times New Roman"/>
                      <w:color w:val="auto"/>
                      <w:spacing w:val="-20"/>
                      <w:sz w:val="21"/>
                      <w:szCs w:val="21"/>
                      <w:u w:val="none" w:color="auto"/>
                    </w:rPr>
                  </w:pPr>
                  <w:r>
                    <w:rPr>
                      <w:rFonts w:hint="default" w:ascii="Times New Roman" w:hAnsi="Times New Roman" w:eastAsia="宋体" w:cs="Times New Roman"/>
                      <w:color w:val="auto"/>
                      <w:spacing w:val="-20"/>
                      <w:sz w:val="21"/>
                      <w:szCs w:val="21"/>
                      <w:u w:val="none" w:color="auto"/>
                    </w:rPr>
                    <w:t>源强dB（A）</w:t>
                  </w:r>
                </w:p>
              </w:tc>
              <w:tc>
                <w:tcPr>
                  <w:tcW w:w="708" w:type="pct"/>
                  <w:noWrap w:val="0"/>
                  <w:vAlign w:val="center"/>
                </w:tcPr>
                <w:p w14:paraId="40949C52">
                  <w:pPr>
                    <w:keepNext w:val="0"/>
                    <w:keepLines w:val="0"/>
                    <w:pageBreakBefore w:val="0"/>
                    <w:suppressLineNumbers w:val="0"/>
                    <w:kinsoku/>
                    <w:wordWrap/>
                    <w:overflowPunct/>
                    <w:topLinePunct w:val="0"/>
                    <w:bidi w:val="0"/>
                    <w:snapToGrid/>
                    <w:spacing w:before="0" w:beforeAutospacing="0" w:after="0" w:afterAutospacing="0" w:line="240" w:lineRule="auto"/>
                    <w:ind w:left="0" w:right="0"/>
                    <w:jc w:val="center"/>
                    <w:rPr>
                      <w:rFonts w:hint="default" w:ascii="Times New Roman" w:hAnsi="Times New Roman" w:eastAsia="宋体" w:cs="Times New Roman"/>
                      <w:color w:val="auto"/>
                      <w:spacing w:val="-20"/>
                      <w:sz w:val="21"/>
                      <w:szCs w:val="21"/>
                      <w:u w:val="none" w:color="auto"/>
                    </w:rPr>
                  </w:pPr>
                  <w:r>
                    <w:rPr>
                      <w:rFonts w:hint="default" w:ascii="Times New Roman" w:hAnsi="Times New Roman" w:eastAsia="宋体" w:cs="Times New Roman"/>
                      <w:color w:val="auto"/>
                      <w:sz w:val="21"/>
                      <w:szCs w:val="21"/>
                      <w:u w:val="none" w:color="auto"/>
                    </w:rPr>
                    <w:t>衰减距离</w:t>
                  </w:r>
                  <w:r>
                    <w:rPr>
                      <w:rFonts w:hint="default" w:ascii="Times New Roman" w:hAnsi="Times New Roman" w:eastAsia="宋体" w:cs="Times New Roman"/>
                      <w:color w:val="auto"/>
                      <w:spacing w:val="-20"/>
                      <w:sz w:val="21"/>
                      <w:szCs w:val="21"/>
                      <w:u w:val="none" w:color="auto"/>
                    </w:rPr>
                    <w:t>（m</w:t>
                  </w:r>
                  <w:r>
                    <w:rPr>
                      <w:rFonts w:hint="default" w:ascii="Times New Roman" w:hAnsi="Times New Roman" w:eastAsia="宋体" w:cs="Times New Roman"/>
                      <w:color w:val="auto"/>
                      <w:sz w:val="21"/>
                      <w:szCs w:val="21"/>
                      <w:u w:val="none" w:color="auto"/>
                    </w:rPr>
                    <w:t>）</w:t>
                  </w:r>
                </w:p>
              </w:tc>
              <w:tc>
                <w:tcPr>
                  <w:tcW w:w="977" w:type="pct"/>
                  <w:noWrap w:val="0"/>
                  <w:vAlign w:val="center"/>
                </w:tcPr>
                <w:p w14:paraId="1BEED788">
                  <w:pPr>
                    <w:keepNext w:val="0"/>
                    <w:keepLines w:val="0"/>
                    <w:pageBreakBefore w:val="0"/>
                    <w:suppressLineNumbers w:val="0"/>
                    <w:kinsoku/>
                    <w:wordWrap/>
                    <w:overflowPunct/>
                    <w:topLinePunct w:val="0"/>
                    <w:bidi w:val="0"/>
                    <w:snapToGrid/>
                    <w:spacing w:before="0" w:beforeAutospacing="0" w:after="0" w:afterAutospacing="0" w:line="240" w:lineRule="auto"/>
                    <w:ind w:left="0" w:right="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预测点</w:t>
                  </w:r>
                  <w:r>
                    <w:rPr>
                      <w:rFonts w:hint="default" w:ascii="Times New Roman" w:hAnsi="Times New Roman" w:eastAsia="宋体" w:cs="Times New Roman"/>
                      <w:color w:val="auto"/>
                      <w:sz w:val="21"/>
                      <w:szCs w:val="21"/>
                      <w:u w:val="none" w:color="auto"/>
                      <w:lang w:val="en-US" w:eastAsia="zh-CN"/>
                    </w:rPr>
                    <w:t>贡献值</w:t>
                  </w:r>
                  <w:r>
                    <w:rPr>
                      <w:rFonts w:hint="default" w:ascii="Times New Roman" w:hAnsi="Times New Roman" w:eastAsia="宋体" w:cs="Times New Roman"/>
                      <w:color w:val="auto"/>
                      <w:spacing w:val="-20"/>
                      <w:sz w:val="21"/>
                      <w:szCs w:val="21"/>
                      <w:u w:val="none" w:color="auto"/>
                    </w:rPr>
                    <w:t>dB（A）</w:t>
                  </w:r>
                </w:p>
              </w:tc>
              <w:tc>
                <w:tcPr>
                  <w:tcW w:w="633" w:type="pct"/>
                  <w:noWrap w:val="0"/>
                  <w:vAlign w:val="center"/>
                </w:tcPr>
                <w:p w14:paraId="73D1AB99">
                  <w:pPr>
                    <w:keepNext w:val="0"/>
                    <w:keepLines w:val="0"/>
                    <w:pageBreakBefore w:val="0"/>
                    <w:suppressLineNumbers w:val="0"/>
                    <w:kinsoku/>
                    <w:wordWrap/>
                    <w:overflowPunct/>
                    <w:topLinePunct w:val="0"/>
                    <w:bidi w:val="0"/>
                    <w:snapToGrid/>
                    <w:spacing w:before="0" w:beforeAutospacing="0" w:after="0" w:afterAutospacing="0" w:line="240" w:lineRule="auto"/>
                    <w:ind w:left="0" w:right="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贡献叠加值</w:t>
                  </w:r>
                </w:p>
                <w:p w14:paraId="7C445F75">
                  <w:pPr>
                    <w:keepNext w:val="0"/>
                    <w:keepLines w:val="0"/>
                    <w:pageBreakBefore w:val="0"/>
                    <w:suppressLineNumbers w:val="0"/>
                    <w:kinsoku/>
                    <w:wordWrap/>
                    <w:overflowPunct/>
                    <w:topLinePunct w:val="0"/>
                    <w:bidi w:val="0"/>
                    <w:snapToGrid/>
                    <w:spacing w:before="0" w:beforeAutospacing="0" w:after="0" w:afterAutospacing="0" w:line="240" w:lineRule="auto"/>
                    <w:ind w:left="0" w:right="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dB（A）</w:t>
                  </w:r>
                </w:p>
              </w:tc>
              <w:tc>
                <w:tcPr>
                  <w:tcW w:w="633" w:type="pct"/>
                  <w:noWrap w:val="0"/>
                  <w:vAlign w:val="center"/>
                </w:tcPr>
                <w:p w14:paraId="4BC96CB4">
                  <w:pPr>
                    <w:keepNext w:val="0"/>
                    <w:keepLines w:val="0"/>
                    <w:pageBreakBefore w:val="0"/>
                    <w:suppressLineNumbers w:val="0"/>
                    <w:kinsoku/>
                    <w:wordWrap/>
                    <w:overflowPunct/>
                    <w:topLinePunct w:val="0"/>
                    <w:bidi w:val="0"/>
                    <w:snapToGrid/>
                    <w:spacing w:before="0" w:beforeAutospacing="0" w:after="0" w:afterAutospacing="0" w:line="240" w:lineRule="auto"/>
                    <w:ind w:left="0" w:right="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标准值</w:t>
                  </w:r>
                </w:p>
              </w:tc>
            </w:tr>
            <w:tr w14:paraId="03DB0A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15" w:type="pct"/>
                  <w:vMerge w:val="restart"/>
                  <w:noWrap w:val="0"/>
                  <w:vAlign w:val="center"/>
                </w:tcPr>
                <w:p w14:paraId="4420CED8">
                  <w:pPr>
                    <w:keepNext w:val="0"/>
                    <w:keepLines w:val="0"/>
                    <w:pageBreakBefore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rPr>
                      <w:rFonts w:hint="default" w:ascii="Times New Roman" w:hAnsi="Times New Roman" w:eastAsia="宋体" w:cs="Times New Roman"/>
                      <w:color w:val="auto"/>
                      <w:sz w:val="21"/>
                      <w:szCs w:val="21"/>
                      <w:u w:val="none" w:color="auto"/>
                      <w:lang w:val="zh-CN"/>
                    </w:rPr>
                  </w:pPr>
                  <w:r>
                    <w:rPr>
                      <w:rFonts w:hint="default" w:ascii="Times New Roman" w:hAnsi="Times New Roman" w:eastAsia="宋体" w:cs="Times New Roman"/>
                      <w:color w:val="auto"/>
                      <w:sz w:val="21"/>
                      <w:szCs w:val="21"/>
                      <w:u w:val="none" w:color="auto"/>
                      <w:lang w:val="zh-CN"/>
                    </w:rPr>
                    <w:t>东</w:t>
                  </w:r>
                </w:p>
                <w:p w14:paraId="37F03D27">
                  <w:pPr>
                    <w:keepNext w:val="0"/>
                    <w:keepLines w:val="0"/>
                    <w:pageBreakBefore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rPr>
                      <w:rFonts w:hint="default" w:ascii="Times New Roman" w:hAnsi="Times New Roman" w:eastAsia="宋体" w:cs="Times New Roman"/>
                      <w:color w:val="auto"/>
                      <w:sz w:val="21"/>
                      <w:szCs w:val="21"/>
                      <w:u w:val="none" w:color="auto"/>
                      <w:lang w:val="zh-CN"/>
                    </w:rPr>
                  </w:pPr>
                  <w:r>
                    <w:rPr>
                      <w:rFonts w:hint="default" w:ascii="Times New Roman" w:hAnsi="Times New Roman" w:eastAsia="宋体" w:cs="Times New Roman"/>
                      <w:color w:val="auto"/>
                      <w:sz w:val="21"/>
                      <w:szCs w:val="21"/>
                      <w:u w:val="none" w:color="auto"/>
                      <w:lang w:val="zh-CN"/>
                    </w:rPr>
                    <w:t>厂</w:t>
                  </w:r>
                </w:p>
                <w:p w14:paraId="4F89BC22">
                  <w:pPr>
                    <w:keepNext w:val="0"/>
                    <w:keepLines w:val="0"/>
                    <w:pageBreakBefore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rPr>
                      <w:rFonts w:hint="default" w:ascii="Times New Roman" w:hAnsi="Times New Roman" w:eastAsia="宋体" w:cs="Times New Roman"/>
                      <w:bCs/>
                      <w:color w:val="auto"/>
                      <w:sz w:val="21"/>
                      <w:szCs w:val="21"/>
                      <w:u w:val="none" w:color="auto"/>
                    </w:rPr>
                  </w:pPr>
                  <w:r>
                    <w:rPr>
                      <w:rFonts w:hint="default" w:ascii="Times New Roman" w:hAnsi="Times New Roman" w:eastAsia="宋体" w:cs="Times New Roman"/>
                      <w:color w:val="auto"/>
                      <w:sz w:val="21"/>
                      <w:szCs w:val="21"/>
                      <w:u w:val="none" w:color="auto"/>
                      <w:lang w:val="zh-CN"/>
                    </w:rPr>
                    <w:t>界</w:t>
                  </w:r>
                </w:p>
              </w:tc>
              <w:tc>
                <w:tcPr>
                  <w:tcW w:w="1082" w:type="pct"/>
                  <w:noWrap w:val="0"/>
                  <w:vAlign w:val="center"/>
                </w:tcPr>
                <w:p w14:paraId="21527D33">
                  <w:pPr>
                    <w:pStyle w:val="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2"/>
                      <w:sz w:val="21"/>
                      <w:szCs w:val="21"/>
                      <w:u w:val="none"/>
                      <w:vertAlign w:val="baseline"/>
                      <w:lang w:val="en-US" w:eastAsia="zh-CN" w:bidi="ar"/>
                    </w:rPr>
                  </w:pPr>
                  <w:r>
                    <w:rPr>
                      <w:rFonts w:hint="default" w:ascii="Times New Roman" w:hAnsi="Times New Roman" w:cs="Times New Roman"/>
                      <w:bCs/>
                      <w:color w:val="000000" w:themeColor="text1"/>
                      <w:sz w:val="21"/>
                      <w:szCs w:val="21"/>
                      <w:highlight w:val="none"/>
                      <w:u w:val="none"/>
                      <w:lang w:val="en-US" w:eastAsia="zh-CN"/>
                      <w14:textFill>
                        <w14:solidFill>
                          <w14:schemeClr w14:val="tx1"/>
                        </w14:solidFill>
                      </w14:textFill>
                    </w:rPr>
                    <w:t>生产车间</w:t>
                  </w:r>
                </w:p>
              </w:tc>
              <w:tc>
                <w:tcPr>
                  <w:tcW w:w="649" w:type="pct"/>
                  <w:noWrap w:val="0"/>
                  <w:vAlign w:val="center"/>
                </w:tcPr>
                <w:p w14:paraId="18619B2C">
                  <w:pPr>
                    <w:keepNext w:val="0"/>
                    <w:keepLines w:val="0"/>
                    <w:widowControl/>
                    <w:suppressLineNumbers w:val="0"/>
                    <w:jc w:val="center"/>
                    <w:textAlignment w:val="center"/>
                    <w:rPr>
                      <w:rFonts w:hint="default" w:ascii="Times New Roman" w:hAnsi="Times New Roman" w:eastAsia="宋体" w:cs="Times New Roman"/>
                      <w:color w:val="auto"/>
                      <w:kern w:val="2"/>
                      <w:sz w:val="21"/>
                      <w:szCs w:val="21"/>
                      <w:u w:val="none"/>
                      <w:vertAlign w:val="baseline"/>
                      <w:lang w:val="en-US" w:eastAsia="zh-CN" w:bidi="ar-SA"/>
                    </w:rPr>
                  </w:pPr>
                  <w:r>
                    <w:rPr>
                      <w:rFonts w:hint="default" w:ascii="Times New Roman" w:hAnsi="Times New Roman" w:eastAsia="宋体" w:cs="Times New Roman"/>
                      <w:i w:val="0"/>
                      <w:iCs w:val="0"/>
                      <w:color w:val="000000"/>
                      <w:kern w:val="0"/>
                      <w:sz w:val="22"/>
                      <w:szCs w:val="22"/>
                      <w:u w:val="none"/>
                      <w:lang w:val="en-US" w:eastAsia="zh-CN" w:bidi="ar"/>
                    </w:rPr>
                    <w:t xml:space="preserve">37.8 </w:t>
                  </w:r>
                </w:p>
              </w:tc>
              <w:tc>
                <w:tcPr>
                  <w:tcW w:w="708" w:type="pct"/>
                  <w:noWrap w:val="0"/>
                  <w:vAlign w:val="center"/>
                </w:tcPr>
                <w:p w14:paraId="36431EA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u w:val="none" w:color="auto"/>
                      <w:lang w:val="en-US" w:eastAsia="zh-CN"/>
                    </w:rPr>
                  </w:pPr>
                  <w:r>
                    <w:rPr>
                      <w:rFonts w:hint="eastAsia" w:cs="Times New Roman"/>
                      <w:color w:val="auto"/>
                      <w:sz w:val="21"/>
                      <w:szCs w:val="21"/>
                      <w:u w:val="none" w:color="auto"/>
                      <w:lang w:val="en-US" w:eastAsia="zh-CN"/>
                    </w:rPr>
                    <w:t>10</w:t>
                  </w:r>
                </w:p>
              </w:tc>
              <w:tc>
                <w:tcPr>
                  <w:tcW w:w="2655" w:type="dxa"/>
                  <w:noWrap w:val="0"/>
                  <w:vAlign w:val="center"/>
                </w:tcPr>
                <w:p w14:paraId="0A8DA264">
                  <w:pPr>
                    <w:keepNext w:val="0"/>
                    <w:keepLines w:val="0"/>
                    <w:widowControl/>
                    <w:suppressLineNumbers w:val="0"/>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i w:val="0"/>
                      <w:iCs w:val="0"/>
                      <w:color w:val="000000"/>
                      <w:kern w:val="0"/>
                      <w:sz w:val="22"/>
                      <w:szCs w:val="22"/>
                      <w:u w:val="none"/>
                      <w:lang w:val="en-US" w:eastAsia="zh-CN" w:bidi="ar"/>
                    </w:rPr>
                    <w:t xml:space="preserve">17.8 </w:t>
                  </w:r>
                </w:p>
              </w:tc>
              <w:tc>
                <w:tcPr>
                  <w:tcW w:w="633" w:type="pct"/>
                  <w:vMerge w:val="restart"/>
                  <w:noWrap w:val="0"/>
                  <w:vAlign w:val="center"/>
                </w:tcPr>
                <w:p w14:paraId="627CE0B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35.1</w:t>
                  </w:r>
                </w:p>
              </w:tc>
              <w:tc>
                <w:tcPr>
                  <w:tcW w:w="633" w:type="pct"/>
                  <w:vMerge w:val="restart"/>
                  <w:noWrap w:val="0"/>
                  <w:vAlign w:val="center"/>
                </w:tcPr>
                <w:p w14:paraId="17A45065">
                  <w:pPr>
                    <w:pStyle w:val="67"/>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rPr>
                      <w:rFonts w:hint="default" w:ascii="Times New Roman" w:hAnsi="Times New Roman" w:eastAsia="宋体" w:cs="Times New Roman"/>
                      <w:bCs/>
                      <w:color w:val="auto"/>
                      <w:sz w:val="21"/>
                      <w:szCs w:val="21"/>
                      <w:u w:val="none" w:color="auto"/>
                      <w:lang w:val="en-US" w:eastAsia="zh-CN"/>
                    </w:rPr>
                  </w:pPr>
                  <w:r>
                    <w:rPr>
                      <w:rFonts w:hint="default" w:ascii="Times New Roman" w:hAnsi="Times New Roman" w:eastAsia="宋体" w:cs="Times New Roman"/>
                      <w:bCs/>
                      <w:color w:val="auto"/>
                      <w:sz w:val="21"/>
                      <w:szCs w:val="21"/>
                      <w:highlight w:val="none"/>
                      <w:u w:val="none" w:color="auto"/>
                    </w:rPr>
                    <w:t>60</w:t>
                  </w:r>
                  <w:r>
                    <w:rPr>
                      <w:rFonts w:hint="default" w:ascii="Times New Roman" w:hAnsi="Times New Roman" w:eastAsia="宋体" w:cs="Times New Roman"/>
                      <w:bCs/>
                      <w:color w:val="auto"/>
                      <w:sz w:val="21"/>
                      <w:szCs w:val="21"/>
                      <w:highlight w:val="none"/>
                      <w:u w:val="none" w:color="auto"/>
                      <w:lang w:val="en-US" w:eastAsia="zh-CN"/>
                    </w:rPr>
                    <w:t>/50</w:t>
                  </w:r>
                </w:p>
              </w:tc>
            </w:tr>
            <w:tr w14:paraId="1E0775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15" w:type="pct"/>
                  <w:vMerge w:val="continue"/>
                  <w:noWrap w:val="0"/>
                  <w:vAlign w:val="center"/>
                </w:tcPr>
                <w:p w14:paraId="0D376737">
                  <w:pPr>
                    <w:keepNext w:val="0"/>
                    <w:keepLines w:val="0"/>
                    <w:pageBreakBefore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rPr>
                      <w:rFonts w:hint="default" w:ascii="Times New Roman" w:hAnsi="Times New Roman" w:eastAsia="宋体" w:cs="Times New Roman"/>
                      <w:color w:val="auto"/>
                      <w:sz w:val="21"/>
                      <w:szCs w:val="21"/>
                      <w:u w:val="none" w:color="auto"/>
                      <w:lang w:val="zh-CN"/>
                    </w:rPr>
                  </w:pPr>
                </w:p>
              </w:tc>
              <w:tc>
                <w:tcPr>
                  <w:tcW w:w="1082" w:type="pct"/>
                  <w:noWrap w:val="0"/>
                  <w:vAlign w:val="center"/>
                </w:tcPr>
                <w:p w14:paraId="2D3A12A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cs="Times New Roman"/>
                      <w:bCs/>
                      <w:color w:val="000000" w:themeColor="text1"/>
                      <w:sz w:val="21"/>
                      <w:szCs w:val="21"/>
                      <w:highlight w:val="none"/>
                      <w:u w:val="none"/>
                      <w:lang w:val="en-US" w:eastAsia="zh-CN"/>
                      <w14:textFill>
                        <w14:solidFill>
                          <w14:schemeClr w14:val="tx1"/>
                        </w14:solidFill>
                      </w14:textFill>
                    </w:rPr>
                    <w:t>生物质颗粒生产车间及成品仓库</w:t>
                  </w:r>
                </w:p>
              </w:tc>
              <w:tc>
                <w:tcPr>
                  <w:tcW w:w="649" w:type="pct"/>
                  <w:noWrap w:val="0"/>
                  <w:vAlign w:val="center"/>
                </w:tcPr>
                <w:p w14:paraId="29EF69D2">
                  <w:pPr>
                    <w:keepNext w:val="0"/>
                    <w:keepLines w:val="0"/>
                    <w:widowControl/>
                    <w:suppressLineNumbers w:val="0"/>
                    <w:jc w:val="center"/>
                    <w:textAlignment w:val="center"/>
                    <w:rPr>
                      <w:rFonts w:hint="default" w:ascii="Times New Roman" w:hAnsi="Times New Roman" w:eastAsia="宋体" w:cs="Times New Roman"/>
                      <w:color w:val="auto"/>
                      <w:kern w:val="2"/>
                      <w:sz w:val="21"/>
                      <w:szCs w:val="21"/>
                      <w:u w:val="none"/>
                      <w:vertAlign w:val="baseline"/>
                      <w:lang w:val="en-US" w:eastAsia="zh-CN" w:bidi="ar-SA"/>
                    </w:rPr>
                  </w:pPr>
                  <w:r>
                    <w:rPr>
                      <w:rFonts w:hint="default" w:ascii="Times New Roman" w:hAnsi="Times New Roman" w:eastAsia="宋体" w:cs="Times New Roman"/>
                      <w:i w:val="0"/>
                      <w:iCs w:val="0"/>
                      <w:color w:val="000000"/>
                      <w:kern w:val="0"/>
                      <w:sz w:val="22"/>
                      <w:szCs w:val="22"/>
                      <w:u w:val="none"/>
                      <w:lang w:val="en-US" w:eastAsia="zh-CN" w:bidi="ar"/>
                    </w:rPr>
                    <w:t xml:space="preserve">49.0 </w:t>
                  </w:r>
                </w:p>
              </w:tc>
              <w:tc>
                <w:tcPr>
                  <w:tcW w:w="708" w:type="pct"/>
                  <w:noWrap w:val="0"/>
                  <w:vAlign w:val="center"/>
                </w:tcPr>
                <w:p w14:paraId="6057764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u w:val="none" w:color="auto"/>
                      <w:lang w:val="en-US" w:eastAsia="zh-CN"/>
                    </w:rPr>
                  </w:pPr>
                  <w:r>
                    <w:rPr>
                      <w:rFonts w:hint="eastAsia" w:cs="Times New Roman"/>
                      <w:color w:val="auto"/>
                      <w:sz w:val="21"/>
                      <w:szCs w:val="21"/>
                      <w:u w:val="none" w:color="auto"/>
                      <w:lang w:val="en-US" w:eastAsia="zh-CN"/>
                    </w:rPr>
                    <w:t>5</w:t>
                  </w:r>
                </w:p>
              </w:tc>
              <w:tc>
                <w:tcPr>
                  <w:tcW w:w="2655" w:type="dxa"/>
                  <w:noWrap w:val="0"/>
                  <w:vAlign w:val="center"/>
                </w:tcPr>
                <w:p w14:paraId="36698C8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2"/>
                      <w:szCs w:val="22"/>
                      <w:u w:val="none"/>
                      <w:lang w:val="en-US" w:eastAsia="zh-CN" w:bidi="ar"/>
                    </w:rPr>
                    <w:t xml:space="preserve">35.0 </w:t>
                  </w:r>
                </w:p>
              </w:tc>
              <w:tc>
                <w:tcPr>
                  <w:tcW w:w="633" w:type="pct"/>
                  <w:vMerge w:val="continue"/>
                  <w:noWrap w:val="0"/>
                  <w:vAlign w:val="center"/>
                </w:tcPr>
                <w:p w14:paraId="037914D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p>
              </w:tc>
              <w:tc>
                <w:tcPr>
                  <w:tcW w:w="633" w:type="pct"/>
                  <w:vMerge w:val="continue"/>
                  <w:noWrap w:val="0"/>
                  <w:vAlign w:val="center"/>
                </w:tcPr>
                <w:p w14:paraId="600BFC17">
                  <w:pPr>
                    <w:pStyle w:val="67"/>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rPr>
                      <w:rFonts w:hint="default" w:ascii="Times New Roman" w:hAnsi="Times New Roman" w:eastAsia="宋体" w:cs="Times New Roman"/>
                      <w:bCs/>
                      <w:color w:val="auto"/>
                      <w:sz w:val="21"/>
                      <w:szCs w:val="21"/>
                      <w:highlight w:val="none"/>
                      <w:u w:val="none" w:color="auto"/>
                    </w:rPr>
                  </w:pPr>
                </w:p>
              </w:tc>
            </w:tr>
            <w:tr w14:paraId="4C4774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15" w:type="pct"/>
                  <w:vMerge w:val="restart"/>
                  <w:noWrap w:val="0"/>
                  <w:vAlign w:val="center"/>
                </w:tcPr>
                <w:p w14:paraId="19133BF5">
                  <w:pPr>
                    <w:keepNext w:val="0"/>
                    <w:keepLines w:val="0"/>
                    <w:pageBreakBefore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南</w:t>
                  </w:r>
                </w:p>
                <w:p w14:paraId="2E9F5270">
                  <w:pPr>
                    <w:keepNext w:val="0"/>
                    <w:keepLines w:val="0"/>
                    <w:pageBreakBefore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rPr>
                      <w:rFonts w:hint="default" w:ascii="Times New Roman" w:hAnsi="Times New Roman" w:eastAsia="宋体" w:cs="Times New Roman"/>
                      <w:color w:val="auto"/>
                      <w:sz w:val="21"/>
                      <w:szCs w:val="21"/>
                      <w:u w:val="none" w:color="auto"/>
                      <w:lang w:val="zh-CN"/>
                    </w:rPr>
                  </w:pPr>
                  <w:r>
                    <w:rPr>
                      <w:rFonts w:hint="default" w:ascii="Times New Roman" w:hAnsi="Times New Roman" w:eastAsia="宋体" w:cs="Times New Roman"/>
                      <w:color w:val="auto"/>
                      <w:sz w:val="21"/>
                      <w:szCs w:val="21"/>
                      <w:u w:val="none" w:color="auto"/>
                      <w:lang w:val="zh-CN"/>
                    </w:rPr>
                    <w:t>厂</w:t>
                  </w:r>
                </w:p>
                <w:p w14:paraId="20AB04A9">
                  <w:pPr>
                    <w:keepNext w:val="0"/>
                    <w:keepLines w:val="0"/>
                    <w:pageBreakBefore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rPr>
                      <w:rFonts w:hint="default" w:ascii="Times New Roman" w:hAnsi="Times New Roman" w:eastAsia="宋体" w:cs="Times New Roman"/>
                      <w:bCs/>
                      <w:color w:val="auto"/>
                      <w:sz w:val="21"/>
                      <w:szCs w:val="21"/>
                      <w:u w:val="none" w:color="auto"/>
                    </w:rPr>
                  </w:pPr>
                  <w:r>
                    <w:rPr>
                      <w:rFonts w:hint="default" w:ascii="Times New Roman" w:hAnsi="Times New Roman" w:eastAsia="宋体" w:cs="Times New Roman"/>
                      <w:color w:val="auto"/>
                      <w:sz w:val="21"/>
                      <w:szCs w:val="21"/>
                      <w:u w:val="none" w:color="auto"/>
                      <w:lang w:val="zh-CN"/>
                    </w:rPr>
                    <w:t>界</w:t>
                  </w:r>
                </w:p>
              </w:tc>
              <w:tc>
                <w:tcPr>
                  <w:tcW w:w="1082" w:type="pct"/>
                  <w:noWrap w:val="0"/>
                  <w:vAlign w:val="center"/>
                </w:tcPr>
                <w:p w14:paraId="11E149B8">
                  <w:pPr>
                    <w:pStyle w:val="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2"/>
                      <w:sz w:val="21"/>
                      <w:szCs w:val="21"/>
                      <w:u w:val="none"/>
                      <w:vertAlign w:val="baseline"/>
                      <w:lang w:val="en-US" w:eastAsia="zh-CN" w:bidi="ar"/>
                    </w:rPr>
                  </w:pPr>
                  <w:r>
                    <w:rPr>
                      <w:rFonts w:hint="default" w:ascii="Times New Roman" w:hAnsi="Times New Roman" w:cs="Times New Roman"/>
                      <w:bCs/>
                      <w:color w:val="000000" w:themeColor="text1"/>
                      <w:sz w:val="21"/>
                      <w:szCs w:val="21"/>
                      <w:highlight w:val="none"/>
                      <w:u w:val="none"/>
                      <w:lang w:val="en-US" w:eastAsia="zh-CN"/>
                      <w14:textFill>
                        <w14:solidFill>
                          <w14:schemeClr w14:val="tx1"/>
                        </w14:solidFill>
                      </w14:textFill>
                    </w:rPr>
                    <w:t>生产车间</w:t>
                  </w:r>
                </w:p>
              </w:tc>
              <w:tc>
                <w:tcPr>
                  <w:tcW w:w="649" w:type="pct"/>
                  <w:noWrap w:val="0"/>
                  <w:vAlign w:val="center"/>
                </w:tcPr>
                <w:p w14:paraId="39527A37">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000000"/>
                      <w:kern w:val="0"/>
                      <w:sz w:val="22"/>
                      <w:szCs w:val="22"/>
                      <w:u w:val="none"/>
                      <w:lang w:val="en-US" w:eastAsia="zh-CN" w:bidi="ar"/>
                    </w:rPr>
                    <w:t xml:space="preserve">64.3 </w:t>
                  </w:r>
                </w:p>
              </w:tc>
              <w:tc>
                <w:tcPr>
                  <w:tcW w:w="708" w:type="pct"/>
                  <w:noWrap w:val="0"/>
                  <w:vAlign w:val="center"/>
                </w:tcPr>
                <w:p w14:paraId="1C8AC5A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zh-CN"/>
                    </w:rPr>
                    <w:t>109</w:t>
                  </w:r>
                </w:p>
              </w:tc>
              <w:tc>
                <w:tcPr>
                  <w:tcW w:w="2655" w:type="dxa"/>
                  <w:noWrap w:val="0"/>
                  <w:vAlign w:val="center"/>
                </w:tcPr>
                <w:p w14:paraId="475D0D5C">
                  <w:pPr>
                    <w:keepNext w:val="0"/>
                    <w:keepLines w:val="0"/>
                    <w:widowControl/>
                    <w:suppressLineNumbers w:val="0"/>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i w:val="0"/>
                      <w:iCs w:val="0"/>
                      <w:color w:val="000000"/>
                      <w:kern w:val="0"/>
                      <w:sz w:val="22"/>
                      <w:szCs w:val="22"/>
                      <w:u w:val="none"/>
                      <w:lang w:val="en-US" w:eastAsia="zh-CN" w:bidi="ar"/>
                    </w:rPr>
                    <w:t xml:space="preserve">23.6 </w:t>
                  </w:r>
                </w:p>
              </w:tc>
              <w:tc>
                <w:tcPr>
                  <w:tcW w:w="633" w:type="pct"/>
                  <w:vMerge w:val="restart"/>
                  <w:noWrap w:val="0"/>
                  <w:vAlign w:val="center"/>
                </w:tcPr>
                <w:p w14:paraId="2255913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27.0</w:t>
                  </w:r>
                </w:p>
              </w:tc>
              <w:tc>
                <w:tcPr>
                  <w:tcW w:w="633" w:type="pct"/>
                  <w:vMerge w:val="restart"/>
                  <w:noWrap w:val="0"/>
                  <w:vAlign w:val="center"/>
                </w:tcPr>
                <w:p w14:paraId="0608D3B9">
                  <w:pPr>
                    <w:pStyle w:val="67"/>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rPr>
                      <w:rFonts w:hint="default" w:ascii="Times New Roman" w:hAnsi="Times New Roman" w:eastAsia="宋体" w:cs="Times New Roman"/>
                      <w:bCs/>
                      <w:color w:val="auto"/>
                      <w:sz w:val="21"/>
                      <w:szCs w:val="21"/>
                      <w:u w:val="none" w:color="auto"/>
                      <w:lang w:val="en-US" w:eastAsia="zh-CN"/>
                    </w:rPr>
                  </w:pPr>
                  <w:r>
                    <w:rPr>
                      <w:rFonts w:hint="default" w:ascii="Times New Roman" w:hAnsi="Times New Roman" w:eastAsia="宋体" w:cs="Times New Roman"/>
                      <w:bCs/>
                      <w:color w:val="auto"/>
                      <w:sz w:val="21"/>
                      <w:szCs w:val="21"/>
                      <w:highlight w:val="none"/>
                      <w:u w:val="none" w:color="auto"/>
                    </w:rPr>
                    <w:t>60</w:t>
                  </w:r>
                  <w:r>
                    <w:rPr>
                      <w:rFonts w:hint="default" w:ascii="Times New Roman" w:hAnsi="Times New Roman" w:eastAsia="宋体" w:cs="Times New Roman"/>
                      <w:bCs/>
                      <w:color w:val="auto"/>
                      <w:sz w:val="21"/>
                      <w:szCs w:val="21"/>
                      <w:highlight w:val="none"/>
                      <w:u w:val="none" w:color="auto"/>
                      <w:lang w:val="en-US" w:eastAsia="zh-CN"/>
                    </w:rPr>
                    <w:t>/50</w:t>
                  </w:r>
                </w:p>
              </w:tc>
            </w:tr>
            <w:tr w14:paraId="5C1A3B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15" w:type="pct"/>
                  <w:vMerge w:val="continue"/>
                  <w:noWrap w:val="0"/>
                  <w:vAlign w:val="center"/>
                </w:tcPr>
                <w:p w14:paraId="0816D32B">
                  <w:pPr>
                    <w:keepNext w:val="0"/>
                    <w:keepLines w:val="0"/>
                    <w:pageBreakBefore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rPr>
                      <w:rFonts w:hint="default" w:ascii="Times New Roman" w:hAnsi="Times New Roman" w:eastAsia="宋体" w:cs="Times New Roman"/>
                      <w:color w:val="auto"/>
                      <w:sz w:val="21"/>
                      <w:szCs w:val="21"/>
                      <w:u w:val="none" w:color="auto"/>
                      <w:lang w:val="zh-CN"/>
                    </w:rPr>
                  </w:pPr>
                </w:p>
              </w:tc>
              <w:tc>
                <w:tcPr>
                  <w:tcW w:w="1082" w:type="pct"/>
                  <w:noWrap w:val="0"/>
                  <w:vAlign w:val="center"/>
                </w:tcPr>
                <w:p w14:paraId="721D57B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cs="Times New Roman"/>
                      <w:bCs/>
                      <w:color w:val="000000" w:themeColor="text1"/>
                      <w:sz w:val="21"/>
                      <w:szCs w:val="21"/>
                      <w:highlight w:val="none"/>
                      <w:u w:val="none"/>
                      <w:lang w:val="en-US" w:eastAsia="zh-CN"/>
                      <w14:textFill>
                        <w14:solidFill>
                          <w14:schemeClr w14:val="tx1"/>
                        </w14:solidFill>
                      </w14:textFill>
                    </w:rPr>
                    <w:t>生物质颗粒生产车间及成品仓库</w:t>
                  </w:r>
                </w:p>
              </w:tc>
              <w:tc>
                <w:tcPr>
                  <w:tcW w:w="649" w:type="pct"/>
                  <w:noWrap w:val="0"/>
                  <w:vAlign w:val="center"/>
                </w:tcPr>
                <w:p w14:paraId="1CB7F0CE">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000000"/>
                      <w:kern w:val="0"/>
                      <w:sz w:val="22"/>
                      <w:szCs w:val="22"/>
                      <w:u w:val="none"/>
                      <w:lang w:val="en-US" w:eastAsia="zh-CN" w:bidi="ar"/>
                    </w:rPr>
                    <w:t xml:space="preserve">47.6 </w:t>
                  </w:r>
                </w:p>
              </w:tc>
              <w:tc>
                <w:tcPr>
                  <w:tcW w:w="708" w:type="pct"/>
                  <w:noWrap w:val="0"/>
                  <w:vAlign w:val="center"/>
                </w:tcPr>
                <w:p w14:paraId="4185BF2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zh-CN"/>
                    </w:rPr>
                    <w:t>15</w:t>
                  </w:r>
                </w:p>
              </w:tc>
              <w:tc>
                <w:tcPr>
                  <w:tcW w:w="2655" w:type="dxa"/>
                  <w:noWrap w:val="0"/>
                  <w:vAlign w:val="center"/>
                </w:tcPr>
                <w:p w14:paraId="285CD55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2"/>
                      <w:szCs w:val="22"/>
                      <w:u w:val="none"/>
                      <w:lang w:val="en-US" w:eastAsia="zh-CN" w:bidi="ar"/>
                    </w:rPr>
                    <w:t xml:space="preserve">24.1 </w:t>
                  </w:r>
                </w:p>
              </w:tc>
              <w:tc>
                <w:tcPr>
                  <w:tcW w:w="633" w:type="pct"/>
                  <w:vMerge w:val="continue"/>
                  <w:noWrap w:val="0"/>
                  <w:vAlign w:val="center"/>
                </w:tcPr>
                <w:p w14:paraId="530DBBD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p>
              </w:tc>
              <w:tc>
                <w:tcPr>
                  <w:tcW w:w="633" w:type="pct"/>
                  <w:vMerge w:val="continue"/>
                  <w:noWrap w:val="0"/>
                  <w:vAlign w:val="center"/>
                </w:tcPr>
                <w:p w14:paraId="00AB58DB">
                  <w:pPr>
                    <w:pStyle w:val="67"/>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rPr>
                      <w:rFonts w:hint="default" w:ascii="Times New Roman" w:hAnsi="Times New Roman" w:eastAsia="宋体" w:cs="Times New Roman"/>
                      <w:bCs/>
                      <w:color w:val="auto"/>
                      <w:sz w:val="21"/>
                      <w:szCs w:val="21"/>
                      <w:highlight w:val="none"/>
                      <w:u w:val="none" w:color="auto"/>
                    </w:rPr>
                  </w:pPr>
                </w:p>
              </w:tc>
            </w:tr>
            <w:tr w14:paraId="42934E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15" w:type="pct"/>
                  <w:vMerge w:val="restart"/>
                  <w:noWrap w:val="0"/>
                  <w:vAlign w:val="center"/>
                </w:tcPr>
                <w:p w14:paraId="7A62BCA3">
                  <w:pPr>
                    <w:keepNext w:val="0"/>
                    <w:keepLines w:val="0"/>
                    <w:pageBreakBefore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西</w:t>
                  </w:r>
                </w:p>
                <w:p w14:paraId="0FFEEB86">
                  <w:pPr>
                    <w:keepNext w:val="0"/>
                    <w:keepLines w:val="0"/>
                    <w:pageBreakBefore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rPr>
                      <w:rFonts w:hint="default" w:ascii="Times New Roman" w:hAnsi="Times New Roman" w:eastAsia="宋体" w:cs="Times New Roman"/>
                      <w:color w:val="auto"/>
                      <w:sz w:val="21"/>
                      <w:szCs w:val="21"/>
                      <w:u w:val="none" w:color="auto"/>
                      <w:lang w:val="zh-CN"/>
                    </w:rPr>
                  </w:pPr>
                  <w:r>
                    <w:rPr>
                      <w:rFonts w:hint="default" w:ascii="Times New Roman" w:hAnsi="Times New Roman" w:eastAsia="宋体" w:cs="Times New Roman"/>
                      <w:color w:val="auto"/>
                      <w:sz w:val="21"/>
                      <w:szCs w:val="21"/>
                      <w:u w:val="none" w:color="auto"/>
                      <w:lang w:val="zh-CN"/>
                    </w:rPr>
                    <w:t>厂</w:t>
                  </w:r>
                </w:p>
                <w:p w14:paraId="6C553BE2">
                  <w:pPr>
                    <w:keepNext w:val="0"/>
                    <w:keepLines w:val="0"/>
                    <w:pageBreakBefore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rPr>
                      <w:rFonts w:hint="default" w:ascii="Times New Roman" w:hAnsi="Times New Roman" w:eastAsia="宋体" w:cs="Times New Roman"/>
                      <w:bCs/>
                      <w:color w:val="auto"/>
                      <w:sz w:val="21"/>
                      <w:szCs w:val="21"/>
                      <w:u w:val="none" w:color="auto"/>
                    </w:rPr>
                  </w:pPr>
                  <w:r>
                    <w:rPr>
                      <w:rFonts w:hint="default" w:ascii="Times New Roman" w:hAnsi="Times New Roman" w:eastAsia="宋体" w:cs="Times New Roman"/>
                      <w:color w:val="auto"/>
                      <w:sz w:val="21"/>
                      <w:szCs w:val="21"/>
                      <w:u w:val="none" w:color="auto"/>
                      <w:lang w:val="zh-CN"/>
                    </w:rPr>
                    <w:t>界</w:t>
                  </w:r>
                </w:p>
              </w:tc>
              <w:tc>
                <w:tcPr>
                  <w:tcW w:w="1082" w:type="pct"/>
                  <w:noWrap w:val="0"/>
                  <w:vAlign w:val="center"/>
                </w:tcPr>
                <w:p w14:paraId="343AD856">
                  <w:pPr>
                    <w:pStyle w:val="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2"/>
                      <w:sz w:val="21"/>
                      <w:szCs w:val="21"/>
                      <w:u w:val="none"/>
                      <w:vertAlign w:val="baseline"/>
                      <w:lang w:val="en-US" w:eastAsia="zh-CN" w:bidi="ar"/>
                    </w:rPr>
                  </w:pPr>
                  <w:r>
                    <w:rPr>
                      <w:rFonts w:hint="default" w:ascii="Times New Roman" w:hAnsi="Times New Roman" w:cs="Times New Roman"/>
                      <w:bCs/>
                      <w:color w:val="000000" w:themeColor="text1"/>
                      <w:sz w:val="21"/>
                      <w:szCs w:val="21"/>
                      <w:highlight w:val="none"/>
                      <w:u w:val="none"/>
                      <w:lang w:val="en-US" w:eastAsia="zh-CN"/>
                      <w14:textFill>
                        <w14:solidFill>
                          <w14:schemeClr w14:val="tx1"/>
                        </w14:solidFill>
                      </w14:textFill>
                    </w:rPr>
                    <w:t>生产车间</w:t>
                  </w:r>
                </w:p>
              </w:tc>
              <w:tc>
                <w:tcPr>
                  <w:tcW w:w="649" w:type="pct"/>
                  <w:noWrap w:val="0"/>
                  <w:vAlign w:val="center"/>
                </w:tcPr>
                <w:p w14:paraId="08600093">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000000"/>
                      <w:kern w:val="0"/>
                      <w:sz w:val="22"/>
                      <w:szCs w:val="22"/>
                      <w:u w:val="none"/>
                      <w:lang w:val="en-US" w:eastAsia="zh-CN" w:bidi="ar"/>
                    </w:rPr>
                    <w:t xml:space="preserve">45.7 </w:t>
                  </w:r>
                </w:p>
              </w:tc>
              <w:tc>
                <w:tcPr>
                  <w:tcW w:w="708" w:type="pct"/>
                  <w:noWrap w:val="0"/>
                  <w:vAlign w:val="center"/>
                </w:tcPr>
                <w:p w14:paraId="0F893EF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zh-CN"/>
                    </w:rPr>
                    <w:t>8</w:t>
                  </w:r>
                </w:p>
              </w:tc>
              <w:tc>
                <w:tcPr>
                  <w:tcW w:w="2655" w:type="dxa"/>
                  <w:noWrap w:val="0"/>
                  <w:vAlign w:val="center"/>
                </w:tcPr>
                <w:p w14:paraId="5ACE48B2">
                  <w:pPr>
                    <w:keepNext w:val="0"/>
                    <w:keepLines w:val="0"/>
                    <w:widowControl/>
                    <w:suppressLineNumbers w:val="0"/>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i w:val="0"/>
                      <w:iCs w:val="0"/>
                      <w:color w:val="000000"/>
                      <w:kern w:val="0"/>
                      <w:sz w:val="22"/>
                      <w:szCs w:val="22"/>
                      <w:u w:val="none"/>
                      <w:lang w:val="en-US" w:eastAsia="zh-CN" w:bidi="ar"/>
                    </w:rPr>
                    <w:t xml:space="preserve">27.6 </w:t>
                  </w:r>
                </w:p>
              </w:tc>
              <w:tc>
                <w:tcPr>
                  <w:tcW w:w="633" w:type="pct"/>
                  <w:vMerge w:val="restart"/>
                  <w:noWrap w:val="0"/>
                  <w:vAlign w:val="center"/>
                </w:tcPr>
                <w:p w14:paraId="32920B1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28.5</w:t>
                  </w:r>
                </w:p>
              </w:tc>
              <w:tc>
                <w:tcPr>
                  <w:tcW w:w="633" w:type="pct"/>
                  <w:vMerge w:val="restart"/>
                  <w:noWrap w:val="0"/>
                  <w:vAlign w:val="center"/>
                </w:tcPr>
                <w:p w14:paraId="4E43F5DC">
                  <w:pPr>
                    <w:pStyle w:val="67"/>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rPr>
                      <w:rFonts w:hint="default" w:ascii="Times New Roman" w:hAnsi="Times New Roman" w:eastAsia="宋体" w:cs="Times New Roman"/>
                      <w:bCs/>
                      <w:color w:val="auto"/>
                      <w:sz w:val="21"/>
                      <w:szCs w:val="21"/>
                      <w:u w:val="none" w:color="auto"/>
                      <w:lang w:val="en-US" w:eastAsia="zh-CN"/>
                    </w:rPr>
                  </w:pPr>
                  <w:r>
                    <w:rPr>
                      <w:rFonts w:hint="default" w:ascii="Times New Roman" w:hAnsi="Times New Roman" w:eastAsia="宋体" w:cs="Times New Roman"/>
                      <w:bCs/>
                      <w:color w:val="auto"/>
                      <w:sz w:val="21"/>
                      <w:szCs w:val="21"/>
                      <w:highlight w:val="none"/>
                      <w:u w:val="none" w:color="auto"/>
                    </w:rPr>
                    <w:t>60</w:t>
                  </w:r>
                  <w:r>
                    <w:rPr>
                      <w:rFonts w:hint="default" w:ascii="Times New Roman" w:hAnsi="Times New Roman" w:eastAsia="宋体" w:cs="Times New Roman"/>
                      <w:bCs/>
                      <w:color w:val="auto"/>
                      <w:sz w:val="21"/>
                      <w:szCs w:val="21"/>
                      <w:highlight w:val="none"/>
                      <w:u w:val="none" w:color="auto"/>
                      <w:lang w:val="en-US" w:eastAsia="zh-CN"/>
                    </w:rPr>
                    <w:t>/50</w:t>
                  </w:r>
                </w:p>
              </w:tc>
            </w:tr>
            <w:tr w14:paraId="340375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15" w:type="pct"/>
                  <w:vMerge w:val="continue"/>
                  <w:noWrap w:val="0"/>
                  <w:vAlign w:val="center"/>
                </w:tcPr>
                <w:p w14:paraId="04516AD3">
                  <w:pPr>
                    <w:keepNext w:val="0"/>
                    <w:keepLines w:val="0"/>
                    <w:pageBreakBefore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rPr>
                      <w:rFonts w:hint="default" w:ascii="Times New Roman" w:hAnsi="Times New Roman" w:eastAsia="宋体" w:cs="Times New Roman"/>
                      <w:color w:val="auto"/>
                      <w:sz w:val="21"/>
                      <w:szCs w:val="21"/>
                      <w:u w:val="none" w:color="auto"/>
                      <w:lang w:val="zh-CN"/>
                    </w:rPr>
                  </w:pPr>
                </w:p>
              </w:tc>
              <w:tc>
                <w:tcPr>
                  <w:tcW w:w="1082" w:type="pct"/>
                  <w:noWrap w:val="0"/>
                  <w:vAlign w:val="center"/>
                </w:tcPr>
                <w:p w14:paraId="7D1AD66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cs="Times New Roman"/>
                      <w:bCs/>
                      <w:color w:val="000000" w:themeColor="text1"/>
                      <w:sz w:val="21"/>
                      <w:szCs w:val="21"/>
                      <w:highlight w:val="none"/>
                      <w:u w:val="none"/>
                      <w:lang w:val="en-US" w:eastAsia="zh-CN"/>
                      <w14:textFill>
                        <w14:solidFill>
                          <w14:schemeClr w14:val="tx1"/>
                        </w14:solidFill>
                      </w14:textFill>
                    </w:rPr>
                    <w:t>生物质颗粒生产车间及成品仓库</w:t>
                  </w:r>
                </w:p>
              </w:tc>
              <w:tc>
                <w:tcPr>
                  <w:tcW w:w="649" w:type="pct"/>
                  <w:noWrap w:val="0"/>
                  <w:vAlign w:val="center"/>
                </w:tcPr>
                <w:p w14:paraId="754C9BDB">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000000"/>
                      <w:kern w:val="0"/>
                      <w:sz w:val="22"/>
                      <w:szCs w:val="22"/>
                      <w:u w:val="none"/>
                      <w:lang w:val="en-US" w:eastAsia="zh-CN" w:bidi="ar"/>
                    </w:rPr>
                    <w:t xml:space="preserve">61.3 </w:t>
                  </w:r>
                </w:p>
              </w:tc>
              <w:tc>
                <w:tcPr>
                  <w:tcW w:w="708" w:type="pct"/>
                  <w:noWrap w:val="0"/>
                  <w:vAlign w:val="center"/>
                </w:tcPr>
                <w:p w14:paraId="15E25B7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zh-CN"/>
                    </w:rPr>
                    <w:t>109</w:t>
                  </w:r>
                </w:p>
              </w:tc>
              <w:tc>
                <w:tcPr>
                  <w:tcW w:w="2655" w:type="dxa"/>
                  <w:noWrap w:val="0"/>
                  <w:vAlign w:val="center"/>
                </w:tcPr>
                <w:p w14:paraId="331B131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2"/>
                      <w:szCs w:val="22"/>
                      <w:u w:val="none"/>
                      <w:lang w:val="en-US" w:eastAsia="zh-CN" w:bidi="ar"/>
                    </w:rPr>
                    <w:t xml:space="preserve">20.6 </w:t>
                  </w:r>
                </w:p>
              </w:tc>
              <w:tc>
                <w:tcPr>
                  <w:tcW w:w="633" w:type="pct"/>
                  <w:vMerge w:val="continue"/>
                  <w:noWrap w:val="0"/>
                  <w:vAlign w:val="center"/>
                </w:tcPr>
                <w:p w14:paraId="30551E8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p>
              </w:tc>
              <w:tc>
                <w:tcPr>
                  <w:tcW w:w="633" w:type="pct"/>
                  <w:vMerge w:val="continue"/>
                  <w:noWrap w:val="0"/>
                  <w:vAlign w:val="center"/>
                </w:tcPr>
                <w:p w14:paraId="74C887D1">
                  <w:pPr>
                    <w:pStyle w:val="67"/>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rPr>
                      <w:rFonts w:hint="default" w:ascii="Times New Roman" w:hAnsi="Times New Roman" w:eastAsia="宋体" w:cs="Times New Roman"/>
                      <w:bCs/>
                      <w:color w:val="auto"/>
                      <w:sz w:val="21"/>
                      <w:szCs w:val="21"/>
                      <w:highlight w:val="none"/>
                      <w:u w:val="none" w:color="auto"/>
                    </w:rPr>
                  </w:pPr>
                </w:p>
              </w:tc>
            </w:tr>
            <w:tr w14:paraId="60E828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15" w:type="pct"/>
                  <w:vMerge w:val="restart"/>
                  <w:noWrap w:val="0"/>
                  <w:vAlign w:val="center"/>
                </w:tcPr>
                <w:p w14:paraId="40A153FB">
                  <w:pPr>
                    <w:keepNext w:val="0"/>
                    <w:keepLines w:val="0"/>
                    <w:pageBreakBefore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北</w:t>
                  </w:r>
                </w:p>
                <w:p w14:paraId="66E64A97">
                  <w:pPr>
                    <w:keepNext w:val="0"/>
                    <w:keepLines w:val="0"/>
                    <w:pageBreakBefore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rPr>
                      <w:rFonts w:hint="default" w:ascii="Times New Roman" w:hAnsi="Times New Roman" w:eastAsia="宋体" w:cs="Times New Roman"/>
                      <w:color w:val="auto"/>
                      <w:sz w:val="21"/>
                      <w:szCs w:val="21"/>
                      <w:u w:val="none" w:color="auto"/>
                      <w:lang w:val="zh-CN"/>
                    </w:rPr>
                  </w:pPr>
                  <w:r>
                    <w:rPr>
                      <w:rFonts w:hint="default" w:ascii="Times New Roman" w:hAnsi="Times New Roman" w:eastAsia="宋体" w:cs="Times New Roman"/>
                      <w:color w:val="auto"/>
                      <w:sz w:val="21"/>
                      <w:szCs w:val="21"/>
                      <w:u w:val="none" w:color="auto"/>
                      <w:lang w:val="zh-CN"/>
                    </w:rPr>
                    <w:t>厂</w:t>
                  </w:r>
                </w:p>
                <w:p w14:paraId="319FFA46">
                  <w:pPr>
                    <w:keepNext w:val="0"/>
                    <w:keepLines w:val="0"/>
                    <w:pageBreakBefore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rPr>
                      <w:rFonts w:hint="default" w:ascii="Times New Roman" w:hAnsi="Times New Roman" w:eastAsia="宋体" w:cs="Times New Roman"/>
                      <w:bCs/>
                      <w:color w:val="auto"/>
                      <w:sz w:val="21"/>
                      <w:szCs w:val="21"/>
                      <w:u w:val="none" w:color="auto"/>
                    </w:rPr>
                  </w:pPr>
                  <w:r>
                    <w:rPr>
                      <w:rFonts w:hint="default" w:ascii="Times New Roman" w:hAnsi="Times New Roman" w:eastAsia="宋体" w:cs="Times New Roman"/>
                      <w:color w:val="auto"/>
                      <w:sz w:val="21"/>
                      <w:szCs w:val="21"/>
                      <w:u w:val="none" w:color="auto"/>
                      <w:lang w:val="zh-CN"/>
                    </w:rPr>
                    <w:t>界</w:t>
                  </w:r>
                </w:p>
              </w:tc>
              <w:tc>
                <w:tcPr>
                  <w:tcW w:w="1082" w:type="pct"/>
                  <w:noWrap w:val="0"/>
                  <w:vAlign w:val="center"/>
                </w:tcPr>
                <w:p w14:paraId="257A4B03">
                  <w:pPr>
                    <w:pStyle w:val="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2"/>
                      <w:sz w:val="21"/>
                      <w:szCs w:val="21"/>
                      <w:u w:val="none"/>
                      <w:vertAlign w:val="baseline"/>
                      <w:lang w:val="en-US" w:eastAsia="zh-CN" w:bidi="ar"/>
                    </w:rPr>
                  </w:pPr>
                  <w:r>
                    <w:rPr>
                      <w:rFonts w:hint="default" w:ascii="Times New Roman" w:hAnsi="Times New Roman" w:cs="Times New Roman"/>
                      <w:bCs/>
                      <w:color w:val="000000" w:themeColor="text1"/>
                      <w:sz w:val="21"/>
                      <w:szCs w:val="21"/>
                      <w:highlight w:val="none"/>
                      <w:u w:val="none"/>
                      <w:lang w:val="en-US" w:eastAsia="zh-CN"/>
                      <w14:textFill>
                        <w14:solidFill>
                          <w14:schemeClr w14:val="tx1"/>
                        </w14:solidFill>
                      </w14:textFill>
                    </w:rPr>
                    <w:t>生产车间</w:t>
                  </w:r>
                </w:p>
              </w:tc>
              <w:tc>
                <w:tcPr>
                  <w:tcW w:w="649" w:type="pct"/>
                  <w:noWrap w:val="0"/>
                  <w:vAlign w:val="center"/>
                </w:tcPr>
                <w:p w14:paraId="2DED83EE">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000000"/>
                      <w:kern w:val="0"/>
                      <w:sz w:val="22"/>
                      <w:szCs w:val="22"/>
                      <w:u w:val="none"/>
                      <w:lang w:val="en-US" w:eastAsia="zh-CN" w:bidi="ar"/>
                    </w:rPr>
                    <w:t xml:space="preserve">60.3 </w:t>
                  </w:r>
                </w:p>
              </w:tc>
              <w:tc>
                <w:tcPr>
                  <w:tcW w:w="708" w:type="pct"/>
                  <w:noWrap w:val="0"/>
                  <w:vAlign w:val="center"/>
                </w:tcPr>
                <w:p w14:paraId="6F5FFE2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zh-CN"/>
                    </w:rPr>
                    <w:t>5</w:t>
                  </w:r>
                </w:p>
              </w:tc>
              <w:tc>
                <w:tcPr>
                  <w:tcW w:w="2655" w:type="dxa"/>
                  <w:noWrap w:val="0"/>
                  <w:vAlign w:val="center"/>
                </w:tcPr>
                <w:p w14:paraId="01C57953">
                  <w:pPr>
                    <w:keepNext w:val="0"/>
                    <w:keepLines w:val="0"/>
                    <w:widowControl/>
                    <w:suppressLineNumbers w:val="0"/>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i w:val="0"/>
                      <w:iCs w:val="0"/>
                      <w:color w:val="000000"/>
                      <w:kern w:val="0"/>
                      <w:sz w:val="22"/>
                      <w:szCs w:val="22"/>
                      <w:u w:val="none"/>
                      <w:lang w:val="en-US" w:eastAsia="zh-CN" w:bidi="ar"/>
                    </w:rPr>
                    <w:t xml:space="preserve">46.3 </w:t>
                  </w:r>
                </w:p>
              </w:tc>
              <w:tc>
                <w:tcPr>
                  <w:tcW w:w="633" w:type="pct"/>
                  <w:vMerge w:val="restart"/>
                  <w:noWrap w:val="0"/>
                  <w:vAlign w:val="center"/>
                </w:tcPr>
                <w:p w14:paraId="005402D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46.3</w:t>
                  </w:r>
                </w:p>
              </w:tc>
              <w:tc>
                <w:tcPr>
                  <w:tcW w:w="633" w:type="pct"/>
                  <w:vMerge w:val="restart"/>
                  <w:noWrap w:val="0"/>
                  <w:vAlign w:val="center"/>
                </w:tcPr>
                <w:p w14:paraId="4CD22E4F">
                  <w:pPr>
                    <w:pStyle w:val="67"/>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rPr>
                      <w:rFonts w:hint="default" w:ascii="Times New Roman" w:hAnsi="Times New Roman" w:eastAsia="宋体" w:cs="Times New Roman"/>
                      <w:bCs/>
                      <w:color w:val="auto"/>
                      <w:sz w:val="21"/>
                      <w:szCs w:val="21"/>
                      <w:u w:val="none" w:color="auto"/>
                      <w:lang w:val="en-US" w:eastAsia="zh-CN"/>
                    </w:rPr>
                  </w:pPr>
                  <w:r>
                    <w:rPr>
                      <w:rFonts w:hint="default" w:ascii="Times New Roman" w:hAnsi="Times New Roman" w:eastAsia="宋体" w:cs="Times New Roman"/>
                      <w:bCs/>
                      <w:color w:val="auto"/>
                      <w:sz w:val="21"/>
                      <w:szCs w:val="21"/>
                      <w:highlight w:val="none"/>
                      <w:u w:val="none" w:color="auto"/>
                    </w:rPr>
                    <w:t>60</w:t>
                  </w:r>
                  <w:r>
                    <w:rPr>
                      <w:rFonts w:hint="default" w:ascii="Times New Roman" w:hAnsi="Times New Roman" w:eastAsia="宋体" w:cs="Times New Roman"/>
                      <w:bCs/>
                      <w:color w:val="auto"/>
                      <w:sz w:val="21"/>
                      <w:szCs w:val="21"/>
                      <w:highlight w:val="none"/>
                      <w:u w:val="none" w:color="auto"/>
                      <w:lang w:val="en-US" w:eastAsia="zh-CN"/>
                    </w:rPr>
                    <w:t>/50</w:t>
                  </w:r>
                </w:p>
              </w:tc>
            </w:tr>
            <w:tr w14:paraId="1D6623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15" w:type="pct"/>
                  <w:vMerge w:val="continue"/>
                  <w:noWrap w:val="0"/>
                  <w:vAlign w:val="center"/>
                </w:tcPr>
                <w:p w14:paraId="7EBFFDD8">
                  <w:pPr>
                    <w:keepNext w:val="0"/>
                    <w:keepLines w:val="0"/>
                    <w:pageBreakBefore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rPr>
                      <w:rFonts w:hint="default" w:ascii="Times New Roman" w:hAnsi="Times New Roman" w:eastAsia="宋体" w:cs="Times New Roman"/>
                      <w:color w:val="auto"/>
                      <w:sz w:val="21"/>
                      <w:szCs w:val="21"/>
                      <w:u w:val="none" w:color="auto"/>
                      <w:lang w:val="zh-CN"/>
                    </w:rPr>
                  </w:pPr>
                </w:p>
              </w:tc>
              <w:tc>
                <w:tcPr>
                  <w:tcW w:w="1082" w:type="pct"/>
                  <w:noWrap w:val="0"/>
                  <w:vAlign w:val="center"/>
                </w:tcPr>
                <w:p w14:paraId="27E61EB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cs="Times New Roman"/>
                      <w:bCs/>
                      <w:color w:val="000000" w:themeColor="text1"/>
                      <w:sz w:val="21"/>
                      <w:szCs w:val="21"/>
                      <w:highlight w:val="none"/>
                      <w:u w:val="none"/>
                      <w:lang w:val="en-US" w:eastAsia="zh-CN"/>
                      <w14:textFill>
                        <w14:solidFill>
                          <w14:schemeClr w14:val="tx1"/>
                        </w14:solidFill>
                      </w14:textFill>
                    </w:rPr>
                    <w:t>生物质颗粒生产车间及成品仓库</w:t>
                  </w:r>
                </w:p>
              </w:tc>
              <w:tc>
                <w:tcPr>
                  <w:tcW w:w="649" w:type="pct"/>
                  <w:noWrap w:val="0"/>
                  <w:vAlign w:val="center"/>
                </w:tcPr>
                <w:p w14:paraId="2BB67ADA">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000000"/>
                      <w:kern w:val="0"/>
                      <w:sz w:val="22"/>
                      <w:szCs w:val="22"/>
                      <w:u w:val="none"/>
                      <w:lang w:val="en-US" w:eastAsia="zh-CN" w:bidi="ar"/>
                    </w:rPr>
                    <w:t xml:space="preserve">42.1 </w:t>
                  </w:r>
                </w:p>
              </w:tc>
              <w:tc>
                <w:tcPr>
                  <w:tcW w:w="708" w:type="pct"/>
                  <w:noWrap w:val="0"/>
                  <w:vAlign w:val="center"/>
                </w:tcPr>
                <w:p w14:paraId="2B32854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zh-CN"/>
                    </w:rPr>
                    <w:t>28</w:t>
                  </w:r>
                </w:p>
              </w:tc>
              <w:tc>
                <w:tcPr>
                  <w:tcW w:w="2655" w:type="dxa"/>
                  <w:noWrap w:val="0"/>
                  <w:vAlign w:val="center"/>
                </w:tcPr>
                <w:p w14:paraId="1751DE0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2"/>
                      <w:szCs w:val="22"/>
                      <w:u w:val="none"/>
                      <w:lang w:val="en-US" w:eastAsia="zh-CN" w:bidi="ar"/>
                    </w:rPr>
                    <w:t xml:space="preserve">13.2 </w:t>
                  </w:r>
                </w:p>
              </w:tc>
              <w:tc>
                <w:tcPr>
                  <w:tcW w:w="633" w:type="pct"/>
                  <w:vMerge w:val="continue"/>
                  <w:noWrap w:val="0"/>
                  <w:vAlign w:val="center"/>
                </w:tcPr>
                <w:p w14:paraId="6A5C3C7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p>
              </w:tc>
              <w:tc>
                <w:tcPr>
                  <w:tcW w:w="633" w:type="pct"/>
                  <w:vMerge w:val="continue"/>
                  <w:noWrap w:val="0"/>
                  <w:vAlign w:val="center"/>
                </w:tcPr>
                <w:p w14:paraId="61C177C3">
                  <w:pPr>
                    <w:pStyle w:val="67"/>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rPr>
                      <w:rFonts w:hint="default" w:ascii="Times New Roman" w:hAnsi="Times New Roman" w:eastAsia="宋体" w:cs="Times New Roman"/>
                      <w:bCs/>
                      <w:color w:val="auto"/>
                      <w:sz w:val="21"/>
                      <w:szCs w:val="21"/>
                      <w:highlight w:val="none"/>
                      <w:u w:val="none" w:color="auto"/>
                    </w:rPr>
                  </w:pPr>
                </w:p>
              </w:tc>
            </w:tr>
          </w:tbl>
          <w:p w14:paraId="27B2BE5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color w:val="auto"/>
                <w:sz w:val="24"/>
                <w:szCs w:val="24"/>
              </w:rPr>
            </w:pPr>
            <w:r>
              <w:rPr>
                <w:rFonts w:hint="default"/>
                <w:color w:val="auto"/>
                <w:sz w:val="24"/>
                <w:szCs w:val="24"/>
              </w:rPr>
              <w:t>由</w:t>
            </w:r>
            <w:r>
              <w:rPr>
                <w:rFonts w:hint="default"/>
                <w:color w:val="auto"/>
                <w:sz w:val="24"/>
                <w:szCs w:val="24"/>
                <w:lang w:val="en-US" w:eastAsia="zh-CN"/>
              </w:rPr>
              <w:t>上表</w:t>
            </w:r>
            <w:r>
              <w:rPr>
                <w:rFonts w:hint="default"/>
                <w:color w:val="auto"/>
                <w:sz w:val="24"/>
                <w:szCs w:val="24"/>
              </w:rPr>
              <w:t>预测结果可知，本项目营运期生产噪声对东、</w:t>
            </w:r>
            <w:r>
              <w:rPr>
                <w:rFonts w:hint="default"/>
                <w:color w:val="auto"/>
                <w:sz w:val="24"/>
                <w:szCs w:val="24"/>
                <w:lang w:eastAsia="zh-CN"/>
              </w:rPr>
              <w:t>南、</w:t>
            </w:r>
            <w:r>
              <w:rPr>
                <w:rFonts w:hint="default"/>
                <w:color w:val="auto"/>
                <w:sz w:val="24"/>
                <w:szCs w:val="24"/>
              </w:rPr>
              <w:t>西、北厂界的</w:t>
            </w:r>
            <w:r>
              <w:rPr>
                <w:rFonts w:hint="eastAsia"/>
                <w:color w:val="auto"/>
                <w:sz w:val="24"/>
                <w:szCs w:val="24"/>
                <w:lang w:val="en-US" w:eastAsia="zh-CN"/>
              </w:rPr>
              <w:t>预测</w:t>
            </w:r>
            <w:r>
              <w:rPr>
                <w:rFonts w:hint="default"/>
                <w:color w:val="auto"/>
                <w:sz w:val="24"/>
                <w:szCs w:val="24"/>
              </w:rPr>
              <w:t>值</w:t>
            </w:r>
            <w:r>
              <w:rPr>
                <w:rFonts w:hint="default" w:ascii="Times New Roman" w:hAnsi="Times New Roman" w:eastAsia="宋体" w:cs="Times New Roman"/>
                <w:color w:val="auto"/>
                <w:kern w:val="0"/>
                <w:sz w:val="24"/>
                <w:szCs w:val="24"/>
                <w:highlight w:val="none"/>
                <w:u w:val="none" w:color="auto"/>
              </w:rPr>
              <w:t>在昼</w:t>
            </w:r>
            <w:r>
              <w:rPr>
                <w:rFonts w:hint="default" w:ascii="Times New Roman" w:hAnsi="Times New Roman" w:eastAsia="宋体" w:cs="Times New Roman"/>
                <w:color w:val="auto"/>
                <w:kern w:val="0"/>
                <w:sz w:val="24"/>
                <w:szCs w:val="24"/>
                <w:highlight w:val="none"/>
                <w:u w:val="none" w:color="auto"/>
                <w:lang w:val="en-US" w:eastAsia="zh-CN"/>
              </w:rPr>
              <w:t>夜</w:t>
            </w:r>
            <w:r>
              <w:rPr>
                <w:rFonts w:hint="default" w:ascii="Times New Roman" w:hAnsi="Times New Roman" w:eastAsia="宋体" w:cs="Times New Roman"/>
                <w:color w:val="auto"/>
                <w:kern w:val="0"/>
                <w:sz w:val="24"/>
                <w:szCs w:val="24"/>
                <w:highlight w:val="none"/>
                <w:u w:val="none" w:color="auto"/>
              </w:rPr>
              <w:t>间均能够符合</w:t>
            </w:r>
            <w:r>
              <w:rPr>
                <w:rFonts w:hint="default"/>
                <w:color w:val="auto"/>
                <w:sz w:val="24"/>
                <w:szCs w:val="24"/>
              </w:rPr>
              <w:t>《工业企业厂界环境噪声排放标准》（GB12348-2008）中2类标准要求。因此项目产生的噪声对周围环境的影响在可接受范围内。</w:t>
            </w:r>
          </w:p>
          <w:p w14:paraId="428AF30D">
            <w:pPr>
              <w:keepNext w:val="0"/>
              <w:keepLines w:val="0"/>
              <w:pageBreakBefore w:val="0"/>
              <w:widowControl w:val="0"/>
              <w:suppressLineNumbers w:val="0"/>
              <w:tabs>
                <w:tab w:val="left" w:pos="1081"/>
              </w:tabs>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eastAsia"/>
                <w:color w:val="auto"/>
                <w:kern w:val="0"/>
                <w:sz w:val="24"/>
                <w:szCs w:val="21"/>
                <w:u w:val="none" w:color="auto"/>
              </w:rPr>
            </w:pPr>
            <w:r>
              <w:rPr>
                <w:rFonts w:hint="eastAsia"/>
                <w:color w:val="auto"/>
                <w:kern w:val="0"/>
                <w:sz w:val="24"/>
                <w:szCs w:val="21"/>
                <w:u w:val="none" w:color="auto"/>
              </w:rPr>
              <w:t>3.4声环境监测计划</w:t>
            </w:r>
          </w:p>
          <w:p w14:paraId="7ABF9241">
            <w:pPr>
              <w:pStyle w:val="11"/>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color w:val="auto"/>
                <w:sz w:val="24"/>
                <w:szCs w:val="24"/>
                <w:u w:val="none" w:color="auto"/>
              </w:rPr>
            </w:pPr>
            <w:r>
              <w:rPr>
                <w:rFonts w:hint="eastAsia"/>
                <w:color w:val="auto"/>
                <w:sz w:val="24"/>
                <w:szCs w:val="24"/>
                <w:u w:val="none" w:color="auto"/>
              </w:rPr>
              <w:t>根据</w:t>
            </w:r>
            <w:r>
              <w:rPr>
                <w:rFonts w:hint="default" w:ascii="Times New Roman" w:hAnsi="Times New Roman" w:eastAsia="宋体" w:cs="Times New Roman"/>
                <w:bCs/>
                <w:color w:val="auto"/>
                <w:sz w:val="24"/>
                <w:szCs w:val="24"/>
                <w:highlight w:val="none"/>
                <w:u w:val="none" w:color="auto"/>
              </w:rPr>
              <w:t>《排污单位自行监测技术指南 总则》（ HJ819-2017）</w:t>
            </w:r>
            <w:r>
              <w:rPr>
                <w:rFonts w:hint="eastAsia" w:ascii="Times New Roman" w:hAnsi="Times New Roman" w:eastAsia="宋体" w:cs="Times New Roman"/>
                <w:bCs/>
                <w:color w:val="auto"/>
                <w:sz w:val="24"/>
                <w:szCs w:val="24"/>
                <w:highlight w:val="none"/>
                <w:u w:val="none" w:color="auto"/>
                <w:lang w:eastAsia="zh-CN"/>
              </w:rPr>
              <w:t>、</w:t>
            </w:r>
            <w:r>
              <w:rPr>
                <w:rFonts w:hint="eastAsia" w:cs="Times New Roman"/>
                <w:bCs/>
                <w:color w:val="auto"/>
                <w:sz w:val="24"/>
                <w:szCs w:val="24"/>
                <w:highlight w:val="none"/>
                <w:u w:val="none" w:color="auto"/>
                <w:lang w:eastAsia="zh-CN"/>
              </w:rPr>
              <w:t>《</w:t>
            </w:r>
            <w:r>
              <w:rPr>
                <w:rFonts w:hint="default" w:ascii="Times New Roman" w:hAnsi="Times New Roman" w:eastAsia="宋体" w:cs="Times New Roman"/>
                <w:color w:val="auto"/>
                <w:sz w:val="24"/>
                <w:szCs w:val="24"/>
                <w:highlight w:val="none"/>
                <w:u w:val="none" w:color="auto"/>
              </w:rPr>
              <w:t>排污许可证申请与核发技术规范 工业噪声</w:t>
            </w:r>
            <w:r>
              <w:rPr>
                <w:rFonts w:hint="eastAsia"/>
                <w:lang w:eastAsia="zh-CN"/>
              </w:rPr>
              <w:t>》</w:t>
            </w:r>
            <w:r>
              <w:rPr>
                <w:rFonts w:hint="default" w:ascii="Times New Roman" w:hAnsi="Times New Roman" w:eastAsia="宋体" w:cs="Times New Roman"/>
                <w:color w:val="auto"/>
                <w:sz w:val="24"/>
                <w:szCs w:val="24"/>
                <w:highlight w:val="none"/>
                <w:u w:val="none" w:color="auto"/>
              </w:rPr>
              <w:t>（HJ1301-2023）</w:t>
            </w:r>
            <w:r>
              <w:rPr>
                <w:rFonts w:hint="eastAsia"/>
                <w:color w:val="auto"/>
                <w:sz w:val="24"/>
                <w:szCs w:val="24"/>
                <w:u w:val="none" w:color="auto"/>
              </w:rPr>
              <w:t>，项目</w:t>
            </w:r>
            <w:r>
              <w:rPr>
                <w:rFonts w:hint="eastAsia"/>
                <w:color w:val="auto"/>
                <w:sz w:val="24"/>
                <w:szCs w:val="24"/>
                <w:u w:val="none" w:color="auto"/>
                <w:lang w:val="en-US" w:eastAsia="zh-CN"/>
              </w:rPr>
              <w:t>噪声</w:t>
            </w:r>
            <w:r>
              <w:rPr>
                <w:rFonts w:hint="eastAsia"/>
                <w:color w:val="auto"/>
                <w:sz w:val="24"/>
                <w:szCs w:val="24"/>
                <w:u w:val="none" w:color="auto"/>
              </w:rPr>
              <w:t>自行监测计划如下：</w:t>
            </w:r>
          </w:p>
          <w:p w14:paraId="6C0A4AB9">
            <w:pPr>
              <w:keepNext w:val="0"/>
              <w:keepLines w:val="0"/>
              <w:suppressLineNumbers w:val="0"/>
              <w:adjustRightInd w:val="0"/>
              <w:snapToGrid w:val="0"/>
              <w:spacing w:before="0" w:beforeAutospacing="0" w:after="0" w:afterAutospacing="0" w:line="360" w:lineRule="auto"/>
              <w:ind w:left="0" w:right="0" w:firstLine="361" w:firstLineChars="150"/>
              <w:jc w:val="center"/>
              <w:rPr>
                <w:rFonts w:hint="default" w:ascii="Times New Roman" w:hAnsi="Times New Roman" w:eastAsia="宋体" w:cs="Times New Roman"/>
                <w:b/>
                <w:bCs/>
                <w:color w:val="000000"/>
                <w:sz w:val="24"/>
                <w:u w:val="none" w:color="auto"/>
              </w:rPr>
            </w:pPr>
            <w:r>
              <w:rPr>
                <w:rFonts w:hint="default" w:ascii="Times New Roman" w:hAnsi="Times New Roman" w:eastAsia="宋体" w:cs="Times New Roman"/>
                <w:b/>
                <w:bCs/>
                <w:color w:val="000000"/>
                <w:sz w:val="24"/>
                <w:u w:val="none" w:color="auto"/>
              </w:rPr>
              <w:t>表4-</w:t>
            </w:r>
            <w:r>
              <w:rPr>
                <w:rFonts w:hint="eastAsia" w:ascii="Times New Roman" w:hAnsi="Times New Roman" w:eastAsia="宋体" w:cs="Times New Roman"/>
                <w:b/>
                <w:bCs/>
                <w:color w:val="000000"/>
                <w:sz w:val="24"/>
                <w:u w:val="none" w:color="auto"/>
                <w:lang w:val="en-US" w:eastAsia="zh-CN"/>
              </w:rPr>
              <w:t>21</w:t>
            </w:r>
            <w:r>
              <w:rPr>
                <w:rFonts w:hint="default" w:ascii="Times New Roman" w:hAnsi="Times New Roman" w:eastAsia="宋体" w:cs="Times New Roman"/>
                <w:b/>
                <w:bCs/>
                <w:color w:val="000000"/>
                <w:sz w:val="24"/>
                <w:u w:val="none" w:color="auto"/>
              </w:rPr>
              <w:t xml:space="preserve"> </w:t>
            </w:r>
            <w:r>
              <w:rPr>
                <w:rFonts w:hint="eastAsia" w:ascii="Times New Roman" w:hAnsi="Times New Roman" w:eastAsia="宋体" w:cs="Times New Roman"/>
                <w:b/>
                <w:bCs/>
                <w:color w:val="000000"/>
                <w:sz w:val="24"/>
                <w:u w:val="none" w:color="auto"/>
                <w:lang w:val="en-US" w:eastAsia="zh-CN"/>
              </w:rPr>
              <w:t xml:space="preserve"> </w:t>
            </w:r>
            <w:r>
              <w:rPr>
                <w:rFonts w:hint="default" w:ascii="Times New Roman" w:hAnsi="Times New Roman" w:eastAsia="宋体" w:cs="Times New Roman"/>
                <w:b/>
                <w:bCs/>
                <w:color w:val="000000"/>
                <w:sz w:val="24"/>
                <w:u w:val="none" w:color="auto"/>
              </w:rPr>
              <w:t>声环境监测计划一览表</w:t>
            </w:r>
          </w:p>
          <w:tbl>
            <w:tblPr>
              <w:tblStyle w:val="29"/>
              <w:tblW w:w="4998" w:type="pct"/>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autofit"/>
              <w:tblCellMar>
                <w:top w:w="0" w:type="dxa"/>
                <w:left w:w="108" w:type="dxa"/>
                <w:bottom w:w="0" w:type="dxa"/>
                <w:right w:w="108" w:type="dxa"/>
              </w:tblCellMar>
            </w:tblPr>
            <w:tblGrid>
              <w:gridCol w:w="1171"/>
              <w:gridCol w:w="2981"/>
              <w:gridCol w:w="1834"/>
              <w:gridCol w:w="1370"/>
              <w:gridCol w:w="1669"/>
              <w:gridCol w:w="4558"/>
            </w:tblGrid>
            <w:tr w14:paraId="5C8F42BA">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431" w:type="pct"/>
                  <w:noWrap w:val="0"/>
                  <w:vAlign w:val="center"/>
                </w:tcPr>
                <w:p w14:paraId="4151AD94">
                  <w:pPr>
                    <w:keepNext w:val="0"/>
                    <w:keepLines w:val="0"/>
                    <w:pageBreakBefore w:val="0"/>
                    <w:widowControl w:val="0"/>
                    <w:suppressLineNumbers w:val="0"/>
                    <w:kinsoku/>
                    <w:wordWrap/>
                    <w:overflowPunct/>
                    <w:topLinePunct w:val="0"/>
                    <w:autoSpaceDE/>
                    <w:autoSpaceDN/>
                    <w:bidi w:val="0"/>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000000"/>
                      <w:sz w:val="21"/>
                      <w:szCs w:val="21"/>
                      <w:u w:val="none" w:color="auto"/>
                    </w:rPr>
                  </w:pPr>
                  <w:r>
                    <w:rPr>
                      <w:rFonts w:hint="default" w:ascii="Times New Roman" w:hAnsi="Times New Roman" w:eastAsia="宋体" w:cs="Times New Roman"/>
                      <w:color w:val="000000"/>
                      <w:sz w:val="21"/>
                      <w:szCs w:val="21"/>
                      <w:u w:val="none" w:color="auto"/>
                    </w:rPr>
                    <w:t>序号</w:t>
                  </w:r>
                </w:p>
              </w:tc>
              <w:tc>
                <w:tcPr>
                  <w:tcW w:w="1097" w:type="pct"/>
                  <w:noWrap w:val="0"/>
                  <w:vAlign w:val="center"/>
                </w:tcPr>
                <w:p w14:paraId="40EB5936">
                  <w:pPr>
                    <w:keepNext w:val="0"/>
                    <w:keepLines w:val="0"/>
                    <w:pageBreakBefore w:val="0"/>
                    <w:widowControl w:val="0"/>
                    <w:suppressLineNumbers w:val="0"/>
                    <w:kinsoku/>
                    <w:wordWrap/>
                    <w:overflowPunct/>
                    <w:topLinePunct w:val="0"/>
                    <w:autoSpaceDE/>
                    <w:autoSpaceDN/>
                    <w:bidi w:val="0"/>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000000"/>
                      <w:sz w:val="21"/>
                      <w:szCs w:val="21"/>
                      <w:u w:val="none" w:color="auto"/>
                    </w:rPr>
                  </w:pPr>
                  <w:r>
                    <w:rPr>
                      <w:rFonts w:hint="default" w:ascii="Times New Roman" w:hAnsi="Times New Roman" w:eastAsia="宋体" w:cs="Times New Roman"/>
                      <w:color w:val="000000"/>
                      <w:sz w:val="21"/>
                      <w:szCs w:val="21"/>
                      <w:u w:val="none" w:color="auto"/>
                    </w:rPr>
                    <w:t>监测点位</w:t>
                  </w:r>
                </w:p>
              </w:tc>
              <w:tc>
                <w:tcPr>
                  <w:tcW w:w="675" w:type="pct"/>
                  <w:noWrap w:val="0"/>
                  <w:vAlign w:val="center"/>
                </w:tcPr>
                <w:p w14:paraId="5C2D1A67">
                  <w:pPr>
                    <w:keepNext w:val="0"/>
                    <w:keepLines w:val="0"/>
                    <w:pageBreakBefore w:val="0"/>
                    <w:widowControl w:val="0"/>
                    <w:suppressLineNumbers w:val="0"/>
                    <w:kinsoku/>
                    <w:wordWrap/>
                    <w:overflowPunct/>
                    <w:topLinePunct w:val="0"/>
                    <w:autoSpaceDE/>
                    <w:autoSpaceDN/>
                    <w:bidi w:val="0"/>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000000"/>
                      <w:sz w:val="21"/>
                      <w:szCs w:val="21"/>
                      <w:u w:val="none" w:color="auto"/>
                    </w:rPr>
                  </w:pPr>
                  <w:r>
                    <w:rPr>
                      <w:rFonts w:hint="default" w:ascii="Times New Roman" w:hAnsi="Times New Roman" w:eastAsia="宋体" w:cs="Times New Roman"/>
                      <w:color w:val="000000"/>
                      <w:sz w:val="21"/>
                      <w:szCs w:val="21"/>
                      <w:u w:val="none" w:color="auto"/>
                    </w:rPr>
                    <w:t>监测项目</w:t>
                  </w:r>
                </w:p>
              </w:tc>
              <w:tc>
                <w:tcPr>
                  <w:tcW w:w="504" w:type="pct"/>
                  <w:noWrap w:val="0"/>
                  <w:vAlign w:val="center"/>
                </w:tcPr>
                <w:p w14:paraId="061B81EA">
                  <w:pPr>
                    <w:keepNext w:val="0"/>
                    <w:keepLines w:val="0"/>
                    <w:pageBreakBefore w:val="0"/>
                    <w:widowControl w:val="0"/>
                    <w:suppressLineNumbers w:val="0"/>
                    <w:kinsoku/>
                    <w:wordWrap/>
                    <w:overflowPunct/>
                    <w:topLinePunct w:val="0"/>
                    <w:autoSpaceDE/>
                    <w:autoSpaceDN/>
                    <w:bidi w:val="0"/>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000000"/>
                      <w:sz w:val="21"/>
                      <w:szCs w:val="21"/>
                      <w:u w:val="none" w:color="auto"/>
                    </w:rPr>
                  </w:pPr>
                  <w:r>
                    <w:rPr>
                      <w:rFonts w:hint="default" w:ascii="Times New Roman" w:hAnsi="Times New Roman" w:eastAsia="宋体" w:cs="Times New Roman"/>
                      <w:color w:val="000000"/>
                      <w:sz w:val="21"/>
                      <w:szCs w:val="21"/>
                      <w:u w:val="none" w:color="auto"/>
                    </w:rPr>
                    <w:t>频率</w:t>
                  </w:r>
                </w:p>
              </w:tc>
              <w:tc>
                <w:tcPr>
                  <w:tcW w:w="614" w:type="pct"/>
                  <w:tcBorders>
                    <w:bottom w:val="single" w:color="auto" w:sz="4" w:space="0"/>
                  </w:tcBorders>
                  <w:noWrap w:val="0"/>
                  <w:vAlign w:val="center"/>
                </w:tcPr>
                <w:p w14:paraId="341B323C">
                  <w:pPr>
                    <w:keepNext w:val="0"/>
                    <w:keepLines w:val="0"/>
                    <w:pageBreakBefore w:val="0"/>
                    <w:widowControl w:val="0"/>
                    <w:suppressLineNumbers w:val="0"/>
                    <w:kinsoku/>
                    <w:wordWrap/>
                    <w:overflowPunct/>
                    <w:topLinePunct w:val="0"/>
                    <w:autoSpaceDE/>
                    <w:autoSpaceDN/>
                    <w:bidi w:val="0"/>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000000"/>
                      <w:sz w:val="21"/>
                      <w:szCs w:val="21"/>
                      <w:u w:val="none" w:color="auto"/>
                    </w:rPr>
                  </w:pPr>
                  <w:r>
                    <w:rPr>
                      <w:rFonts w:hint="default" w:ascii="Times New Roman" w:hAnsi="Times New Roman" w:eastAsia="宋体" w:cs="Times New Roman"/>
                      <w:color w:val="000000"/>
                      <w:sz w:val="21"/>
                      <w:szCs w:val="21"/>
                      <w:u w:val="none" w:color="auto"/>
                    </w:rPr>
                    <w:t>实施单位</w:t>
                  </w:r>
                </w:p>
              </w:tc>
              <w:tc>
                <w:tcPr>
                  <w:tcW w:w="1677" w:type="pct"/>
                  <w:tcBorders>
                    <w:bottom w:val="single" w:color="auto" w:sz="4" w:space="0"/>
                  </w:tcBorders>
                  <w:noWrap w:val="0"/>
                  <w:vAlign w:val="center"/>
                </w:tcPr>
                <w:p w14:paraId="40C7DA10">
                  <w:pPr>
                    <w:keepNext w:val="0"/>
                    <w:keepLines w:val="0"/>
                    <w:pageBreakBefore w:val="0"/>
                    <w:widowControl w:val="0"/>
                    <w:suppressLineNumbers w:val="0"/>
                    <w:kinsoku/>
                    <w:wordWrap/>
                    <w:overflowPunct/>
                    <w:topLinePunct w:val="0"/>
                    <w:autoSpaceDE/>
                    <w:autoSpaceDN/>
                    <w:bidi w:val="0"/>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000000"/>
                      <w:sz w:val="21"/>
                      <w:szCs w:val="21"/>
                      <w:u w:val="none" w:color="auto"/>
                    </w:rPr>
                  </w:pPr>
                  <w:r>
                    <w:rPr>
                      <w:rFonts w:hint="default" w:ascii="Times New Roman" w:hAnsi="Times New Roman" w:eastAsia="宋体" w:cs="Times New Roman"/>
                      <w:color w:val="000000"/>
                      <w:sz w:val="21"/>
                      <w:szCs w:val="21"/>
                      <w:u w:val="none" w:color="auto"/>
                    </w:rPr>
                    <w:t>执行标准</w:t>
                  </w:r>
                </w:p>
              </w:tc>
            </w:tr>
            <w:tr w14:paraId="41C98050">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431" w:type="pct"/>
                  <w:noWrap w:val="0"/>
                  <w:vAlign w:val="center"/>
                </w:tcPr>
                <w:p w14:paraId="115834CD">
                  <w:pPr>
                    <w:keepNext w:val="0"/>
                    <w:keepLines w:val="0"/>
                    <w:pageBreakBefore w:val="0"/>
                    <w:widowControl w:val="0"/>
                    <w:suppressLineNumbers w:val="0"/>
                    <w:kinsoku/>
                    <w:wordWrap/>
                    <w:overflowPunct/>
                    <w:topLinePunct w:val="0"/>
                    <w:autoSpaceDE/>
                    <w:autoSpaceDN/>
                    <w:bidi w:val="0"/>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000000"/>
                      <w:sz w:val="21"/>
                      <w:szCs w:val="21"/>
                      <w:u w:val="none" w:color="auto"/>
                    </w:rPr>
                  </w:pPr>
                  <w:r>
                    <w:rPr>
                      <w:rFonts w:hint="default" w:ascii="Times New Roman" w:hAnsi="Times New Roman" w:eastAsia="宋体" w:cs="Times New Roman"/>
                      <w:bCs/>
                      <w:color w:val="000000"/>
                      <w:sz w:val="21"/>
                      <w:szCs w:val="21"/>
                      <w:u w:val="none" w:color="auto"/>
                    </w:rPr>
                    <w:t>1</w:t>
                  </w:r>
                </w:p>
              </w:tc>
              <w:tc>
                <w:tcPr>
                  <w:tcW w:w="1097" w:type="pct"/>
                  <w:noWrap w:val="0"/>
                  <w:vAlign w:val="center"/>
                </w:tcPr>
                <w:p w14:paraId="32E072F0">
                  <w:pPr>
                    <w:keepNext w:val="0"/>
                    <w:keepLines w:val="0"/>
                    <w:pageBreakBefore w:val="0"/>
                    <w:widowControl w:val="0"/>
                    <w:suppressLineNumbers w:val="0"/>
                    <w:kinsoku/>
                    <w:wordWrap/>
                    <w:overflowPunct/>
                    <w:topLinePunct w:val="0"/>
                    <w:autoSpaceDE/>
                    <w:autoSpaceDN/>
                    <w:bidi w:val="0"/>
                    <w:snapToGrid/>
                    <w:spacing w:before="0" w:beforeAutospacing="0" w:after="0" w:afterAutospacing="0" w:line="240" w:lineRule="auto"/>
                    <w:ind w:left="0" w:leftChars="0" w:right="0" w:rightChars="0"/>
                    <w:jc w:val="center"/>
                    <w:textAlignment w:val="auto"/>
                    <w:rPr>
                      <w:rStyle w:val="33"/>
                      <w:rFonts w:hint="default" w:ascii="Times New Roman" w:hAnsi="Times New Roman" w:eastAsia="宋体" w:cs="Times New Roman"/>
                      <w:color w:val="000000"/>
                      <w:sz w:val="21"/>
                      <w:szCs w:val="21"/>
                      <w:u w:val="none" w:color="auto"/>
                    </w:rPr>
                  </w:pPr>
                  <w:r>
                    <w:rPr>
                      <w:rStyle w:val="33"/>
                      <w:rFonts w:hint="eastAsia" w:ascii="Times New Roman" w:hAnsi="Times New Roman" w:eastAsia="宋体" w:cs="Times New Roman"/>
                      <w:color w:val="000000"/>
                      <w:sz w:val="21"/>
                      <w:szCs w:val="21"/>
                      <w:u w:val="none" w:color="auto"/>
                      <w:lang w:val="en-US" w:eastAsia="zh-CN"/>
                    </w:rPr>
                    <w:t>东、南、西、北四</w:t>
                  </w:r>
                  <w:r>
                    <w:rPr>
                      <w:rStyle w:val="33"/>
                      <w:rFonts w:hint="default" w:ascii="Times New Roman" w:hAnsi="Times New Roman" w:eastAsia="宋体" w:cs="Times New Roman"/>
                      <w:color w:val="000000"/>
                      <w:sz w:val="21"/>
                      <w:szCs w:val="21"/>
                      <w:u w:val="none" w:color="auto"/>
                    </w:rPr>
                    <w:t>厂界各设一个监测点</w:t>
                  </w:r>
                </w:p>
              </w:tc>
              <w:tc>
                <w:tcPr>
                  <w:tcW w:w="675" w:type="pct"/>
                  <w:noWrap w:val="0"/>
                  <w:vAlign w:val="center"/>
                </w:tcPr>
                <w:p w14:paraId="042F4A5D">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000000"/>
                      <w:sz w:val="21"/>
                      <w:szCs w:val="21"/>
                      <w:u w:val="none" w:color="auto"/>
                    </w:rPr>
                  </w:pPr>
                  <w:r>
                    <w:rPr>
                      <w:rFonts w:hint="default" w:ascii="Times New Roman" w:hAnsi="Times New Roman" w:eastAsia="宋体" w:cs="Times New Roman"/>
                      <w:bCs/>
                      <w:color w:val="auto"/>
                      <w:sz w:val="21"/>
                      <w:szCs w:val="21"/>
                      <w:highlight w:val="none"/>
                      <w:u w:val="none" w:color="auto"/>
                    </w:rPr>
                    <w:t>等效连续A声级</w:t>
                  </w:r>
                  <w:r>
                    <w:rPr>
                      <w:rFonts w:hint="default" w:ascii="Times New Roman" w:hAnsi="Times New Roman" w:eastAsia="宋体" w:cs="Times New Roman"/>
                      <w:bCs/>
                      <w:color w:val="auto"/>
                      <w:sz w:val="21"/>
                      <w:szCs w:val="21"/>
                      <w:highlight w:val="none"/>
                      <w:u w:val="none" w:color="auto"/>
                      <w:lang w:eastAsia="zh-CN"/>
                    </w:rPr>
                    <w:t>、</w:t>
                  </w:r>
                  <w:r>
                    <w:rPr>
                      <w:rFonts w:hint="default" w:ascii="Times New Roman" w:hAnsi="Times New Roman" w:eastAsia="宋体" w:cs="Times New Roman"/>
                      <w:bCs/>
                      <w:color w:val="auto"/>
                      <w:sz w:val="21"/>
                      <w:szCs w:val="21"/>
                      <w:highlight w:val="none"/>
                      <w:u w:val="none" w:color="auto"/>
                      <w:lang w:val="en-US" w:eastAsia="zh-CN"/>
                    </w:rPr>
                    <w:t>最大声级</w:t>
                  </w:r>
                </w:p>
              </w:tc>
              <w:tc>
                <w:tcPr>
                  <w:tcW w:w="504" w:type="pct"/>
                  <w:noWrap w:val="0"/>
                  <w:vAlign w:val="center"/>
                </w:tcPr>
                <w:p w14:paraId="521D7E35">
                  <w:pPr>
                    <w:keepNext w:val="0"/>
                    <w:keepLines w:val="0"/>
                    <w:pageBreakBefore w:val="0"/>
                    <w:widowControl w:val="0"/>
                    <w:suppressLineNumbers w:val="0"/>
                    <w:kinsoku/>
                    <w:wordWrap/>
                    <w:overflowPunct/>
                    <w:topLinePunct w:val="0"/>
                    <w:autoSpaceDE/>
                    <w:autoSpaceDN/>
                    <w:bidi w:val="0"/>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000000"/>
                      <w:sz w:val="21"/>
                      <w:szCs w:val="21"/>
                      <w:u w:val="none" w:color="auto"/>
                      <w:lang w:eastAsia="zh-CN"/>
                    </w:rPr>
                  </w:pPr>
                  <w:r>
                    <w:rPr>
                      <w:rFonts w:hint="default" w:ascii="Times New Roman" w:hAnsi="Times New Roman" w:eastAsia="宋体" w:cs="Times New Roman"/>
                      <w:bCs/>
                      <w:color w:val="000000"/>
                      <w:sz w:val="21"/>
                      <w:szCs w:val="21"/>
                      <w:u w:val="none" w:color="auto"/>
                    </w:rPr>
                    <w:t>1次/</w:t>
                  </w:r>
                  <w:r>
                    <w:rPr>
                      <w:rFonts w:hint="default" w:ascii="Times New Roman" w:hAnsi="Times New Roman" w:eastAsia="宋体" w:cs="Times New Roman"/>
                      <w:bCs/>
                      <w:color w:val="000000"/>
                      <w:sz w:val="21"/>
                      <w:szCs w:val="21"/>
                      <w:u w:val="none" w:color="auto"/>
                      <w:lang w:val="en-US" w:eastAsia="zh-CN"/>
                    </w:rPr>
                    <w:t>季度</w:t>
                  </w:r>
                </w:p>
              </w:tc>
              <w:tc>
                <w:tcPr>
                  <w:tcW w:w="614" w:type="pct"/>
                  <w:noWrap w:val="0"/>
                  <w:vAlign w:val="center"/>
                </w:tcPr>
                <w:p w14:paraId="15517B57">
                  <w:pPr>
                    <w:keepNext w:val="0"/>
                    <w:keepLines w:val="0"/>
                    <w:pageBreakBefore w:val="0"/>
                    <w:widowControl w:val="0"/>
                    <w:suppressLineNumbers w:val="0"/>
                    <w:kinsoku/>
                    <w:wordWrap/>
                    <w:overflowPunct/>
                    <w:topLinePunct w:val="0"/>
                    <w:autoSpaceDE/>
                    <w:autoSpaceDN/>
                    <w:bidi w:val="0"/>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000000"/>
                      <w:sz w:val="21"/>
                      <w:szCs w:val="21"/>
                      <w:u w:val="none" w:color="auto"/>
                    </w:rPr>
                  </w:pPr>
                  <w:r>
                    <w:rPr>
                      <w:rFonts w:hint="default" w:ascii="Times New Roman" w:hAnsi="Times New Roman" w:eastAsia="宋体" w:cs="Times New Roman"/>
                      <w:bCs/>
                      <w:color w:val="000000"/>
                      <w:sz w:val="21"/>
                      <w:szCs w:val="21"/>
                      <w:u w:val="none" w:color="auto"/>
                    </w:rPr>
                    <w:t>有资质的监测单位</w:t>
                  </w:r>
                </w:p>
              </w:tc>
              <w:tc>
                <w:tcPr>
                  <w:tcW w:w="1677" w:type="pct"/>
                  <w:noWrap w:val="0"/>
                  <w:vAlign w:val="center"/>
                </w:tcPr>
                <w:p w14:paraId="2104ED40">
                  <w:pPr>
                    <w:keepNext w:val="0"/>
                    <w:keepLines w:val="0"/>
                    <w:pageBreakBefore w:val="0"/>
                    <w:widowControl w:val="0"/>
                    <w:suppressLineNumbers w:val="0"/>
                    <w:kinsoku/>
                    <w:wordWrap/>
                    <w:overflowPunct/>
                    <w:topLinePunct w:val="0"/>
                    <w:autoSpaceDE/>
                    <w:autoSpaceDN/>
                    <w:bidi w:val="0"/>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000000"/>
                      <w:sz w:val="21"/>
                      <w:szCs w:val="21"/>
                      <w:u w:val="none" w:color="auto"/>
                    </w:rPr>
                  </w:pPr>
                  <w:r>
                    <w:rPr>
                      <w:rFonts w:hint="default" w:ascii="Times New Roman" w:hAnsi="Times New Roman" w:eastAsia="宋体" w:cs="Times New Roman"/>
                      <w:color w:val="000000"/>
                      <w:sz w:val="21"/>
                      <w:szCs w:val="21"/>
                      <w:u w:val="none" w:color="auto"/>
                    </w:rPr>
                    <w:t>《工业企业厂界环境噪声排放标准》（GB12348-2008）2类标准</w:t>
                  </w:r>
                </w:p>
              </w:tc>
            </w:tr>
          </w:tbl>
          <w:p w14:paraId="267F065E">
            <w:pPr>
              <w:pStyle w:val="58"/>
              <w:keepNext w:val="0"/>
              <w:keepLines w:val="0"/>
              <w:suppressLineNumbers w:val="0"/>
              <w:bidi w:val="0"/>
              <w:spacing w:before="0" w:beforeAutospacing="0" w:after="0" w:afterAutospacing="0"/>
              <w:ind w:right="0"/>
              <w:jc w:val="both"/>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pPr>
          </w:p>
        </w:tc>
      </w:tr>
    </w:tbl>
    <w:p w14:paraId="443E65FB">
      <w:pPr>
        <w:sectPr>
          <w:pgSz w:w="16838" w:h="11905" w:orient="landscape"/>
          <w:pgMar w:top="1083" w:right="1440" w:bottom="1083" w:left="1440" w:header="851" w:footer="992" w:gutter="0"/>
          <w:pgNumType w:fmt="decimal"/>
          <w:cols w:space="720" w:num="1"/>
          <w:docGrid w:type="lines" w:linePitch="312" w:charSpace="0"/>
        </w:sectPr>
      </w:pPr>
    </w:p>
    <w:tbl>
      <w:tblPr>
        <w:tblStyle w:val="29"/>
        <w:tblW w:w="5121"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435"/>
        <w:gridCol w:w="9679"/>
      </w:tblGrid>
      <w:tr w14:paraId="148EC35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15" w:type="pct"/>
            <w:noWrap w:val="0"/>
            <w:tcMar>
              <w:left w:w="28" w:type="dxa"/>
              <w:right w:w="28" w:type="dxa"/>
            </w:tcMar>
            <w:vAlign w:val="center"/>
          </w:tcPr>
          <w:p w14:paraId="536D2D67">
            <w:pPr>
              <w:adjustRightInd w:val="0"/>
              <w:snapToGrid w:val="0"/>
              <w:jc w:val="center"/>
              <w:rPr>
                <w:bCs/>
                <w:color w:val="000000"/>
                <w:sz w:val="24"/>
              </w:rPr>
            </w:pPr>
          </w:p>
        </w:tc>
        <w:tc>
          <w:tcPr>
            <w:tcW w:w="4784" w:type="pct"/>
            <w:noWrap w:val="0"/>
            <w:vAlign w:val="top"/>
          </w:tcPr>
          <w:p w14:paraId="449E2950">
            <w:pPr>
              <w:keepNext w:val="0"/>
              <w:keepLines w:val="0"/>
              <w:pageBreakBefore w:val="0"/>
              <w:suppressLineNumbers w:val="0"/>
              <w:tabs>
                <w:tab w:val="left" w:pos="1081"/>
              </w:tabs>
              <w:kinsoku/>
              <w:wordWrap/>
              <w:overflowPunct/>
              <w:topLinePunct w:val="0"/>
              <w:autoSpaceDE/>
              <w:autoSpaceDN/>
              <w:bidi w:val="0"/>
              <w:adjustRightInd w:val="0"/>
              <w:snapToGrid w:val="0"/>
              <w:spacing w:before="0" w:beforeAutospacing="0" w:after="0" w:afterAutospacing="0" w:line="360" w:lineRule="auto"/>
              <w:ind w:left="0" w:leftChars="0" w:right="0" w:firstLine="482" w:firstLineChars="200"/>
              <w:jc w:val="both"/>
              <w:textAlignment w:val="auto"/>
              <w:rPr>
                <w:rFonts w:hint="default" w:ascii="Times New Roman" w:hAnsi="Times New Roman" w:eastAsia="宋体" w:cs="Times New Roman"/>
                <w:b/>
                <w:color w:val="000000" w:themeColor="text1"/>
                <w:sz w:val="24"/>
                <w:szCs w:val="24"/>
                <w:highlight w:val="none"/>
                <w:u w:val="none" w:color="auto"/>
                <w14:textFill>
                  <w14:solidFill>
                    <w14:schemeClr w14:val="tx1"/>
                  </w14:solidFill>
                </w14:textFill>
              </w:rPr>
            </w:pPr>
            <w:r>
              <w:rPr>
                <w:rFonts w:hint="default" w:ascii="Times New Roman" w:hAnsi="Times New Roman" w:eastAsia="宋体" w:cs="Times New Roman"/>
                <w:b/>
                <w:color w:val="000000" w:themeColor="text1"/>
                <w:sz w:val="24"/>
                <w:szCs w:val="24"/>
                <w:highlight w:val="none"/>
                <w:u w:val="none" w:color="auto"/>
                <w14:textFill>
                  <w14:solidFill>
                    <w14:schemeClr w14:val="tx1"/>
                  </w14:solidFill>
                </w14:textFill>
              </w:rPr>
              <w:t>4、固体废物环境影响和保护措施分析</w:t>
            </w:r>
          </w:p>
          <w:p w14:paraId="7C8D733F">
            <w:pPr>
              <w:keepNext w:val="0"/>
              <w:keepLines w:val="0"/>
              <w:pageBreakBefore w:val="0"/>
              <w:widowControl w:val="0"/>
              <w:suppressLineNumbers w:val="0"/>
              <w:tabs>
                <w:tab w:val="left" w:pos="1081"/>
              </w:tabs>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jc w:val="both"/>
              <w:textAlignment w:val="auto"/>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pP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4.1固废产排情况</w:t>
            </w:r>
          </w:p>
          <w:p w14:paraId="66535D3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jc w:val="both"/>
              <w:textAlignment w:val="auto"/>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pP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（1）职工生活垃圾</w:t>
            </w:r>
          </w:p>
          <w:p w14:paraId="63B1F9B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jc w:val="both"/>
              <w:textAlignment w:val="auto"/>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pP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本项目职工为</w:t>
            </w:r>
            <w:r>
              <w:rPr>
                <w:rFonts w:hint="eastAsia" w:cs="Times New Roman"/>
                <w:color w:val="000000" w:themeColor="text1"/>
                <w:sz w:val="24"/>
                <w:szCs w:val="24"/>
                <w:highlight w:val="none"/>
                <w:u w:val="none" w:color="auto"/>
                <w:lang w:val="en-US" w:eastAsia="zh-CN"/>
                <w14:textFill>
                  <w14:solidFill>
                    <w14:schemeClr w14:val="tx1"/>
                  </w14:solidFill>
                </w14:textFill>
              </w:rPr>
              <w:t>20</w:t>
            </w: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人，均不在厂区食宿，生活垃圾产生量按0.5kg/人·d计算，年工作时间为</w:t>
            </w:r>
            <w:r>
              <w:rPr>
                <w:rFonts w:hint="default" w:ascii="Times New Roman" w:hAnsi="Times New Roman" w:eastAsia="宋体" w:cs="Times New Roman"/>
                <w:color w:val="000000" w:themeColor="text1"/>
                <w:sz w:val="24"/>
                <w:szCs w:val="24"/>
                <w:highlight w:val="none"/>
                <w:u w:val="none" w:color="auto"/>
                <w:lang w:val="en-US" w:eastAsia="zh-CN"/>
                <w14:textFill>
                  <w14:solidFill>
                    <w14:schemeClr w14:val="tx1"/>
                  </w14:solidFill>
                </w14:textFill>
              </w:rPr>
              <w:t>300</w:t>
            </w: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天，则</w:t>
            </w:r>
            <w:r>
              <w:rPr>
                <w:rFonts w:hint="default" w:ascii="Times New Roman" w:hAnsi="Times New Roman" w:eastAsia="宋体" w:cs="Times New Roman"/>
                <w:color w:val="000000" w:themeColor="text1"/>
                <w:sz w:val="24"/>
                <w:szCs w:val="24"/>
                <w:highlight w:val="none"/>
                <w:u w:val="none" w:color="auto"/>
                <w:lang w:val="en-US" w:eastAsia="zh-CN"/>
                <w14:textFill>
                  <w14:solidFill>
                    <w14:schemeClr w14:val="tx1"/>
                  </w14:solidFill>
                </w14:textFill>
              </w:rPr>
              <w:t>新增职工</w:t>
            </w: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生活垃圾产生量为</w:t>
            </w:r>
            <w:r>
              <w:rPr>
                <w:rFonts w:hint="eastAsia" w:ascii="Times New Roman" w:hAnsi="Times New Roman" w:eastAsia="宋体" w:cs="Times New Roman"/>
                <w:color w:val="000000" w:themeColor="text1"/>
                <w:sz w:val="24"/>
                <w:szCs w:val="24"/>
                <w:highlight w:val="none"/>
                <w:u w:val="none" w:color="auto"/>
                <w:lang w:val="en-US" w:eastAsia="zh-CN"/>
                <w14:textFill>
                  <w14:solidFill>
                    <w14:schemeClr w14:val="tx1"/>
                  </w14:solidFill>
                </w14:textFill>
              </w:rPr>
              <w:t>3.0</w:t>
            </w:r>
            <w:r>
              <w:rPr>
                <w:rFonts w:hint="eastAsia" w:cs="Times New Roman"/>
                <w:color w:val="000000" w:themeColor="text1"/>
                <w:sz w:val="24"/>
                <w:szCs w:val="24"/>
                <w:highlight w:val="none"/>
                <w:u w:val="none" w:color="auto"/>
                <w:lang w:val="en-US" w:eastAsia="zh-CN"/>
                <w14:textFill>
                  <w14:solidFill>
                    <w14:schemeClr w14:val="tx1"/>
                  </w14:solidFill>
                </w14:textFill>
              </w:rPr>
              <w:t>t</w:t>
            </w: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/a。分类收集后交由环卫部门运至附近垃圾中转站处理。</w:t>
            </w:r>
          </w:p>
          <w:p w14:paraId="45B7B6BD">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jc w:val="both"/>
              <w:textAlignment w:val="auto"/>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pP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（2）化粪池污泥</w:t>
            </w:r>
          </w:p>
          <w:p w14:paraId="2AADF66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jc w:val="both"/>
              <w:textAlignment w:val="auto"/>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pP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根据《建筑给水排水设计规范》（2009修订版）中表4.8.6，化粪池污泥产生量为0.3L/人·d，化粪池污泥比重约为1.2L/kg，本项目职工为</w:t>
            </w:r>
            <w:r>
              <w:rPr>
                <w:rFonts w:hint="eastAsia" w:cs="Times New Roman"/>
                <w:color w:val="000000" w:themeColor="text1"/>
                <w:sz w:val="24"/>
                <w:szCs w:val="24"/>
                <w:highlight w:val="none"/>
                <w:u w:val="none" w:color="auto"/>
                <w:lang w:val="en-US" w:eastAsia="zh-CN"/>
                <w14:textFill>
                  <w14:solidFill>
                    <w14:schemeClr w14:val="tx1"/>
                  </w14:solidFill>
                </w14:textFill>
              </w:rPr>
              <w:t>20</w:t>
            </w: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人</w:t>
            </w:r>
            <w:r>
              <w:rPr>
                <w:rFonts w:hint="default" w:ascii="Times New Roman" w:hAnsi="Times New Roman" w:eastAsia="宋体" w:cs="Times New Roman"/>
                <w:color w:val="000000" w:themeColor="text1"/>
                <w:sz w:val="24"/>
                <w:szCs w:val="24"/>
                <w:highlight w:val="none"/>
                <w:u w:val="none" w:color="auto"/>
                <w:lang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年工作时间为</w:t>
            </w:r>
            <w:r>
              <w:rPr>
                <w:rFonts w:hint="default" w:ascii="Times New Roman" w:hAnsi="Times New Roman" w:eastAsia="宋体" w:cs="Times New Roman"/>
                <w:color w:val="000000" w:themeColor="text1"/>
                <w:sz w:val="24"/>
                <w:szCs w:val="24"/>
                <w:highlight w:val="none"/>
                <w:u w:val="none" w:color="auto"/>
                <w:lang w:val="en-US" w:eastAsia="zh-CN"/>
                <w14:textFill>
                  <w14:solidFill>
                    <w14:schemeClr w14:val="tx1"/>
                  </w14:solidFill>
                </w14:textFill>
              </w:rPr>
              <w:t>300</w:t>
            </w: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天</w:t>
            </w:r>
            <w:r>
              <w:rPr>
                <w:rFonts w:hint="default" w:ascii="Times New Roman" w:hAnsi="Times New Roman" w:eastAsia="宋体" w:cs="Times New Roman"/>
                <w:color w:val="000000" w:themeColor="text1"/>
                <w:sz w:val="24"/>
                <w:szCs w:val="24"/>
                <w:highlight w:val="none"/>
                <w:u w:val="none" w:color="auto"/>
                <w:lang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则本项目</w:t>
            </w:r>
            <w:r>
              <w:rPr>
                <w:rFonts w:hint="default" w:ascii="Times New Roman" w:hAnsi="Times New Roman" w:eastAsia="宋体" w:cs="Times New Roman"/>
                <w:color w:val="000000" w:themeColor="text1"/>
                <w:sz w:val="24"/>
                <w:szCs w:val="24"/>
                <w:highlight w:val="none"/>
                <w:u w:val="none" w:color="auto"/>
                <w:lang w:val="en-US" w:eastAsia="zh-CN"/>
                <w14:textFill>
                  <w14:solidFill>
                    <w14:schemeClr w14:val="tx1"/>
                  </w14:solidFill>
                </w14:textFill>
              </w:rPr>
              <w:t>新增</w:t>
            </w: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化粪池污泥产生量约为</w:t>
            </w:r>
            <w:r>
              <w:rPr>
                <w:rFonts w:hint="eastAsia" w:ascii="Times New Roman" w:hAnsi="Times New Roman" w:eastAsia="宋体" w:cs="Times New Roman"/>
                <w:color w:val="000000" w:themeColor="text1"/>
                <w:sz w:val="24"/>
                <w:szCs w:val="24"/>
                <w:highlight w:val="none"/>
                <w:u w:val="none" w:color="auto"/>
                <w:lang w:val="en-US" w:eastAsia="zh-CN"/>
                <w14:textFill>
                  <w14:solidFill>
                    <w14:schemeClr w14:val="tx1"/>
                  </w14:solidFill>
                </w14:textFill>
              </w:rPr>
              <w:t>1.5</w:t>
            </w: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t/a，定期清掏交由环卫部门处理。</w:t>
            </w:r>
          </w:p>
          <w:p w14:paraId="0FC74FA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jc w:val="both"/>
              <w:textAlignment w:val="auto"/>
              <w:rPr>
                <w:rFonts w:hint="default" w:ascii="Times New Roman" w:hAnsi="Times New Roman" w:eastAsia="宋体" w:cs="Times New Roman"/>
                <w:color w:val="000000" w:themeColor="text1"/>
                <w:sz w:val="24"/>
                <w:szCs w:val="24"/>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u w:val="none" w:color="auto"/>
                <w:lang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u w:val="none" w:color="auto"/>
                <w:lang w:val="en-US" w:eastAsia="zh-CN"/>
                <w14:textFill>
                  <w14:solidFill>
                    <w14:schemeClr w14:val="tx1"/>
                  </w14:solidFill>
                </w14:textFill>
              </w:rPr>
              <w:t>3）一般固废</w:t>
            </w:r>
          </w:p>
          <w:p w14:paraId="2BAE2DAB">
            <w:pPr>
              <w:keepNext w:val="0"/>
              <w:keepLines w:val="0"/>
              <w:pageBreakBefore w:val="0"/>
              <w:widowControl w:val="0"/>
              <w:suppressLineNumbers w:val="0"/>
              <w:tabs>
                <w:tab w:val="left" w:pos="1081"/>
              </w:tabs>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jc w:val="both"/>
              <w:textAlignment w:val="auto"/>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pPr>
            <w:r>
              <w:rPr>
                <w:rFonts w:hint="default" w:ascii="Times New Roman" w:hAnsi="Times New Roman" w:eastAsia="宋体" w:cs="Times New Roman"/>
                <w:color w:val="000000" w:themeColor="text1"/>
                <w:sz w:val="24"/>
                <w:szCs w:val="24"/>
                <w:highlight w:val="none"/>
                <w:u w:val="none" w:color="auto"/>
                <w:lang w:val="en-US" w:eastAsia="zh-CN"/>
                <w14:textFill>
                  <w14:solidFill>
                    <w14:schemeClr w14:val="tx1"/>
                  </w14:solidFill>
                </w14:textFill>
              </w:rPr>
              <w:t>①</w:t>
            </w: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除尘器收集的粉尘</w:t>
            </w:r>
          </w:p>
          <w:p w14:paraId="2703158F">
            <w:pPr>
              <w:keepNext w:val="0"/>
              <w:keepLines w:val="0"/>
              <w:suppressLineNumbers w:val="0"/>
              <w:adjustRightInd w:val="0"/>
              <w:spacing w:before="0" w:beforeAutospacing="0" w:after="0" w:afterAutospacing="0" w:line="360" w:lineRule="auto"/>
              <w:ind w:left="0" w:right="0" w:firstLine="480" w:firstLineChars="200"/>
              <w:rPr>
                <w:rFonts w:hint="eastAsia"/>
                <w:color w:val="000000" w:themeColor="text1"/>
                <w:sz w:val="24"/>
                <w:szCs w:val="24"/>
                <w:u w:val="none" w:color="auto"/>
                <w14:textFill>
                  <w14:solidFill>
                    <w14:schemeClr w14:val="tx1"/>
                  </w14:solidFill>
                </w14:textFill>
              </w:rPr>
            </w:pPr>
            <w:r>
              <w:rPr>
                <w:rFonts w:hint="default" w:ascii="Times New Roman" w:hAnsi="Times New Roman" w:eastAsia="宋体" w:cs="Times New Roman"/>
                <w:color w:val="000000" w:themeColor="text1"/>
                <w:sz w:val="24"/>
                <w:szCs w:val="24"/>
                <w:highlight w:val="none"/>
                <w:u w:val="none" w:color="auto"/>
                <w:lang w:val="en-US" w:eastAsia="zh-CN"/>
                <w14:textFill>
                  <w14:solidFill>
                    <w14:schemeClr w14:val="tx1"/>
                  </w14:solidFill>
                </w14:textFill>
              </w:rPr>
              <w:t>根据上文分析可知，</w:t>
            </w: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本项目</w:t>
            </w:r>
            <w:r>
              <w:rPr>
                <w:rFonts w:hint="eastAsia" w:cs="Times New Roman"/>
                <w:color w:val="000000" w:themeColor="text1"/>
                <w:sz w:val="24"/>
                <w:szCs w:val="24"/>
                <w:highlight w:val="none"/>
                <w:u w:val="none" w:color="auto"/>
                <w:lang w:val="en-US" w:eastAsia="zh-CN"/>
                <w14:textFill>
                  <w14:solidFill>
                    <w14:schemeClr w14:val="tx1"/>
                  </w14:solidFill>
                </w14:textFill>
              </w:rPr>
              <w:t>生物质颗粒生产线除尘器</w:t>
            </w: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收集的粉尘为</w:t>
            </w:r>
            <w:r>
              <w:rPr>
                <w:rFonts w:hint="eastAsia" w:cs="Times New Roman"/>
                <w:color w:val="000000" w:themeColor="text1"/>
                <w:sz w:val="24"/>
                <w:szCs w:val="24"/>
                <w:highlight w:val="none"/>
                <w:u w:val="none" w:color="auto"/>
                <w:lang w:val="en-US" w:eastAsia="zh-CN"/>
                <w14:textFill>
                  <w14:solidFill>
                    <w14:schemeClr w14:val="tx1"/>
                  </w14:solidFill>
                </w14:textFill>
              </w:rPr>
              <w:t>0.41</w:t>
            </w: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t/a</w:t>
            </w:r>
            <w:r>
              <w:rPr>
                <w:rFonts w:hint="eastAsia" w:cs="Times New Roman"/>
                <w:color w:val="000000" w:themeColor="text1"/>
                <w:sz w:val="24"/>
                <w:szCs w:val="24"/>
                <w:highlight w:val="none"/>
                <w:u w:val="none" w:color="auto"/>
                <w:lang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本项目</w:t>
            </w:r>
            <w:r>
              <w:rPr>
                <w:rFonts w:hint="eastAsia" w:ascii="Times New Roman" w:hAnsi="Times New Roman" w:eastAsia="宋体" w:cs="Times New Roman"/>
                <w:color w:val="000000" w:themeColor="text1"/>
                <w:sz w:val="24"/>
                <w:szCs w:val="24"/>
                <w:highlight w:val="none"/>
                <w:u w:val="none" w:color="auto"/>
                <w:lang w:val="en-US" w:eastAsia="zh-CN"/>
                <w14:textFill>
                  <w14:solidFill>
                    <w14:schemeClr w14:val="tx1"/>
                  </w14:solidFill>
                </w14:textFill>
              </w:rPr>
              <w:t>机制炭生产线</w:t>
            </w:r>
            <w:r>
              <w:rPr>
                <w:rFonts w:hint="eastAsia" w:cs="Times New Roman"/>
                <w:color w:val="000000" w:themeColor="text1"/>
                <w:sz w:val="24"/>
                <w:szCs w:val="24"/>
                <w:highlight w:val="none"/>
                <w:u w:val="none" w:color="auto"/>
                <w:lang w:val="en-US" w:eastAsia="zh-CN"/>
                <w14:textFill>
                  <w14:solidFill>
                    <w14:schemeClr w14:val="tx1"/>
                  </w14:solidFill>
                </w14:textFill>
              </w:rPr>
              <w:t>除尘器</w:t>
            </w: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收集的粉尘为</w:t>
            </w:r>
            <w:r>
              <w:rPr>
                <w:rFonts w:hint="eastAsia" w:cs="Times New Roman"/>
                <w:color w:val="000000" w:themeColor="text1"/>
                <w:sz w:val="24"/>
                <w:szCs w:val="24"/>
                <w:highlight w:val="none"/>
                <w:u w:val="none" w:color="auto"/>
                <w:lang w:val="en-US" w:eastAsia="zh-CN"/>
                <w14:textFill>
                  <w14:solidFill>
                    <w14:schemeClr w14:val="tx1"/>
                  </w14:solidFill>
                </w14:textFill>
              </w:rPr>
              <w:t>64.264</w:t>
            </w: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t/a</w:t>
            </w:r>
            <w:r>
              <w:rPr>
                <w:rFonts w:hint="eastAsia" w:ascii="Times New Roman" w:hAnsi="Times New Roman" w:eastAsia="宋体" w:cs="Times New Roman"/>
                <w:color w:val="000000" w:themeColor="text1"/>
                <w:sz w:val="24"/>
                <w:szCs w:val="24"/>
                <w:highlight w:val="none"/>
                <w:u w:val="none" w:color="auto"/>
                <w:lang w:val="en-US" w:eastAsia="zh-CN"/>
                <w14:textFill>
                  <w14:solidFill>
                    <w14:schemeClr w14:val="tx1"/>
                  </w14:solidFill>
                </w14:textFill>
              </w:rPr>
              <w:t>。因此除尘器收集的除尘灰总量为</w:t>
            </w:r>
            <w:r>
              <w:rPr>
                <w:rFonts w:hint="eastAsia" w:cs="Times New Roman"/>
                <w:color w:val="000000" w:themeColor="text1"/>
                <w:sz w:val="24"/>
                <w:szCs w:val="24"/>
                <w:highlight w:val="none"/>
                <w:u w:val="none" w:color="auto"/>
                <w:lang w:val="en-US" w:eastAsia="zh-CN"/>
                <w14:textFill>
                  <w14:solidFill>
                    <w14:schemeClr w14:val="tx1"/>
                  </w14:solidFill>
                </w14:textFill>
              </w:rPr>
              <w:t>64.674</w:t>
            </w:r>
            <w:r>
              <w:rPr>
                <w:rFonts w:hint="eastAsia" w:ascii="Times New Roman" w:hAnsi="Times New Roman" w:eastAsia="宋体" w:cs="Times New Roman"/>
                <w:color w:val="000000" w:themeColor="text1"/>
                <w:sz w:val="24"/>
                <w:szCs w:val="24"/>
                <w:highlight w:val="none"/>
                <w:u w:val="none" w:color="auto"/>
                <w:lang w:val="en-US" w:eastAsia="zh-CN"/>
                <w14:textFill>
                  <w14:solidFill>
                    <w14:schemeClr w14:val="tx1"/>
                  </w14:solidFill>
                </w14:textFill>
              </w:rPr>
              <w:t>t/a</w:t>
            </w:r>
            <w:r>
              <w:rPr>
                <w:rFonts w:hint="eastAsia" w:cs="Times New Roman"/>
                <w:color w:val="000000" w:themeColor="text1"/>
                <w:sz w:val="24"/>
                <w:szCs w:val="24"/>
                <w:highlight w:val="none"/>
                <w:u w:val="none" w:color="auto"/>
                <w:lang w:eastAsia="zh-CN"/>
                <w14:textFill>
                  <w14:solidFill>
                    <w14:schemeClr w14:val="tx1"/>
                  </w14:solidFill>
                </w14:textFill>
              </w:rPr>
              <w:t>，</w:t>
            </w:r>
            <w:r>
              <w:rPr>
                <w:rFonts w:hint="eastAsia" w:cs="Times New Roman"/>
                <w:color w:val="000000" w:themeColor="text1"/>
                <w:sz w:val="24"/>
                <w:szCs w:val="24"/>
                <w:highlight w:val="none"/>
                <w:u w:val="none" w:color="auto"/>
                <w:lang w:val="en-US" w:eastAsia="zh-CN"/>
                <w14:textFill>
                  <w14:solidFill>
                    <w14:schemeClr w14:val="tx1"/>
                  </w14:solidFill>
                </w14:textFill>
              </w:rPr>
              <w:t>为一般固废，</w:t>
            </w:r>
            <w:r>
              <w:rPr>
                <w:rFonts w:hint="eastAsia"/>
                <w:color w:val="000000" w:themeColor="text1"/>
                <w:sz w:val="24"/>
                <w:szCs w:val="24"/>
                <w:u w:val="none" w:color="auto"/>
                <w14:textFill>
                  <w14:solidFill>
                    <w14:schemeClr w14:val="tx1"/>
                  </w14:solidFill>
                </w14:textFill>
              </w:rPr>
              <w:t>经收集后暂存于</w:t>
            </w:r>
            <w:r>
              <w:rPr>
                <w:rFonts w:hint="eastAsia"/>
                <w:color w:val="000000" w:themeColor="text1"/>
                <w:sz w:val="24"/>
                <w:szCs w:val="24"/>
                <w:u w:val="none" w:color="auto"/>
                <w:lang w:val="en-US" w:eastAsia="zh-CN"/>
                <w14:textFill>
                  <w14:solidFill>
                    <w14:schemeClr w14:val="tx1"/>
                  </w14:solidFill>
                </w14:textFill>
              </w:rPr>
              <w:t>一般</w:t>
            </w:r>
            <w:r>
              <w:rPr>
                <w:rFonts w:hint="eastAsia"/>
                <w:color w:val="000000" w:themeColor="text1"/>
                <w:sz w:val="24"/>
                <w:szCs w:val="24"/>
                <w:u w:val="none" w:color="auto"/>
                <w14:textFill>
                  <w14:solidFill>
                    <w14:schemeClr w14:val="tx1"/>
                  </w14:solidFill>
                </w14:textFill>
              </w:rPr>
              <w:t>固体废物暂存间（</w:t>
            </w:r>
            <w:r>
              <w:rPr>
                <w:rFonts w:hint="eastAsia"/>
                <w:color w:val="000000" w:themeColor="text1"/>
                <w:sz w:val="24"/>
                <w:szCs w:val="24"/>
                <w:u w:val="none" w:color="auto"/>
                <w:lang w:val="en-US" w:eastAsia="zh-CN"/>
                <w14:textFill>
                  <w14:solidFill>
                    <w14:schemeClr w14:val="tx1"/>
                  </w14:solidFill>
                </w14:textFill>
              </w:rPr>
              <w:t>20</w:t>
            </w:r>
            <w:r>
              <w:rPr>
                <w:rFonts w:hint="eastAsia"/>
                <w:color w:val="000000" w:themeColor="text1"/>
                <w:sz w:val="24"/>
                <w:szCs w:val="24"/>
                <w:u w:val="none" w:color="auto"/>
                <w14:textFill>
                  <w14:solidFill>
                    <w14:schemeClr w14:val="tx1"/>
                  </w14:solidFill>
                </w14:textFill>
              </w:rPr>
              <w:t>m</w:t>
            </w:r>
            <w:r>
              <w:rPr>
                <w:rFonts w:hint="eastAsia"/>
                <w:color w:val="000000" w:themeColor="text1"/>
                <w:sz w:val="24"/>
                <w:szCs w:val="24"/>
                <w:u w:val="none" w:color="auto"/>
                <w:vertAlign w:val="superscript"/>
                <w14:textFill>
                  <w14:solidFill>
                    <w14:schemeClr w14:val="tx1"/>
                  </w14:solidFill>
                </w14:textFill>
              </w:rPr>
              <w:t>2</w:t>
            </w:r>
            <w:r>
              <w:rPr>
                <w:rFonts w:hint="eastAsia"/>
                <w:color w:val="000000" w:themeColor="text1"/>
                <w:sz w:val="24"/>
                <w:szCs w:val="24"/>
                <w:u w:val="none" w:color="auto"/>
                <w14:textFill>
                  <w14:solidFill>
                    <w14:schemeClr w14:val="tx1"/>
                  </w14:solidFill>
                </w14:textFill>
              </w:rPr>
              <w:t>），经收集后外售用作农肥。</w:t>
            </w:r>
          </w:p>
          <w:p w14:paraId="55012623">
            <w:pPr>
              <w:keepNext w:val="0"/>
              <w:keepLines w:val="0"/>
              <w:pageBreakBefore w:val="0"/>
              <w:suppressLineNumbers w:val="0"/>
              <w:tabs>
                <w:tab w:val="left" w:pos="1081"/>
              </w:tabs>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jc w:val="both"/>
              <w:textAlignment w:val="auto"/>
              <w:rPr>
                <w:rFonts w:hint="default" w:ascii="Times New Roman" w:hAnsi="Times New Roman" w:cs="Times New Roman"/>
                <w:color w:val="000000" w:themeColor="text1"/>
                <w:sz w:val="24"/>
                <w:szCs w:val="24"/>
                <w:highlight w:val="none"/>
                <w:u w:val="none" w:color="auto"/>
                <w:lang w:val="en-US" w:eastAsia="zh-CN"/>
                <w14:textFill>
                  <w14:solidFill>
                    <w14:schemeClr w14:val="tx1"/>
                  </w14:solidFill>
                </w14:textFill>
              </w:rPr>
            </w:pPr>
            <w:r>
              <w:rPr>
                <w:rFonts w:hint="default" w:ascii="Times New Roman" w:hAnsi="Times New Roman" w:cs="Times New Roman"/>
                <w:color w:val="000000" w:themeColor="text1"/>
                <w:sz w:val="24"/>
                <w:szCs w:val="24"/>
                <w:highlight w:val="none"/>
                <w:u w:val="none" w:color="auto"/>
                <w:lang w:val="en-US" w:eastAsia="zh-CN"/>
                <w14:textFill>
                  <w14:solidFill>
                    <w14:schemeClr w14:val="tx1"/>
                  </w14:solidFill>
                </w14:textFill>
              </w:rPr>
              <w:t>②灰渣</w:t>
            </w:r>
          </w:p>
          <w:p w14:paraId="658BE136">
            <w:pPr>
              <w:keepNext w:val="0"/>
              <w:keepLines w:val="0"/>
              <w:pageBreakBefore w:val="0"/>
              <w:suppressLineNumbers w:val="0"/>
              <w:tabs>
                <w:tab w:val="left" w:pos="1081"/>
              </w:tabs>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jc w:val="both"/>
              <w:textAlignment w:val="auto"/>
              <w:rPr>
                <w:rFonts w:hint="default" w:ascii="Times New Roman" w:hAnsi="Times New Roman" w:cs="Times New Roman"/>
                <w:color w:val="000000" w:themeColor="text1"/>
                <w:sz w:val="24"/>
                <w:szCs w:val="24"/>
                <w:highlight w:val="none"/>
                <w:u w:val="none" w:color="auto"/>
                <w:lang w:val="en-US" w:eastAsia="zh-CN"/>
                <w14:textFill>
                  <w14:solidFill>
                    <w14:schemeClr w14:val="tx1"/>
                  </w14:solidFill>
                </w14:textFill>
              </w:rPr>
            </w:pPr>
            <w:r>
              <w:rPr>
                <w:rFonts w:hint="default" w:ascii="Times New Roman" w:hAnsi="Times New Roman" w:cs="Times New Roman"/>
                <w:b w:val="0"/>
                <w:bCs w:val="0"/>
                <w:color w:val="000000" w:themeColor="text1"/>
                <w:sz w:val="24"/>
                <w:szCs w:val="24"/>
                <w:highlight w:val="none"/>
                <w:u w:val="none" w:color="auto"/>
                <w:lang w:val="en-US" w:eastAsia="zh-CN"/>
                <w14:textFill>
                  <w14:solidFill>
                    <w14:schemeClr w14:val="tx1"/>
                  </w14:solidFill>
                </w14:textFill>
              </w:rPr>
              <w:t>本项目</w:t>
            </w:r>
            <w:r>
              <w:rPr>
                <w:rFonts w:hint="default" w:ascii="Times New Roman" w:hAnsi="Times New Roman" w:eastAsia="宋体" w:cs="Times New Roman"/>
                <w:b w:val="0"/>
                <w:bCs w:val="0"/>
                <w:color w:val="000000" w:themeColor="text1"/>
                <w:kern w:val="0"/>
                <w:sz w:val="24"/>
                <w:szCs w:val="24"/>
                <w:highlight w:val="none"/>
                <w:u w:val="none" w:color="auto"/>
                <w:lang w:val="en-US" w:eastAsia="zh-CN" w:bidi="ar"/>
                <w14:textFill>
                  <w14:solidFill>
                    <w14:schemeClr w14:val="tx1"/>
                  </w14:solidFill>
                </w14:textFill>
              </w:rPr>
              <w:t>引火及炭化窑启动初始过程</w:t>
            </w:r>
            <w:r>
              <w:rPr>
                <w:rFonts w:hint="default" w:ascii="Times New Roman" w:hAnsi="Times New Roman" w:cs="Times New Roman"/>
                <w:bCs/>
                <w:color w:val="000000" w:themeColor="text1"/>
                <w:kern w:val="0"/>
                <w:sz w:val="24"/>
                <w:szCs w:val="24"/>
                <w:highlight w:val="none"/>
                <w:u w:val="none" w:color="auto"/>
                <w:lang w:val="en-US" w:eastAsia="zh-CN"/>
                <w14:textFill>
                  <w14:solidFill>
                    <w14:schemeClr w14:val="tx1"/>
                  </w14:solidFill>
                </w14:textFill>
              </w:rPr>
              <w:t>生物质燃料</w:t>
            </w:r>
            <w:r>
              <w:rPr>
                <w:rFonts w:hint="default" w:ascii="Times New Roman" w:hAnsi="Times New Roman" w:eastAsia="宋体" w:cs="Times New Roman"/>
                <w:b w:val="0"/>
                <w:bCs w:val="0"/>
                <w:color w:val="000000" w:themeColor="text1"/>
                <w:kern w:val="0"/>
                <w:sz w:val="24"/>
                <w:szCs w:val="24"/>
                <w:highlight w:val="none"/>
                <w:u w:val="none" w:color="auto"/>
                <w:lang w:val="en-US" w:eastAsia="zh-CN" w:bidi="ar"/>
                <w14:textFill>
                  <w14:solidFill>
                    <w14:schemeClr w14:val="tx1"/>
                  </w14:solidFill>
                </w14:textFill>
              </w:rPr>
              <w:t>点炉</w:t>
            </w:r>
            <w:r>
              <w:rPr>
                <w:rFonts w:hint="default" w:ascii="Times New Roman" w:hAnsi="Times New Roman" w:cs="Times New Roman"/>
                <w:b w:val="0"/>
                <w:bCs w:val="0"/>
                <w:color w:val="000000" w:themeColor="text1"/>
                <w:kern w:val="0"/>
                <w:sz w:val="24"/>
                <w:szCs w:val="24"/>
                <w:highlight w:val="none"/>
                <w:u w:val="none" w:color="auto"/>
                <w:lang w:val="en-US" w:eastAsia="zh-CN" w:bidi="ar"/>
                <w14:textFill>
                  <w14:solidFill>
                    <w14:schemeClr w14:val="tx1"/>
                  </w14:solidFill>
                </w14:textFill>
              </w:rPr>
              <w:t>等</w:t>
            </w:r>
            <w:r>
              <w:rPr>
                <w:rFonts w:hint="default" w:ascii="Times New Roman" w:hAnsi="Times New Roman" w:eastAsia="宋体" w:cs="Times New Roman"/>
                <w:b w:val="0"/>
                <w:bCs w:val="0"/>
                <w:color w:val="000000" w:themeColor="text1"/>
                <w:kern w:val="0"/>
                <w:sz w:val="24"/>
                <w:szCs w:val="24"/>
                <w:highlight w:val="none"/>
                <w:u w:val="none" w:color="auto"/>
                <w:lang w:val="en-US" w:eastAsia="zh-CN" w:bidi="ar"/>
                <w14:textFill>
                  <w14:solidFill>
                    <w14:schemeClr w14:val="tx1"/>
                  </w14:solidFill>
                </w14:textFill>
              </w:rPr>
              <w:t>会产生灰渣，灰渣产生量为42.29t/a。为一般固废，</w:t>
            </w:r>
            <w:r>
              <w:rPr>
                <w:rFonts w:hint="default" w:ascii="Times New Roman" w:hAnsi="Times New Roman" w:cs="Times New Roman"/>
                <w:b w:val="0"/>
                <w:bCs w:val="0"/>
                <w:color w:val="000000" w:themeColor="text1"/>
                <w:sz w:val="24"/>
                <w:szCs w:val="24"/>
                <w:u w:val="none" w:color="auto"/>
                <w14:textFill>
                  <w14:solidFill>
                    <w14:schemeClr w14:val="tx1"/>
                  </w14:solidFill>
                </w14:textFill>
              </w:rPr>
              <w:t>经收集后暂存于</w:t>
            </w:r>
            <w:r>
              <w:rPr>
                <w:rFonts w:hint="default" w:ascii="Times New Roman" w:hAnsi="Times New Roman" w:cs="Times New Roman"/>
                <w:b w:val="0"/>
                <w:bCs w:val="0"/>
                <w:color w:val="000000" w:themeColor="text1"/>
                <w:sz w:val="24"/>
                <w:szCs w:val="24"/>
                <w:u w:val="none" w:color="auto"/>
                <w:lang w:val="en-US" w:eastAsia="zh-CN"/>
                <w14:textFill>
                  <w14:solidFill>
                    <w14:schemeClr w14:val="tx1"/>
                  </w14:solidFill>
                </w14:textFill>
              </w:rPr>
              <w:t>一般</w:t>
            </w:r>
            <w:r>
              <w:rPr>
                <w:rFonts w:hint="default" w:ascii="Times New Roman" w:hAnsi="Times New Roman" w:cs="Times New Roman"/>
                <w:b w:val="0"/>
                <w:bCs w:val="0"/>
                <w:color w:val="000000" w:themeColor="text1"/>
                <w:sz w:val="24"/>
                <w:szCs w:val="24"/>
                <w:u w:val="none" w:color="auto"/>
                <w14:textFill>
                  <w14:solidFill>
                    <w14:schemeClr w14:val="tx1"/>
                  </w14:solidFill>
                </w14:textFill>
              </w:rPr>
              <w:t>固体废物暂存间（</w:t>
            </w:r>
            <w:r>
              <w:rPr>
                <w:rFonts w:hint="default" w:ascii="Times New Roman" w:hAnsi="Times New Roman" w:cs="Times New Roman"/>
                <w:b w:val="0"/>
                <w:bCs w:val="0"/>
                <w:color w:val="000000" w:themeColor="text1"/>
                <w:sz w:val="24"/>
                <w:szCs w:val="24"/>
                <w:u w:val="none" w:color="auto"/>
                <w:lang w:val="en-US" w:eastAsia="zh-CN"/>
                <w14:textFill>
                  <w14:solidFill>
                    <w14:schemeClr w14:val="tx1"/>
                  </w14:solidFill>
                </w14:textFill>
              </w:rPr>
              <w:t>10</w:t>
            </w:r>
            <w:r>
              <w:rPr>
                <w:rFonts w:hint="default" w:ascii="Times New Roman" w:hAnsi="Times New Roman" w:cs="Times New Roman"/>
                <w:b w:val="0"/>
                <w:bCs w:val="0"/>
                <w:color w:val="000000" w:themeColor="text1"/>
                <w:sz w:val="24"/>
                <w:szCs w:val="24"/>
                <w:u w:val="none" w:color="auto"/>
                <w14:textFill>
                  <w14:solidFill>
                    <w14:schemeClr w14:val="tx1"/>
                  </w14:solidFill>
                </w14:textFill>
              </w:rPr>
              <w:t>m</w:t>
            </w:r>
            <w:r>
              <w:rPr>
                <w:rFonts w:hint="default" w:ascii="Times New Roman" w:hAnsi="Times New Roman" w:cs="Times New Roman"/>
                <w:b w:val="0"/>
                <w:bCs w:val="0"/>
                <w:color w:val="000000" w:themeColor="text1"/>
                <w:sz w:val="24"/>
                <w:szCs w:val="24"/>
                <w:u w:val="none" w:color="auto"/>
                <w:vertAlign w:val="superscript"/>
                <w14:textFill>
                  <w14:solidFill>
                    <w14:schemeClr w14:val="tx1"/>
                  </w14:solidFill>
                </w14:textFill>
              </w:rPr>
              <w:t>2</w:t>
            </w:r>
            <w:r>
              <w:rPr>
                <w:rFonts w:hint="default" w:ascii="Times New Roman" w:hAnsi="Times New Roman" w:cs="Times New Roman"/>
                <w:b w:val="0"/>
                <w:bCs w:val="0"/>
                <w:color w:val="000000" w:themeColor="text1"/>
                <w:sz w:val="24"/>
                <w:szCs w:val="24"/>
                <w:u w:val="none" w:color="auto"/>
                <w14:textFill>
                  <w14:solidFill>
                    <w14:schemeClr w14:val="tx1"/>
                  </w14:solidFill>
                </w14:textFill>
              </w:rPr>
              <w:t>），经收集后外售用作农肥。</w:t>
            </w:r>
          </w:p>
          <w:p w14:paraId="667638AC">
            <w:pPr>
              <w:keepNext w:val="0"/>
              <w:keepLines w:val="0"/>
              <w:pageBreakBefore w:val="0"/>
              <w:suppressLineNumbers w:val="0"/>
              <w:tabs>
                <w:tab w:val="left" w:pos="1081"/>
              </w:tabs>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jc w:val="both"/>
              <w:textAlignment w:val="auto"/>
              <w:rPr>
                <w:rFonts w:hint="eastAsia" w:cs="Times New Roman"/>
                <w:color w:val="000000" w:themeColor="text1"/>
                <w:sz w:val="24"/>
                <w:szCs w:val="24"/>
                <w:highlight w:val="none"/>
                <w:u w:val="none" w:color="auto"/>
                <w:lang w:val="en-US" w:eastAsia="zh-CN"/>
                <w14:textFill>
                  <w14:solidFill>
                    <w14:schemeClr w14:val="tx1"/>
                  </w14:solidFill>
                </w14:textFill>
              </w:rPr>
            </w:pPr>
            <w:r>
              <w:rPr>
                <w:rFonts w:hint="default" w:ascii="Times New Roman" w:hAnsi="Times New Roman" w:cs="Times New Roman"/>
                <w:color w:val="000000" w:themeColor="text1"/>
                <w:sz w:val="24"/>
                <w:szCs w:val="24"/>
                <w:highlight w:val="none"/>
                <w:u w:val="none" w:color="auto"/>
                <w:lang w:val="en-US" w:eastAsia="zh-CN"/>
                <w14:textFill>
                  <w14:solidFill>
                    <w14:schemeClr w14:val="tx1"/>
                  </w14:solidFill>
                </w14:textFill>
              </w:rPr>
              <w:t>③</w:t>
            </w:r>
            <w:r>
              <w:rPr>
                <w:rFonts w:hint="eastAsia" w:cs="Times New Roman"/>
                <w:color w:val="000000" w:themeColor="text1"/>
                <w:sz w:val="24"/>
                <w:szCs w:val="24"/>
                <w:highlight w:val="none"/>
                <w:u w:val="none" w:color="auto"/>
                <w:lang w:val="en-US" w:eastAsia="zh-CN"/>
                <w14:textFill>
                  <w14:solidFill>
                    <w14:schemeClr w14:val="tx1"/>
                  </w14:solidFill>
                </w14:textFill>
              </w:rPr>
              <w:t>锯切等过程产生的废炭渣</w:t>
            </w:r>
          </w:p>
          <w:p w14:paraId="7B62B5BE">
            <w:pPr>
              <w:keepNext w:val="0"/>
              <w:keepLines w:val="0"/>
              <w:pageBreakBefore w:val="0"/>
              <w:suppressLineNumbers w:val="0"/>
              <w:tabs>
                <w:tab w:val="left" w:pos="1081"/>
              </w:tabs>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jc w:val="both"/>
              <w:textAlignment w:val="auto"/>
              <w:rPr>
                <w:rFonts w:hint="default" w:ascii="Times New Roman" w:hAnsi="Times New Roman" w:cs="Times New Roman"/>
                <w:b w:val="0"/>
                <w:bCs w:val="0"/>
                <w:color w:val="000000" w:themeColor="text1"/>
                <w:sz w:val="24"/>
                <w:szCs w:val="24"/>
                <w:u w:val="none" w:color="auto"/>
                <w14:textFill>
                  <w14:solidFill>
                    <w14:schemeClr w14:val="tx1"/>
                  </w14:solidFill>
                </w14:textFill>
              </w:rPr>
            </w:pPr>
            <w:r>
              <w:rPr>
                <w:rFonts w:hint="eastAsia" w:cs="Times New Roman"/>
                <w:color w:val="000000" w:themeColor="text1"/>
                <w:sz w:val="24"/>
                <w:szCs w:val="24"/>
                <w:highlight w:val="none"/>
                <w:u w:val="none" w:color="auto"/>
                <w:lang w:val="en-US" w:eastAsia="zh-CN"/>
                <w14:textFill>
                  <w14:solidFill>
                    <w14:schemeClr w14:val="tx1"/>
                  </w14:solidFill>
                </w14:textFill>
              </w:rPr>
              <w:t>机制炭锯切等过程产生的废炭渣量约为5.0t/a，为一般固废，经收集后外售。</w:t>
            </w:r>
          </w:p>
          <w:p w14:paraId="1099C971">
            <w:pPr>
              <w:keepNext w:val="0"/>
              <w:keepLines w:val="0"/>
              <w:pageBreakBefore w:val="0"/>
              <w:suppressLineNumbers w:val="0"/>
              <w:tabs>
                <w:tab w:val="left" w:pos="1081"/>
              </w:tabs>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jc w:val="both"/>
              <w:textAlignment w:val="auto"/>
              <w:rPr>
                <w:rFonts w:hint="default" w:ascii="Times New Roman" w:hAnsi="Times New Roman" w:eastAsia="宋体" w:cs="Times New Roman"/>
                <w:color w:val="000000" w:themeColor="text1"/>
                <w:sz w:val="24"/>
                <w:szCs w:val="24"/>
                <w:highlight w:val="none"/>
                <w:u w:val="none" w:color="auto"/>
                <w:lang w:val="en-US" w:eastAsia="zh-CN"/>
                <w14:textFill>
                  <w14:solidFill>
                    <w14:schemeClr w14:val="tx1"/>
                  </w14:solidFill>
                </w14:textFill>
              </w:rPr>
            </w:pPr>
            <w:r>
              <w:rPr>
                <w:rFonts w:hint="eastAsia" w:cs="Times New Roman"/>
                <w:color w:val="000000" w:themeColor="text1"/>
                <w:sz w:val="24"/>
                <w:szCs w:val="24"/>
                <w:highlight w:val="none"/>
                <w:u w:val="none" w:color="auto"/>
                <w:lang w:val="en-US" w:eastAsia="zh-CN"/>
                <w14:textFill>
                  <w14:solidFill>
                    <w14:schemeClr w14:val="tx1"/>
                  </w14:solidFill>
                </w14:textFill>
              </w:rPr>
              <w:t>④废包装材料</w:t>
            </w:r>
          </w:p>
          <w:p w14:paraId="6182438B">
            <w:pPr>
              <w:pStyle w:val="58"/>
              <w:keepNext w:val="0"/>
              <w:keepLines w:val="0"/>
              <w:suppressLineNumbers w:val="0"/>
              <w:bidi w:val="0"/>
              <w:spacing w:before="0" w:beforeAutospacing="0" w:after="0" w:afterAutospacing="0"/>
              <w:ind w:left="0" w:right="0"/>
              <w:rPr>
                <w:rFonts w:hint="default" w:cs="Times New Roman"/>
                <w:color w:val="000000" w:themeColor="text1"/>
                <w:sz w:val="24"/>
                <w:szCs w:val="24"/>
                <w:highlight w:val="none"/>
                <w:u w:val="none" w:color="auto"/>
                <w:lang w:val="en-US" w:eastAsia="zh-CN"/>
                <w14:textFill>
                  <w14:solidFill>
                    <w14:schemeClr w14:val="tx1"/>
                  </w14:solidFill>
                </w14:textFill>
              </w:rPr>
            </w:pPr>
            <w:r>
              <w:rPr>
                <w:rFonts w:hint="eastAsia"/>
                <w:color w:val="000000" w:themeColor="text1"/>
                <w:highlight w:val="none"/>
                <w:u w:val="none" w:color="auto"/>
                <w:lang w:val="en-US" w:eastAsia="zh-CN"/>
                <w14:textFill>
                  <w14:solidFill>
                    <w14:schemeClr w14:val="tx1"/>
                  </w14:solidFill>
                </w14:textFill>
              </w:rPr>
              <w:t>生产</w:t>
            </w:r>
            <w:r>
              <w:rPr>
                <w:rFonts w:hint="eastAsia"/>
                <w:color w:val="000000" w:themeColor="text1"/>
                <w:u w:val="none" w:color="auto"/>
                <w:lang w:val="en-US" w:eastAsia="zh-CN"/>
                <w14:textFill>
                  <w14:solidFill>
                    <w14:schemeClr w14:val="tx1"/>
                  </w14:solidFill>
                </w14:textFill>
              </w:rPr>
              <w:t>包装</w:t>
            </w:r>
            <w:r>
              <w:rPr>
                <w:rFonts w:hint="default" w:ascii="Times New Roman" w:hAnsi="Times New Roman"/>
                <w:color w:val="000000" w:themeColor="text1"/>
                <w:u w:val="none" w:color="auto"/>
                <w14:textFill>
                  <w14:solidFill>
                    <w14:schemeClr w14:val="tx1"/>
                  </w14:solidFill>
                </w14:textFill>
              </w:rPr>
              <w:t>过程会产生废包装袋，产生量约</w:t>
            </w:r>
            <w:r>
              <w:rPr>
                <w:rFonts w:hint="eastAsia"/>
                <w:color w:val="000000" w:themeColor="text1"/>
                <w:u w:val="none" w:color="auto"/>
                <w:lang w:val="en-US" w:eastAsia="zh-CN"/>
                <w14:textFill>
                  <w14:solidFill>
                    <w14:schemeClr w14:val="tx1"/>
                  </w14:solidFill>
                </w14:textFill>
              </w:rPr>
              <w:t>0.5</w:t>
            </w:r>
            <w:r>
              <w:rPr>
                <w:rFonts w:hint="default" w:ascii="Times New Roman" w:hAnsi="Times New Roman"/>
                <w:color w:val="000000" w:themeColor="text1"/>
                <w:u w:val="none" w:color="auto"/>
                <w14:textFill>
                  <w14:solidFill>
                    <w14:schemeClr w14:val="tx1"/>
                  </w14:solidFill>
                </w14:textFill>
              </w:rPr>
              <w:t>t/a</w:t>
            </w:r>
            <w:r>
              <w:rPr>
                <w:rFonts w:hint="eastAsia" w:ascii="Times New Roman" w:hAnsi="Times New Roman"/>
                <w:color w:val="000000" w:themeColor="text1"/>
                <w:u w:val="none" w:color="auto"/>
                <w:lang w:eastAsia="zh-CN"/>
                <w14:textFill>
                  <w14:solidFill>
                    <w14:schemeClr w14:val="tx1"/>
                  </w14:solidFill>
                </w14:textFill>
              </w:rPr>
              <w:t>，</w:t>
            </w:r>
            <w:r>
              <w:rPr>
                <w:rFonts w:hint="eastAsia" w:ascii="Times New Roman" w:hAnsi="Times New Roman"/>
                <w:color w:val="000000" w:themeColor="text1"/>
                <w:u w:val="none" w:color="auto"/>
                <w:lang w:val="en-US" w:eastAsia="zh-CN"/>
                <w14:textFill>
                  <w14:solidFill>
                    <w14:schemeClr w14:val="tx1"/>
                  </w14:solidFill>
                </w14:textFill>
              </w:rPr>
              <w:t>收集后外售</w:t>
            </w:r>
            <w:r>
              <w:rPr>
                <w:rFonts w:hint="default" w:ascii="Times New Roman" w:hAnsi="Times New Roman"/>
                <w:color w:val="000000" w:themeColor="text1"/>
                <w:u w:val="none" w:color="auto"/>
                <w14:textFill>
                  <w14:solidFill>
                    <w14:schemeClr w14:val="tx1"/>
                  </w14:solidFill>
                </w14:textFill>
              </w:rPr>
              <w:t>。</w:t>
            </w:r>
          </w:p>
          <w:p w14:paraId="097DECAF">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eastAsia"/>
                <w:color w:val="000000" w:themeColor="text1"/>
                <w:sz w:val="24"/>
                <w:szCs w:val="24"/>
                <w:u w:val="none" w:color="auto"/>
                <w14:textFill>
                  <w14:solidFill>
                    <w14:schemeClr w14:val="tx1"/>
                  </w14:solidFill>
                </w14:textFill>
              </w:rPr>
            </w:pPr>
            <w:r>
              <w:rPr>
                <w:rFonts w:hint="eastAsia" w:cs="Times New Roman"/>
                <w:b w:val="0"/>
                <w:bCs/>
                <w:color w:val="000000" w:themeColor="text1"/>
                <w:kern w:val="0"/>
                <w:sz w:val="24"/>
                <w:szCs w:val="24"/>
                <w:highlight w:val="none"/>
                <w:u w:val="none" w:color="auto"/>
                <w:vertAlign w:val="baseline"/>
                <w:lang w:val="en-US" w:eastAsia="zh-CN"/>
                <w14:textFill>
                  <w14:solidFill>
                    <w14:schemeClr w14:val="tx1"/>
                  </w14:solidFill>
                </w14:textFill>
              </w:rPr>
              <w:t>⑤</w:t>
            </w:r>
            <w:r>
              <w:rPr>
                <w:rFonts w:hint="eastAsia"/>
                <w:color w:val="000000" w:themeColor="text1"/>
                <w:sz w:val="24"/>
                <w:szCs w:val="24"/>
                <w:u w:val="none" w:color="auto"/>
                <w14:textFill>
                  <w14:solidFill>
                    <w14:schemeClr w14:val="tx1"/>
                  </w14:solidFill>
                </w14:textFill>
              </w:rPr>
              <w:t>炭化过程产生的</w:t>
            </w:r>
            <w:r>
              <w:rPr>
                <w:rFonts w:hint="eastAsia"/>
                <w:color w:val="000000" w:themeColor="text1"/>
                <w:sz w:val="24"/>
                <w:szCs w:val="24"/>
                <w:u w:val="none" w:color="auto"/>
                <w:lang w:val="en-US" w:eastAsia="zh-CN"/>
                <w14:textFill>
                  <w14:solidFill>
                    <w14:schemeClr w14:val="tx1"/>
                  </w14:solidFill>
                </w14:textFill>
              </w:rPr>
              <w:t>粗</w:t>
            </w:r>
            <w:r>
              <w:rPr>
                <w:rFonts w:hint="eastAsia"/>
                <w:color w:val="000000" w:themeColor="text1"/>
                <w:sz w:val="24"/>
                <w:szCs w:val="24"/>
                <w:u w:val="none" w:color="auto"/>
                <w14:textFill>
                  <w14:solidFill>
                    <w14:schemeClr w14:val="tx1"/>
                  </w14:solidFill>
                </w14:textFill>
              </w:rPr>
              <w:t>木焦油、木醋液</w:t>
            </w:r>
          </w:p>
          <w:p w14:paraId="79B6D76E">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color w:val="000000" w:themeColor="text1"/>
                <w:u w:val="none" w:color="auto"/>
                <w14:textFill>
                  <w14:solidFill>
                    <w14:schemeClr w14:val="tx1"/>
                  </w14:solidFill>
                </w14:textFill>
              </w:rPr>
            </w:pPr>
            <w:r>
              <w:rPr>
                <w:rFonts w:hint="eastAsia"/>
                <w:color w:val="000000" w:themeColor="text1"/>
                <w:sz w:val="24"/>
                <w:szCs w:val="24"/>
                <w:u w:val="none" w:color="auto"/>
                <w:lang w:val="en-US" w:eastAsia="zh-CN"/>
                <w14:textFill>
                  <w14:solidFill>
                    <w14:schemeClr w14:val="tx1"/>
                  </w14:solidFill>
                </w14:textFill>
              </w:rPr>
              <w:t>粗</w:t>
            </w:r>
            <w:r>
              <w:rPr>
                <w:rFonts w:hint="eastAsia"/>
                <w:color w:val="000000" w:themeColor="text1"/>
                <w:sz w:val="24"/>
                <w:szCs w:val="24"/>
                <w:u w:val="none" w:color="auto"/>
                <w14:textFill>
                  <w14:solidFill>
                    <w14:schemeClr w14:val="tx1"/>
                  </w14:solidFill>
                </w14:textFill>
              </w:rPr>
              <w:t>木焦油、木醋液</w:t>
            </w:r>
            <w:r>
              <w:rPr>
                <w:rFonts w:hint="eastAsia" w:ascii="宋体" w:hAnsi="宋体" w:eastAsia="宋体" w:cs="宋体"/>
                <w:color w:val="000000" w:themeColor="text1"/>
                <w:kern w:val="0"/>
                <w:sz w:val="24"/>
                <w:szCs w:val="24"/>
                <w:u w:val="none" w:color="auto"/>
                <w:lang w:val="en-US" w:eastAsia="zh-CN" w:bidi="ar"/>
                <w14:textFill>
                  <w14:solidFill>
                    <w14:schemeClr w14:val="tx1"/>
                  </w14:solidFill>
                </w14:textFill>
              </w:rPr>
              <w:t>不在</w:t>
            </w:r>
            <w:r>
              <w:rPr>
                <w:rFonts w:hint="eastAsia"/>
                <w:color w:val="000000" w:themeColor="text1"/>
                <w:sz w:val="24"/>
                <w:szCs w:val="24"/>
                <w:u w:val="none" w:color="auto"/>
                <w14:textFill>
                  <w14:solidFill>
                    <w14:schemeClr w14:val="tx1"/>
                  </w14:solidFill>
                </w14:textFill>
              </w:rPr>
              <w:t>《国家危险废物名录（202</w:t>
            </w:r>
            <w:r>
              <w:rPr>
                <w:rFonts w:hint="eastAsia"/>
                <w:color w:val="000000" w:themeColor="text1"/>
                <w:sz w:val="24"/>
                <w:szCs w:val="24"/>
                <w:u w:val="none" w:color="auto"/>
                <w:lang w:val="en-US" w:eastAsia="zh-CN"/>
                <w14:textFill>
                  <w14:solidFill>
                    <w14:schemeClr w14:val="tx1"/>
                  </w14:solidFill>
                </w14:textFill>
              </w:rPr>
              <w:t>5年</w:t>
            </w:r>
            <w:r>
              <w:rPr>
                <w:rFonts w:hint="eastAsia"/>
                <w:color w:val="000000" w:themeColor="text1"/>
                <w:sz w:val="24"/>
                <w:szCs w:val="24"/>
                <w:u w:val="none" w:color="auto"/>
                <w14:textFill>
                  <w14:solidFill>
                    <w14:schemeClr w14:val="tx1"/>
                  </w14:solidFill>
                </w14:textFill>
              </w:rPr>
              <w:t>版）》</w:t>
            </w:r>
            <w:r>
              <w:rPr>
                <w:rFonts w:hint="eastAsia" w:ascii="宋体" w:hAnsi="宋体" w:eastAsia="宋体" w:cs="宋体"/>
                <w:color w:val="000000" w:themeColor="text1"/>
                <w:kern w:val="0"/>
                <w:sz w:val="24"/>
                <w:szCs w:val="24"/>
                <w:u w:val="none" w:color="auto"/>
                <w:lang w:val="en-US" w:eastAsia="zh-CN" w:bidi="ar"/>
                <w14:textFill>
                  <w14:solidFill>
                    <w14:schemeClr w14:val="tx1"/>
                  </w14:solidFill>
                </w14:textFill>
              </w:rPr>
              <w:t>内，</w:t>
            </w:r>
            <w:r>
              <w:rPr>
                <w:rFonts w:hint="eastAsia"/>
                <w:color w:val="000000" w:themeColor="text1"/>
                <w:sz w:val="24"/>
                <w:szCs w:val="24"/>
                <w:u w:val="none" w:color="auto"/>
                <w:lang w:val="en-US" w:eastAsia="zh-CN"/>
                <w14:textFill>
                  <w14:solidFill>
                    <w14:schemeClr w14:val="tx1"/>
                  </w14:solidFill>
                </w14:textFill>
              </w:rPr>
              <w:t>粗</w:t>
            </w:r>
            <w:r>
              <w:rPr>
                <w:rFonts w:hint="eastAsia"/>
                <w:color w:val="000000" w:themeColor="text1"/>
                <w:sz w:val="24"/>
                <w:szCs w:val="24"/>
                <w:u w:val="none" w:color="auto"/>
                <w14:textFill>
                  <w14:solidFill>
                    <w14:schemeClr w14:val="tx1"/>
                  </w14:solidFill>
                </w14:textFill>
              </w:rPr>
              <w:t>木焦油、木醋液</w:t>
            </w:r>
            <w:r>
              <w:rPr>
                <w:rFonts w:hint="eastAsia" w:ascii="宋体" w:hAnsi="宋体" w:eastAsia="宋体" w:cs="宋体"/>
                <w:color w:val="000000" w:themeColor="text1"/>
                <w:kern w:val="0"/>
                <w:sz w:val="24"/>
                <w:szCs w:val="24"/>
                <w:u w:val="none" w:color="auto"/>
                <w:lang w:val="en-US" w:eastAsia="zh-CN" w:bidi="ar"/>
                <w14:textFill>
                  <w14:solidFill>
                    <w14:schemeClr w14:val="tx1"/>
                  </w14:solidFill>
                </w14:textFill>
              </w:rPr>
              <w:t>是以生物质为主要原料的加工过程热解工艺产生的残留物，不属于编号</w:t>
            </w:r>
            <w:r>
              <w:rPr>
                <w:rFonts w:hint="default" w:ascii="Times New Roman" w:hAnsi="Times New Roman" w:eastAsia="宋体" w:cs="Times New Roman"/>
                <w:color w:val="000000" w:themeColor="text1"/>
                <w:kern w:val="0"/>
                <w:sz w:val="24"/>
                <w:szCs w:val="24"/>
                <w:u w:val="none" w:color="auto"/>
                <w:lang w:val="en-US" w:eastAsia="zh-CN" w:bidi="ar"/>
                <w14:textFill>
                  <w14:solidFill>
                    <w14:schemeClr w14:val="tx1"/>
                  </w14:solidFill>
                </w14:textFill>
              </w:rPr>
              <w:t>HW11</w:t>
            </w:r>
            <w:r>
              <w:rPr>
                <w:rFonts w:hint="eastAsia" w:ascii="宋体" w:hAnsi="宋体" w:eastAsia="宋体" w:cs="宋体"/>
                <w:color w:val="000000" w:themeColor="text1"/>
                <w:kern w:val="0"/>
                <w:sz w:val="24"/>
                <w:szCs w:val="24"/>
                <w:u w:val="none" w:color="auto"/>
                <w:lang w:val="en-US" w:eastAsia="zh-CN" w:bidi="ar"/>
                <w14:textFill>
                  <w14:solidFill>
                    <w14:schemeClr w14:val="tx1"/>
                  </w14:solidFill>
                </w14:textFill>
              </w:rPr>
              <w:t>精（蒸）馏残渣中代码</w:t>
            </w:r>
            <w:r>
              <w:rPr>
                <w:rFonts w:hint="default" w:ascii="Times New Roman" w:hAnsi="Times New Roman" w:eastAsia="宋体" w:cs="Times New Roman"/>
                <w:color w:val="000000" w:themeColor="text1"/>
                <w:kern w:val="0"/>
                <w:sz w:val="24"/>
                <w:szCs w:val="24"/>
                <w:u w:val="none" w:color="auto"/>
                <w:lang w:val="en-US" w:eastAsia="zh-CN" w:bidi="ar"/>
                <w14:textFill>
                  <w14:solidFill>
                    <w14:schemeClr w14:val="tx1"/>
                  </w14:solidFill>
                </w14:textFill>
              </w:rPr>
              <w:t>900-013-11</w:t>
            </w:r>
            <w:r>
              <w:rPr>
                <w:rFonts w:hint="eastAsia" w:ascii="宋体" w:hAnsi="宋体" w:eastAsia="宋体" w:cs="宋体"/>
                <w:color w:val="000000" w:themeColor="text1"/>
                <w:kern w:val="0"/>
                <w:sz w:val="24"/>
                <w:szCs w:val="24"/>
                <w:u w:val="none" w:color="auto"/>
                <w:lang w:val="en-US" w:eastAsia="zh-CN" w:bidi="ar"/>
                <w14:textFill>
                  <w14:solidFill>
                    <w14:schemeClr w14:val="tx1"/>
                  </w14:solidFill>
                </w14:textFill>
              </w:rPr>
              <w:t>的危险废物（其他化工生产过程（不包括以生物质为主要原料的加工过程）中精馏、蒸馏和热解工艺产生的高沸点釜底残余物），因此</w:t>
            </w:r>
            <w:r>
              <w:rPr>
                <w:rFonts w:hint="eastAsia"/>
                <w:color w:val="000000" w:themeColor="text1"/>
                <w:sz w:val="24"/>
                <w:szCs w:val="24"/>
                <w:u w:val="none" w:color="auto"/>
                <w:lang w:val="en-US" w:eastAsia="zh-CN"/>
                <w14:textFill>
                  <w14:solidFill>
                    <w14:schemeClr w14:val="tx1"/>
                  </w14:solidFill>
                </w14:textFill>
              </w:rPr>
              <w:t>粗</w:t>
            </w:r>
            <w:r>
              <w:rPr>
                <w:rFonts w:hint="eastAsia"/>
                <w:color w:val="000000" w:themeColor="text1"/>
                <w:sz w:val="24"/>
                <w:szCs w:val="24"/>
                <w:u w:val="none" w:color="auto"/>
                <w14:textFill>
                  <w14:solidFill>
                    <w14:schemeClr w14:val="tx1"/>
                  </w14:solidFill>
                </w14:textFill>
              </w:rPr>
              <w:t>木焦油、木醋液</w:t>
            </w:r>
            <w:r>
              <w:rPr>
                <w:rFonts w:hint="eastAsia" w:ascii="宋体" w:hAnsi="宋体" w:eastAsia="宋体" w:cs="宋体"/>
                <w:color w:val="000000" w:themeColor="text1"/>
                <w:kern w:val="0"/>
                <w:sz w:val="24"/>
                <w:szCs w:val="24"/>
                <w:u w:val="none" w:color="auto"/>
                <w:lang w:val="en-US" w:eastAsia="zh-CN" w:bidi="ar"/>
                <w14:textFill>
                  <w14:solidFill>
                    <w14:schemeClr w14:val="tx1"/>
                  </w14:solidFill>
                </w14:textFill>
              </w:rPr>
              <w:t>不按照危险废物收集和管理。</w:t>
            </w:r>
          </w:p>
          <w:p w14:paraId="7E9643CC">
            <w:pPr>
              <w:keepNext w:val="0"/>
              <w:keepLines w:val="0"/>
              <w:pageBreakBefore w:val="0"/>
              <w:suppressLineNumbers w:val="0"/>
              <w:tabs>
                <w:tab w:val="left" w:pos="1081"/>
              </w:tabs>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jc w:val="both"/>
              <w:textAlignment w:val="auto"/>
              <w:rPr>
                <w:rFonts w:hint="eastAsia"/>
                <w:color w:val="000000" w:themeColor="text1"/>
                <w:sz w:val="24"/>
                <w:szCs w:val="24"/>
                <w:highlight w:val="none"/>
                <w:u w:val="none" w:color="auto"/>
                <w:lang w:val="en-US" w:eastAsia="zh-CN"/>
                <w14:textFill>
                  <w14:solidFill>
                    <w14:schemeClr w14:val="tx1"/>
                  </w14:solidFill>
                </w14:textFill>
              </w:rPr>
            </w:pPr>
            <w:r>
              <w:rPr>
                <w:rFonts w:hint="eastAsia"/>
                <w:color w:val="000000" w:themeColor="text1"/>
                <w:sz w:val="24"/>
                <w:szCs w:val="24"/>
                <w:u w:val="none" w:color="auto"/>
                <w14:textFill>
                  <w14:solidFill>
                    <w14:schemeClr w14:val="tx1"/>
                  </w14:solidFill>
                </w14:textFill>
              </w:rPr>
              <w:t>本项目</w:t>
            </w:r>
            <w:r>
              <w:rPr>
                <w:rFonts w:hint="eastAsia"/>
                <w:color w:val="000000" w:themeColor="text1"/>
                <w:sz w:val="24"/>
                <w:szCs w:val="24"/>
                <w:u w:val="none" w:color="auto"/>
                <w:lang w:val="en-US" w:eastAsia="zh-CN"/>
                <w14:textFill>
                  <w14:solidFill>
                    <w14:schemeClr w14:val="tx1"/>
                  </w14:solidFill>
                </w14:textFill>
              </w:rPr>
              <w:t>机制炭生产线</w:t>
            </w:r>
            <w:r>
              <w:rPr>
                <w:rFonts w:hint="eastAsia"/>
                <w:color w:val="000000" w:themeColor="text1"/>
                <w:sz w:val="24"/>
                <w:szCs w:val="24"/>
                <w:u w:val="none" w:color="auto"/>
                <w14:textFill>
                  <w14:solidFill>
                    <w14:schemeClr w14:val="tx1"/>
                  </w14:solidFill>
                </w14:textFill>
              </w:rPr>
              <w:t>冷凝后的粗木焦油、木醋液</w:t>
            </w:r>
            <w:r>
              <w:rPr>
                <w:rFonts w:hint="eastAsia"/>
                <w:color w:val="000000" w:themeColor="text1"/>
                <w:sz w:val="24"/>
                <w:szCs w:val="24"/>
                <w:u w:val="none" w:color="auto"/>
                <w:lang w:val="en-US" w:eastAsia="zh-CN"/>
                <w14:textFill>
                  <w14:solidFill>
                    <w14:schemeClr w14:val="tx1"/>
                  </w14:solidFill>
                </w14:textFill>
              </w:rPr>
              <w:t>总量为3974.89t/a，</w:t>
            </w:r>
            <w:r>
              <w:rPr>
                <w:rFonts w:hint="eastAsia"/>
                <w:color w:val="000000" w:themeColor="text1"/>
                <w:sz w:val="24"/>
                <w:szCs w:val="24"/>
                <w:u w:val="none" w:color="auto"/>
                <w14:textFill>
                  <w14:solidFill>
                    <w14:schemeClr w14:val="tx1"/>
                  </w14:solidFill>
                </w14:textFill>
              </w:rPr>
              <w:t>采用防渗防漏的专用容器盛装密封</w:t>
            </w:r>
            <w:r>
              <w:rPr>
                <w:rFonts w:hint="eastAsia"/>
                <w:color w:val="000000" w:themeColor="text1"/>
                <w:sz w:val="24"/>
                <w:szCs w:val="24"/>
                <w:u w:val="none" w:color="auto"/>
                <w:lang w:eastAsia="zh-CN"/>
                <w14:textFill>
                  <w14:solidFill>
                    <w14:schemeClr w14:val="tx1"/>
                  </w14:solidFill>
                </w14:textFill>
              </w:rPr>
              <w:t>，</w:t>
            </w:r>
            <w:r>
              <w:rPr>
                <w:rFonts w:hint="eastAsia"/>
                <w:color w:val="000000" w:themeColor="text1"/>
                <w:sz w:val="24"/>
                <w:szCs w:val="24"/>
                <w:u w:val="none" w:color="auto"/>
                <w14:textFill>
                  <w14:solidFill>
                    <w14:schemeClr w14:val="tx1"/>
                  </w14:solidFill>
                </w14:textFill>
              </w:rPr>
              <w:t>作为副产品外售。</w:t>
            </w:r>
            <w:r>
              <w:rPr>
                <w:rFonts w:hint="eastAsia"/>
                <w:color w:val="000000" w:themeColor="text1"/>
                <w:sz w:val="24"/>
                <w:szCs w:val="24"/>
                <w:u w:val="none" w:color="auto"/>
                <w:lang w:val="en-US" w:eastAsia="zh-CN"/>
                <w14:textFill>
                  <w14:solidFill>
                    <w14:schemeClr w14:val="tx1"/>
                  </w14:solidFill>
                </w14:textFill>
              </w:rPr>
              <w:t>其中木焦油由社旗县瑞发建材有限公司回收后用于乳化沥青加工，</w:t>
            </w:r>
            <w:r>
              <w:rPr>
                <w:rFonts w:hint="eastAsia"/>
                <w:color w:val="000000" w:themeColor="text1"/>
                <w:sz w:val="24"/>
                <w:szCs w:val="24"/>
                <w:highlight w:val="none"/>
                <w:u w:val="none" w:color="auto"/>
                <w:lang w:val="en-US" w:eastAsia="zh-CN"/>
                <w14:textFill>
                  <w14:solidFill>
                    <w14:schemeClr w14:val="tx1"/>
                  </w14:solidFill>
                </w14:textFill>
              </w:rPr>
              <w:t>木醋液由</w:t>
            </w:r>
            <w:r>
              <w:rPr>
                <w:rFonts w:hint="eastAsia"/>
                <w:color w:val="000000" w:themeColor="text1"/>
                <w:sz w:val="24"/>
                <w:szCs w:val="24"/>
                <w:u w:val="none" w:color="auto"/>
                <w:lang w:val="en-US" w:eastAsia="zh-CN"/>
                <w14:textFill>
                  <w14:solidFill>
                    <w14:schemeClr w14:val="tx1"/>
                  </w14:solidFill>
                </w14:textFill>
              </w:rPr>
              <w:t>河南润灵药业有限公司回收后用于杀虫剂加工</w:t>
            </w:r>
            <w:r>
              <w:rPr>
                <w:rFonts w:hint="eastAsia"/>
                <w:color w:val="000000" w:themeColor="text1"/>
                <w:sz w:val="24"/>
                <w:szCs w:val="24"/>
                <w:highlight w:val="none"/>
                <w:u w:val="none" w:color="auto"/>
                <w:lang w:val="en-US" w:eastAsia="zh-CN"/>
                <w14:textFill>
                  <w14:solidFill>
                    <w14:schemeClr w14:val="tx1"/>
                  </w14:solidFill>
                </w14:textFill>
              </w:rPr>
              <w:t>等，租赁协议详见附件。</w:t>
            </w:r>
          </w:p>
          <w:p w14:paraId="1B4CB617">
            <w:pPr>
              <w:adjustRightInd w:val="0"/>
              <w:snapToGrid w:val="0"/>
              <w:spacing w:line="360" w:lineRule="auto"/>
              <w:jc w:val="center"/>
              <w:rPr>
                <w:rFonts w:hint="default" w:ascii="Times New Roman" w:hAnsi="Times New Roman" w:eastAsia="宋体" w:cs="Times New Roman"/>
                <w:b/>
                <w:color w:val="000000" w:themeColor="text1"/>
                <w:sz w:val="24"/>
                <w:szCs w:val="24"/>
                <w:highlight w:val="none"/>
                <w:u w:val="none" w:color="auto"/>
                <w14:textFill>
                  <w14:solidFill>
                    <w14:schemeClr w14:val="tx1"/>
                  </w14:solidFill>
                </w14:textFill>
              </w:rPr>
            </w:pPr>
            <w:r>
              <w:rPr>
                <w:rFonts w:hint="default" w:ascii="Times New Roman" w:hAnsi="Times New Roman" w:eastAsia="宋体" w:cs="Times New Roman"/>
                <w:b/>
                <w:color w:val="000000" w:themeColor="text1"/>
                <w:kern w:val="2"/>
                <w:sz w:val="24"/>
                <w:szCs w:val="24"/>
                <w:highlight w:val="none"/>
                <w:u w:val="none" w:color="auto"/>
                <w:lang w:val="en-US" w:eastAsia="zh-CN" w:bidi="ar-SA"/>
                <w14:textFill>
                  <w14:solidFill>
                    <w14:schemeClr w14:val="tx1"/>
                  </w14:solidFill>
                </w14:textFill>
              </w:rPr>
              <w:t>表4-</w:t>
            </w:r>
            <w:r>
              <w:rPr>
                <w:rFonts w:hint="eastAsia" w:ascii="Times New Roman" w:hAnsi="Times New Roman" w:eastAsia="宋体" w:cs="Times New Roman"/>
                <w:b/>
                <w:color w:val="000000" w:themeColor="text1"/>
                <w:kern w:val="2"/>
                <w:sz w:val="24"/>
                <w:szCs w:val="24"/>
                <w:highlight w:val="none"/>
                <w:u w:val="none" w:color="auto"/>
                <w:lang w:val="en-US" w:eastAsia="zh-CN" w:bidi="ar-SA"/>
                <w14:textFill>
                  <w14:solidFill>
                    <w14:schemeClr w14:val="tx1"/>
                  </w14:solidFill>
                </w14:textFill>
              </w:rPr>
              <w:t xml:space="preserve">22  </w:t>
            </w:r>
            <w:r>
              <w:rPr>
                <w:rFonts w:hint="eastAsia" w:cs="Times New Roman"/>
                <w:b/>
                <w:color w:val="000000" w:themeColor="text1"/>
                <w:kern w:val="2"/>
                <w:sz w:val="24"/>
                <w:szCs w:val="24"/>
                <w:highlight w:val="none"/>
                <w:u w:val="none" w:color="auto"/>
                <w:lang w:val="en-US" w:eastAsia="zh-CN" w:bidi="ar-SA"/>
                <w14:textFill>
                  <w14:solidFill>
                    <w14:schemeClr w14:val="tx1"/>
                  </w14:solidFill>
                </w14:textFill>
              </w:rPr>
              <w:t xml:space="preserve"> </w:t>
            </w:r>
            <w:r>
              <w:rPr>
                <w:rFonts w:hint="default" w:ascii="Times New Roman" w:hAnsi="Times New Roman" w:eastAsia="宋体" w:cs="Times New Roman"/>
                <w:b/>
                <w:color w:val="000000" w:themeColor="text1"/>
                <w:kern w:val="2"/>
                <w:sz w:val="24"/>
                <w:szCs w:val="24"/>
                <w:highlight w:val="none"/>
                <w:u w:val="none" w:color="auto"/>
                <w:lang w:val="en-US" w:eastAsia="zh-CN" w:bidi="ar-SA"/>
                <w14:textFill>
                  <w14:solidFill>
                    <w14:schemeClr w14:val="tx1"/>
                  </w14:solidFill>
                </w14:textFill>
              </w:rPr>
              <w:t xml:space="preserve"> 项目固废产排情况及处理措施一览表</w:t>
            </w:r>
          </w:p>
          <w:tbl>
            <w:tblPr>
              <w:tblStyle w:val="30"/>
              <w:tblW w:w="4994" w:type="pct"/>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767"/>
              <w:gridCol w:w="637"/>
              <w:gridCol w:w="461"/>
              <w:gridCol w:w="537"/>
              <w:gridCol w:w="850"/>
              <w:gridCol w:w="756"/>
              <w:gridCol w:w="1785"/>
              <w:gridCol w:w="829"/>
              <w:gridCol w:w="1050"/>
              <w:gridCol w:w="1765"/>
            </w:tblGrid>
            <w:tr w14:paraId="6C607AD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406" w:type="pct"/>
                  <w:tcBorders>
                    <w:tl2br w:val="nil"/>
                    <w:tr2bl w:val="nil"/>
                  </w:tcBorders>
                  <w:noWrap w:val="0"/>
                  <w:vAlign w:val="center"/>
                </w:tcPr>
                <w:p w14:paraId="031D517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kern w:val="0"/>
                      <w:sz w:val="21"/>
                      <w:szCs w:val="21"/>
                      <w:highlight w:val="none"/>
                      <w:u w:val="none" w:color="auto"/>
                      <w14:textFill>
                        <w14:solidFill>
                          <w14:schemeClr w14:val="tx1"/>
                        </w14:solidFill>
                      </w14:textFill>
                    </w:rPr>
                  </w:pPr>
                  <w:r>
                    <w:rPr>
                      <w:rFonts w:hint="default" w:ascii="Times New Roman" w:hAnsi="Times New Roman" w:eastAsia="宋体" w:cs="Times New Roman"/>
                      <w:bCs/>
                      <w:color w:val="000000" w:themeColor="text1"/>
                      <w:kern w:val="0"/>
                      <w:sz w:val="21"/>
                      <w:szCs w:val="21"/>
                      <w:highlight w:val="none"/>
                      <w:u w:val="none" w:color="auto"/>
                      <w14:textFill>
                        <w14:solidFill>
                          <w14:schemeClr w14:val="tx1"/>
                        </w14:solidFill>
                      </w14:textFill>
                    </w:rPr>
                    <w:t>固废名称</w:t>
                  </w:r>
                </w:p>
              </w:tc>
              <w:tc>
                <w:tcPr>
                  <w:tcW w:w="337" w:type="pct"/>
                  <w:tcBorders>
                    <w:tl2br w:val="nil"/>
                    <w:tr2bl w:val="nil"/>
                  </w:tcBorders>
                  <w:noWrap w:val="0"/>
                  <w:vAlign w:val="center"/>
                </w:tcPr>
                <w:p w14:paraId="63DE855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kern w:val="0"/>
                      <w:sz w:val="21"/>
                      <w:szCs w:val="21"/>
                      <w:highlight w:val="none"/>
                      <w:u w:val="none" w:color="auto"/>
                      <w14:textFill>
                        <w14:solidFill>
                          <w14:schemeClr w14:val="tx1"/>
                        </w14:solidFill>
                      </w14:textFill>
                    </w:rPr>
                  </w:pPr>
                  <w:r>
                    <w:rPr>
                      <w:rFonts w:hint="default" w:ascii="Times New Roman" w:hAnsi="Times New Roman" w:eastAsia="宋体" w:cs="Times New Roman"/>
                      <w:bCs/>
                      <w:color w:val="000000" w:themeColor="text1"/>
                      <w:kern w:val="0"/>
                      <w:sz w:val="21"/>
                      <w:szCs w:val="21"/>
                      <w:highlight w:val="none"/>
                      <w:u w:val="none" w:color="auto"/>
                      <w14:textFill>
                        <w14:solidFill>
                          <w14:schemeClr w14:val="tx1"/>
                        </w14:solidFill>
                      </w14:textFill>
                    </w:rPr>
                    <w:t>产生点位</w:t>
                  </w:r>
                </w:p>
              </w:tc>
              <w:tc>
                <w:tcPr>
                  <w:tcW w:w="244" w:type="pct"/>
                  <w:tcBorders>
                    <w:tl2br w:val="nil"/>
                    <w:tr2bl w:val="nil"/>
                  </w:tcBorders>
                  <w:noWrap w:val="0"/>
                  <w:vAlign w:val="center"/>
                </w:tcPr>
                <w:p w14:paraId="6E3A938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kern w:val="0"/>
                      <w:sz w:val="21"/>
                      <w:szCs w:val="21"/>
                      <w:highlight w:val="none"/>
                      <w:u w:val="none" w:color="auto"/>
                      <w14:textFill>
                        <w14:solidFill>
                          <w14:schemeClr w14:val="tx1"/>
                        </w14:solidFill>
                      </w14:textFill>
                    </w:rPr>
                  </w:pPr>
                  <w:r>
                    <w:rPr>
                      <w:rFonts w:hint="default" w:ascii="Times New Roman" w:hAnsi="Times New Roman" w:eastAsia="宋体" w:cs="Times New Roman"/>
                      <w:bCs/>
                      <w:color w:val="000000" w:themeColor="text1"/>
                      <w:kern w:val="0"/>
                      <w:sz w:val="21"/>
                      <w:szCs w:val="21"/>
                      <w:highlight w:val="none"/>
                      <w:u w:val="none" w:color="auto"/>
                      <w14:textFill>
                        <w14:solidFill>
                          <w14:schemeClr w14:val="tx1"/>
                        </w14:solidFill>
                      </w14:textFill>
                    </w:rPr>
                    <w:t>主要成分</w:t>
                  </w:r>
                </w:p>
              </w:tc>
              <w:tc>
                <w:tcPr>
                  <w:tcW w:w="284" w:type="pct"/>
                  <w:tcBorders>
                    <w:tl2br w:val="nil"/>
                    <w:tr2bl w:val="nil"/>
                  </w:tcBorders>
                  <w:noWrap w:val="0"/>
                  <w:vAlign w:val="center"/>
                </w:tcPr>
                <w:p w14:paraId="36534B9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kern w:val="0"/>
                      <w:sz w:val="21"/>
                      <w:szCs w:val="21"/>
                      <w:highlight w:val="none"/>
                      <w:u w:val="none" w:color="auto"/>
                      <w14:textFill>
                        <w14:solidFill>
                          <w14:schemeClr w14:val="tx1"/>
                        </w14:solidFill>
                      </w14:textFill>
                    </w:rPr>
                  </w:pPr>
                  <w:r>
                    <w:rPr>
                      <w:rFonts w:hint="default" w:ascii="Times New Roman" w:hAnsi="Times New Roman" w:eastAsia="宋体" w:cs="Times New Roman"/>
                      <w:bCs/>
                      <w:color w:val="000000" w:themeColor="text1"/>
                      <w:kern w:val="0"/>
                      <w:sz w:val="21"/>
                      <w:szCs w:val="21"/>
                      <w:highlight w:val="none"/>
                      <w:u w:val="none" w:color="auto"/>
                      <w14:textFill>
                        <w14:solidFill>
                          <w14:schemeClr w14:val="tx1"/>
                        </w14:solidFill>
                      </w14:textFill>
                    </w:rPr>
                    <w:t>物理性质</w:t>
                  </w:r>
                </w:p>
              </w:tc>
              <w:tc>
                <w:tcPr>
                  <w:tcW w:w="450" w:type="pct"/>
                  <w:tcBorders>
                    <w:tl2br w:val="nil"/>
                    <w:tr2bl w:val="nil"/>
                  </w:tcBorders>
                  <w:noWrap w:val="0"/>
                  <w:vAlign w:val="center"/>
                </w:tcPr>
                <w:p w14:paraId="0B67DC6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kern w:val="0"/>
                      <w:sz w:val="21"/>
                      <w:szCs w:val="21"/>
                      <w:highlight w:val="none"/>
                      <w:u w:val="none" w:color="auto"/>
                      <w14:textFill>
                        <w14:solidFill>
                          <w14:schemeClr w14:val="tx1"/>
                        </w14:solidFill>
                      </w14:textFill>
                    </w:rPr>
                  </w:pPr>
                  <w:r>
                    <w:rPr>
                      <w:rFonts w:hint="default" w:ascii="Times New Roman" w:hAnsi="Times New Roman" w:eastAsia="宋体" w:cs="Times New Roman"/>
                      <w:bCs/>
                      <w:color w:val="000000" w:themeColor="text1"/>
                      <w:kern w:val="0"/>
                      <w:sz w:val="21"/>
                      <w:szCs w:val="21"/>
                      <w:highlight w:val="none"/>
                      <w:u w:val="none" w:color="auto"/>
                      <w14:textFill>
                        <w14:solidFill>
                          <w14:schemeClr w14:val="tx1"/>
                        </w14:solidFill>
                      </w14:textFill>
                    </w:rPr>
                    <w:t>固废种类</w:t>
                  </w:r>
                </w:p>
              </w:tc>
              <w:tc>
                <w:tcPr>
                  <w:tcW w:w="400" w:type="pct"/>
                  <w:tcBorders>
                    <w:tl2br w:val="nil"/>
                    <w:tr2bl w:val="nil"/>
                  </w:tcBorders>
                  <w:noWrap w:val="0"/>
                  <w:vAlign w:val="center"/>
                </w:tcPr>
                <w:p w14:paraId="0AC0DA8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kern w:val="0"/>
                      <w:sz w:val="21"/>
                      <w:szCs w:val="21"/>
                      <w:highlight w:val="none"/>
                      <w:u w:val="none" w:color="auto"/>
                      <w14:textFill>
                        <w14:solidFill>
                          <w14:schemeClr w14:val="tx1"/>
                        </w14:solidFill>
                      </w14:textFill>
                    </w:rPr>
                  </w:pPr>
                  <w:r>
                    <w:rPr>
                      <w:rFonts w:hint="default" w:ascii="Times New Roman" w:hAnsi="Times New Roman" w:eastAsia="宋体" w:cs="Times New Roman"/>
                      <w:bCs/>
                      <w:color w:val="000000" w:themeColor="text1"/>
                      <w:kern w:val="0"/>
                      <w:sz w:val="21"/>
                      <w:szCs w:val="21"/>
                      <w:highlight w:val="none"/>
                      <w:u w:val="none" w:color="auto"/>
                      <w14:textFill>
                        <w14:solidFill>
                          <w14:schemeClr w14:val="tx1"/>
                        </w14:solidFill>
                      </w14:textFill>
                    </w:rPr>
                    <w:t>产生量t/a</w:t>
                  </w:r>
                </w:p>
              </w:tc>
              <w:tc>
                <w:tcPr>
                  <w:tcW w:w="945" w:type="pct"/>
                  <w:tcBorders>
                    <w:tl2br w:val="nil"/>
                    <w:tr2bl w:val="nil"/>
                  </w:tcBorders>
                  <w:noWrap w:val="0"/>
                  <w:vAlign w:val="center"/>
                </w:tcPr>
                <w:p w14:paraId="5D3B3FD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kern w:val="0"/>
                      <w:sz w:val="21"/>
                      <w:szCs w:val="21"/>
                      <w:highlight w:val="none"/>
                      <w:u w:val="none" w:color="auto"/>
                      <w14:textFill>
                        <w14:solidFill>
                          <w14:schemeClr w14:val="tx1"/>
                        </w14:solidFill>
                      </w14:textFill>
                    </w:rPr>
                  </w:pPr>
                  <w:r>
                    <w:rPr>
                      <w:rFonts w:hint="default" w:ascii="Times New Roman" w:hAnsi="Times New Roman" w:eastAsia="宋体" w:cs="Times New Roman"/>
                      <w:bCs/>
                      <w:color w:val="000000" w:themeColor="text1"/>
                      <w:kern w:val="0"/>
                      <w:sz w:val="21"/>
                      <w:szCs w:val="21"/>
                      <w:highlight w:val="none"/>
                      <w:u w:val="none" w:color="auto"/>
                      <w14:textFill>
                        <w14:solidFill>
                          <w14:schemeClr w14:val="tx1"/>
                        </w14:solidFill>
                      </w14:textFill>
                    </w:rPr>
                    <w:t>利用处置方式和去向</w:t>
                  </w:r>
                </w:p>
              </w:tc>
              <w:tc>
                <w:tcPr>
                  <w:tcW w:w="439" w:type="pct"/>
                  <w:tcBorders>
                    <w:tl2br w:val="nil"/>
                    <w:tr2bl w:val="nil"/>
                  </w:tcBorders>
                  <w:noWrap w:val="0"/>
                  <w:vAlign w:val="center"/>
                </w:tcPr>
                <w:p w14:paraId="2751414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kern w:val="0"/>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bCs/>
                      <w:color w:val="000000" w:themeColor="text1"/>
                      <w:kern w:val="0"/>
                      <w:sz w:val="21"/>
                      <w:szCs w:val="21"/>
                      <w:highlight w:val="none"/>
                      <w:u w:val="none" w:color="auto"/>
                      <w14:textFill>
                        <w14:solidFill>
                          <w14:schemeClr w14:val="tx1"/>
                        </w14:solidFill>
                      </w14:textFill>
                    </w:rPr>
                    <w:t>利用或处置量</w:t>
                  </w:r>
                  <w:r>
                    <w:rPr>
                      <w:rFonts w:hint="default" w:ascii="Times New Roman" w:hAnsi="Times New Roman" w:cs="Times New Roman"/>
                      <w:bCs/>
                      <w:color w:val="000000" w:themeColor="text1"/>
                      <w:kern w:val="0"/>
                      <w:sz w:val="21"/>
                      <w:szCs w:val="21"/>
                      <w:highlight w:val="none"/>
                      <w:u w:val="none" w:color="auto"/>
                      <w:lang w:val="en-US" w:eastAsia="zh-CN"/>
                      <w14:textFill>
                        <w14:solidFill>
                          <w14:schemeClr w14:val="tx1"/>
                        </w14:solidFill>
                      </w14:textFill>
                    </w:rPr>
                    <w:t>t/a</w:t>
                  </w:r>
                </w:p>
              </w:tc>
              <w:tc>
                <w:tcPr>
                  <w:tcW w:w="556" w:type="pct"/>
                  <w:tcBorders>
                    <w:tl2br w:val="nil"/>
                    <w:tr2bl w:val="nil"/>
                  </w:tcBorders>
                  <w:noWrap w:val="0"/>
                  <w:vAlign w:val="center"/>
                </w:tcPr>
                <w:p w14:paraId="7454022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kern w:val="0"/>
                      <w:sz w:val="21"/>
                      <w:szCs w:val="21"/>
                      <w:highlight w:val="none"/>
                      <w:u w:val="none" w:color="auto"/>
                      <w14:textFill>
                        <w14:solidFill>
                          <w14:schemeClr w14:val="tx1"/>
                        </w14:solidFill>
                      </w14:textFill>
                    </w:rPr>
                  </w:pPr>
                  <w:r>
                    <w:rPr>
                      <w:rFonts w:hint="default" w:ascii="Times New Roman" w:hAnsi="Times New Roman" w:eastAsia="宋体" w:cs="Times New Roman"/>
                      <w:bCs/>
                      <w:color w:val="000000" w:themeColor="text1"/>
                      <w:kern w:val="0"/>
                      <w:sz w:val="21"/>
                      <w:szCs w:val="21"/>
                      <w:highlight w:val="none"/>
                      <w:u w:val="none" w:color="auto"/>
                      <w14:textFill>
                        <w14:solidFill>
                          <w14:schemeClr w14:val="tx1"/>
                        </w14:solidFill>
                      </w14:textFill>
                    </w:rPr>
                    <w:t>环境管理要求</w:t>
                  </w:r>
                </w:p>
              </w:tc>
              <w:tc>
                <w:tcPr>
                  <w:tcW w:w="934" w:type="pct"/>
                  <w:tcBorders>
                    <w:tl2br w:val="nil"/>
                    <w:tr2bl w:val="nil"/>
                  </w:tcBorders>
                  <w:noWrap w:val="0"/>
                  <w:vAlign w:val="center"/>
                </w:tcPr>
                <w:p w14:paraId="43C0028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kern w:val="0"/>
                      <w:sz w:val="21"/>
                      <w:szCs w:val="21"/>
                      <w:highlight w:val="none"/>
                      <w:u w:val="none" w:color="auto"/>
                      <w:lang w:eastAsia="zh-CN"/>
                      <w14:textFill>
                        <w14:solidFill>
                          <w14:schemeClr w14:val="tx1"/>
                        </w14:solidFill>
                      </w14:textFill>
                    </w:rPr>
                  </w:pPr>
                  <w:r>
                    <w:rPr>
                      <w:rFonts w:hint="default" w:ascii="Times New Roman" w:hAnsi="Times New Roman" w:eastAsia="宋体" w:cs="Times New Roman"/>
                      <w:bCs/>
                      <w:color w:val="000000" w:themeColor="text1"/>
                      <w:kern w:val="0"/>
                      <w:sz w:val="21"/>
                      <w:szCs w:val="21"/>
                      <w:highlight w:val="none"/>
                      <w:u w:val="none" w:color="auto"/>
                      <w14:textFill>
                        <w14:solidFill>
                          <w14:schemeClr w14:val="tx1"/>
                        </w14:solidFill>
                      </w14:textFill>
                    </w:rPr>
                    <w:t>代码</w:t>
                  </w:r>
                  <w:r>
                    <w:rPr>
                      <w:rFonts w:hint="default" w:ascii="Times New Roman" w:hAnsi="Times New Roman" w:cs="Times New Roman"/>
                      <w:bCs/>
                      <w:color w:val="000000" w:themeColor="text1"/>
                      <w:kern w:val="0"/>
                      <w:sz w:val="21"/>
                      <w:szCs w:val="21"/>
                      <w:highlight w:val="none"/>
                      <w:u w:val="none" w:color="auto"/>
                      <w:lang w:eastAsia="zh-CN"/>
                      <w14:textFill>
                        <w14:solidFill>
                          <w14:schemeClr w14:val="tx1"/>
                        </w14:solidFill>
                      </w14:textFill>
                    </w:rPr>
                    <w:t>《</w:t>
                  </w:r>
                  <w:r>
                    <w:rPr>
                      <w:rFonts w:hint="default" w:ascii="Times New Roman" w:hAnsi="Times New Roman" w:cs="Times New Roman"/>
                      <w:bCs/>
                      <w:color w:val="000000" w:themeColor="text1"/>
                      <w:kern w:val="0"/>
                      <w:sz w:val="21"/>
                      <w:szCs w:val="21"/>
                      <w:highlight w:val="none"/>
                      <w:u w:val="none" w:color="auto"/>
                      <w:lang w:val="en-US" w:eastAsia="zh-CN"/>
                      <w14:textFill>
                        <w14:solidFill>
                          <w14:schemeClr w14:val="tx1"/>
                        </w14:solidFill>
                      </w14:textFill>
                    </w:rPr>
                    <w:t>固体废物分类与代码目录</w:t>
                  </w:r>
                  <w:r>
                    <w:rPr>
                      <w:rFonts w:hint="default" w:ascii="Times New Roman" w:hAnsi="Times New Roman" w:cs="Times New Roman"/>
                      <w:bCs/>
                      <w:color w:val="000000" w:themeColor="text1"/>
                      <w:kern w:val="0"/>
                      <w:sz w:val="21"/>
                      <w:szCs w:val="21"/>
                      <w:highlight w:val="none"/>
                      <w:u w:val="none" w:color="auto"/>
                      <w:lang w:eastAsia="zh-CN"/>
                      <w14:textFill>
                        <w14:solidFill>
                          <w14:schemeClr w14:val="tx1"/>
                        </w14:solidFill>
                      </w14:textFill>
                    </w:rPr>
                    <w:t>》（</w:t>
                  </w:r>
                  <w:r>
                    <w:rPr>
                      <w:rFonts w:hint="default" w:ascii="Times New Roman" w:hAnsi="Times New Roman" w:eastAsia="Helvetica" w:cs="Times New Roman"/>
                      <w:i w:val="0"/>
                      <w:iCs w:val="0"/>
                      <w:caps w:val="0"/>
                      <w:color w:val="000000" w:themeColor="text1"/>
                      <w:spacing w:val="0"/>
                      <w:sz w:val="21"/>
                      <w:szCs w:val="21"/>
                      <w:u w:val="none" w:color="auto"/>
                      <w:shd w:val="clear" w:fill="FFFFFF"/>
                      <w14:textFill>
                        <w14:solidFill>
                          <w14:schemeClr w14:val="tx1"/>
                        </w14:solidFill>
                      </w14:textFill>
                    </w:rPr>
                    <w:t>公告2024年第4号</w:t>
                  </w:r>
                  <w:r>
                    <w:rPr>
                      <w:rFonts w:hint="default" w:ascii="Times New Roman" w:hAnsi="Times New Roman" w:cs="Times New Roman"/>
                      <w:bCs/>
                      <w:color w:val="000000" w:themeColor="text1"/>
                      <w:kern w:val="0"/>
                      <w:sz w:val="21"/>
                      <w:szCs w:val="21"/>
                      <w:highlight w:val="none"/>
                      <w:u w:val="none" w:color="auto"/>
                      <w:lang w:eastAsia="zh-CN"/>
                      <w14:textFill>
                        <w14:solidFill>
                          <w14:schemeClr w14:val="tx1"/>
                        </w14:solidFill>
                      </w14:textFill>
                    </w:rPr>
                    <w:t>）</w:t>
                  </w:r>
                </w:p>
              </w:tc>
            </w:tr>
            <w:tr w14:paraId="051E103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406" w:type="pct"/>
                  <w:tcBorders>
                    <w:tl2br w:val="nil"/>
                    <w:tr2bl w:val="nil"/>
                  </w:tcBorders>
                  <w:noWrap w:val="0"/>
                  <w:vAlign w:val="center"/>
                </w:tcPr>
                <w:p w14:paraId="4FD8D9E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kern w:val="0"/>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职工生活垃圾</w:t>
                  </w:r>
                </w:p>
              </w:tc>
              <w:tc>
                <w:tcPr>
                  <w:tcW w:w="337" w:type="pct"/>
                  <w:tcBorders>
                    <w:tl2br w:val="nil"/>
                    <w:tr2bl w:val="nil"/>
                  </w:tcBorders>
                  <w:noWrap w:val="0"/>
                  <w:vAlign w:val="center"/>
                </w:tcPr>
                <w:p w14:paraId="42D59F2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kern w:val="0"/>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bCs/>
                      <w:color w:val="000000" w:themeColor="text1"/>
                      <w:kern w:val="0"/>
                      <w:sz w:val="21"/>
                      <w:szCs w:val="21"/>
                      <w:highlight w:val="none"/>
                      <w:u w:val="none" w:color="auto"/>
                      <w:lang w:val="en-US" w:eastAsia="zh-CN"/>
                      <w14:textFill>
                        <w14:solidFill>
                          <w14:schemeClr w14:val="tx1"/>
                        </w14:solidFill>
                      </w14:textFill>
                    </w:rPr>
                    <w:t>职工生活</w:t>
                  </w:r>
                </w:p>
              </w:tc>
              <w:tc>
                <w:tcPr>
                  <w:tcW w:w="244" w:type="pct"/>
                  <w:tcBorders>
                    <w:tl2br w:val="nil"/>
                    <w:tr2bl w:val="nil"/>
                  </w:tcBorders>
                  <w:noWrap w:val="0"/>
                  <w:vAlign w:val="center"/>
                </w:tcPr>
                <w:p w14:paraId="300ADC1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kern w:val="0"/>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职工生活垃圾</w:t>
                  </w:r>
                </w:p>
              </w:tc>
              <w:tc>
                <w:tcPr>
                  <w:tcW w:w="284" w:type="pct"/>
                  <w:tcBorders>
                    <w:tl2br w:val="nil"/>
                    <w:tr2bl w:val="nil"/>
                  </w:tcBorders>
                  <w:noWrap w:val="0"/>
                  <w:vAlign w:val="center"/>
                </w:tcPr>
                <w:p w14:paraId="3E200AE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kern w:val="0"/>
                      <w:sz w:val="21"/>
                      <w:szCs w:val="21"/>
                      <w:highlight w:val="none"/>
                      <w:u w:val="none" w:color="auto"/>
                      <w14:textFill>
                        <w14:solidFill>
                          <w14:schemeClr w14:val="tx1"/>
                        </w14:solidFill>
                      </w14:textFill>
                    </w:rPr>
                  </w:pPr>
                  <w:r>
                    <w:rPr>
                      <w:rFonts w:hint="default" w:ascii="Times New Roman" w:hAnsi="Times New Roman" w:eastAsia="宋体" w:cs="Times New Roman"/>
                      <w:bCs/>
                      <w:color w:val="000000" w:themeColor="text1"/>
                      <w:kern w:val="0"/>
                      <w:sz w:val="21"/>
                      <w:szCs w:val="21"/>
                      <w:highlight w:val="none"/>
                      <w:u w:val="none" w:color="auto"/>
                      <w14:textFill>
                        <w14:solidFill>
                          <w14:schemeClr w14:val="tx1"/>
                        </w14:solidFill>
                      </w14:textFill>
                    </w:rPr>
                    <w:t>固态</w:t>
                  </w:r>
                </w:p>
              </w:tc>
              <w:tc>
                <w:tcPr>
                  <w:tcW w:w="450" w:type="pct"/>
                  <w:tcBorders>
                    <w:tl2br w:val="nil"/>
                    <w:tr2bl w:val="nil"/>
                  </w:tcBorders>
                  <w:noWrap w:val="0"/>
                  <w:vAlign w:val="center"/>
                </w:tcPr>
                <w:p w14:paraId="30BB0B9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kern w:val="0"/>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bCs/>
                      <w:color w:val="000000" w:themeColor="text1"/>
                      <w:kern w:val="0"/>
                      <w:sz w:val="21"/>
                      <w:szCs w:val="21"/>
                      <w:highlight w:val="none"/>
                      <w:u w:val="none" w:color="auto"/>
                      <w:lang w:val="en-US" w:eastAsia="zh-CN"/>
                      <w14:textFill>
                        <w14:solidFill>
                          <w14:schemeClr w14:val="tx1"/>
                        </w14:solidFill>
                      </w14:textFill>
                    </w:rPr>
                    <w:t>一般工业固废</w:t>
                  </w:r>
                </w:p>
              </w:tc>
              <w:tc>
                <w:tcPr>
                  <w:tcW w:w="400" w:type="pct"/>
                  <w:tcBorders>
                    <w:tl2br w:val="nil"/>
                    <w:tr2bl w:val="nil"/>
                  </w:tcBorders>
                  <w:noWrap w:val="0"/>
                  <w:vAlign w:val="center"/>
                </w:tcPr>
                <w:p w14:paraId="1238851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kern w:val="0"/>
                      <w:sz w:val="21"/>
                      <w:szCs w:val="21"/>
                      <w:highlight w:val="none"/>
                      <w:u w:val="none" w:color="auto"/>
                      <w:lang w:val="en-US" w:eastAsia="zh-CN"/>
                      <w14:textFill>
                        <w14:solidFill>
                          <w14:schemeClr w14:val="tx1"/>
                        </w14:solidFill>
                      </w14:textFill>
                    </w:rPr>
                  </w:pPr>
                  <w:r>
                    <w:rPr>
                      <w:rFonts w:hint="default" w:ascii="Times New Roman" w:hAnsi="Times New Roman" w:cs="Times New Roman"/>
                      <w:bCs/>
                      <w:color w:val="000000" w:themeColor="text1"/>
                      <w:kern w:val="0"/>
                      <w:sz w:val="21"/>
                      <w:szCs w:val="21"/>
                      <w:highlight w:val="none"/>
                      <w:u w:val="none" w:color="auto"/>
                      <w:lang w:val="en-US" w:eastAsia="zh-CN"/>
                      <w14:textFill>
                        <w14:solidFill>
                          <w14:schemeClr w14:val="tx1"/>
                        </w14:solidFill>
                      </w14:textFill>
                    </w:rPr>
                    <w:t>3.0</w:t>
                  </w:r>
                </w:p>
              </w:tc>
              <w:tc>
                <w:tcPr>
                  <w:tcW w:w="945" w:type="pct"/>
                  <w:tcBorders>
                    <w:tl2br w:val="nil"/>
                    <w:tr2bl w:val="nil"/>
                  </w:tcBorders>
                  <w:noWrap w:val="0"/>
                  <w:vAlign w:val="center"/>
                </w:tcPr>
                <w:p w14:paraId="503F980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kern w:val="0"/>
                      <w:sz w:val="21"/>
                      <w:szCs w:val="21"/>
                      <w:highlight w:val="none"/>
                      <w:u w:val="none" w:color="auto"/>
                      <w14:textFill>
                        <w14:solidFill>
                          <w14:schemeClr w14:val="tx1"/>
                        </w14:solidFill>
                      </w14:textFill>
                    </w:rPr>
                  </w:pPr>
                  <w:r>
                    <w:rPr>
                      <w:rFonts w:hint="default" w:ascii="Times New Roman" w:hAnsi="Times New Roman" w:eastAsia="宋体" w:cs="Times New Roman"/>
                      <w:bCs/>
                      <w:color w:val="000000" w:themeColor="text1"/>
                      <w:kern w:val="0"/>
                      <w:sz w:val="21"/>
                      <w:szCs w:val="21"/>
                      <w:highlight w:val="none"/>
                      <w:u w:val="none" w:color="auto"/>
                      <w14:textFill>
                        <w14:solidFill>
                          <w14:schemeClr w14:val="tx1"/>
                        </w14:solidFill>
                      </w14:textFill>
                    </w:rPr>
                    <w:t>分类收集后交由环卫部门运至附近垃圾中转站处理</w:t>
                  </w:r>
                </w:p>
              </w:tc>
              <w:tc>
                <w:tcPr>
                  <w:tcW w:w="830" w:type="dxa"/>
                  <w:tcBorders>
                    <w:tl2br w:val="nil"/>
                    <w:tr2bl w:val="nil"/>
                  </w:tcBorders>
                  <w:noWrap w:val="0"/>
                  <w:vAlign w:val="center"/>
                </w:tcPr>
                <w:p w14:paraId="1378B97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000000" w:themeColor="text1"/>
                      <w:kern w:val="0"/>
                      <w:sz w:val="21"/>
                      <w:szCs w:val="21"/>
                      <w:highlight w:val="none"/>
                      <w:u w:val="none" w:color="auto"/>
                      <w:lang w:val="en-US"/>
                      <w14:textFill>
                        <w14:solidFill>
                          <w14:schemeClr w14:val="tx1"/>
                        </w14:solidFill>
                      </w14:textFill>
                    </w:rPr>
                  </w:pPr>
                  <w:r>
                    <w:rPr>
                      <w:rFonts w:hint="default" w:ascii="Times New Roman" w:hAnsi="Times New Roman" w:cs="Times New Roman"/>
                      <w:bCs/>
                      <w:color w:val="000000" w:themeColor="text1"/>
                      <w:kern w:val="0"/>
                      <w:sz w:val="21"/>
                      <w:szCs w:val="21"/>
                      <w:highlight w:val="none"/>
                      <w:u w:val="none" w:color="auto"/>
                      <w:lang w:val="en-US" w:eastAsia="zh-CN"/>
                      <w14:textFill>
                        <w14:solidFill>
                          <w14:schemeClr w14:val="tx1"/>
                        </w14:solidFill>
                      </w14:textFill>
                    </w:rPr>
                    <w:t>3.0</w:t>
                  </w:r>
                </w:p>
              </w:tc>
              <w:tc>
                <w:tcPr>
                  <w:tcW w:w="556" w:type="pct"/>
                  <w:vMerge w:val="restart"/>
                  <w:tcBorders>
                    <w:tl2br w:val="nil"/>
                    <w:tr2bl w:val="nil"/>
                  </w:tcBorders>
                  <w:noWrap w:val="0"/>
                  <w:vAlign w:val="center"/>
                </w:tcPr>
                <w:p w14:paraId="30BEDE4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kern w:val="0"/>
                      <w:sz w:val="21"/>
                      <w:szCs w:val="21"/>
                      <w:highlight w:val="none"/>
                      <w:u w:val="none" w:color="auto"/>
                      <w14:textFill>
                        <w14:solidFill>
                          <w14:schemeClr w14:val="tx1"/>
                        </w14:solidFill>
                      </w14:textFill>
                    </w:rPr>
                  </w:pPr>
                  <w:r>
                    <w:rPr>
                      <w:rFonts w:hint="default" w:ascii="Times New Roman" w:hAnsi="Times New Roman" w:eastAsia="宋体" w:cs="Times New Roman"/>
                      <w:bCs/>
                      <w:color w:val="000000" w:themeColor="text1"/>
                      <w:kern w:val="0"/>
                      <w:sz w:val="21"/>
                      <w:szCs w:val="21"/>
                      <w:highlight w:val="none"/>
                      <w:u w:val="none" w:color="auto"/>
                      <w14:textFill>
                        <w14:solidFill>
                          <w14:schemeClr w14:val="tx1"/>
                        </w14:solidFill>
                      </w14:textFill>
                    </w:rPr>
                    <w:t>执行《一般工业固体废物贮存和填埋污染控制标准》（GB18599-2020）</w:t>
                  </w:r>
                </w:p>
              </w:tc>
              <w:tc>
                <w:tcPr>
                  <w:tcW w:w="934" w:type="pct"/>
                  <w:tcBorders>
                    <w:tl2br w:val="nil"/>
                    <w:tr2bl w:val="nil"/>
                  </w:tcBorders>
                  <w:noWrap w:val="0"/>
                  <w:vAlign w:val="center"/>
                </w:tcPr>
                <w:p w14:paraId="096C381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bCs/>
                      <w:color w:val="000000" w:themeColor="text1"/>
                      <w:kern w:val="0"/>
                      <w:sz w:val="21"/>
                      <w:szCs w:val="21"/>
                      <w:highlight w:val="none"/>
                      <w:u w:val="none" w:color="auto"/>
                      <w14:textFill>
                        <w14:solidFill>
                          <w14:schemeClr w14:val="tx1"/>
                        </w14:solidFill>
                      </w14:textFill>
                    </w:rPr>
                  </w:pPr>
                  <w:r>
                    <w:rPr>
                      <w:rFonts w:hint="default" w:ascii="Times New Roman" w:hAnsi="Times New Roman" w:cs="Times New Roman"/>
                      <w:bCs/>
                      <w:color w:val="000000" w:themeColor="text1"/>
                      <w:kern w:val="0"/>
                      <w:sz w:val="21"/>
                      <w:szCs w:val="21"/>
                      <w:highlight w:val="none"/>
                      <w:u w:val="none" w:color="auto"/>
                      <w:lang w:val="en-US" w:eastAsia="zh-CN"/>
                      <w14:textFill>
                        <w14:solidFill>
                          <w14:schemeClr w14:val="tx1"/>
                        </w14:solidFill>
                      </w14:textFill>
                    </w:rPr>
                    <w:t>SW64其他垃圾：</w:t>
                  </w:r>
                  <w:r>
                    <w:rPr>
                      <w:rFonts w:hint="default" w:ascii="Times New Roman" w:hAnsi="Times New Roman" w:eastAsia="宋体" w:cs="Times New Roman"/>
                      <w:bCs/>
                      <w:color w:val="000000" w:themeColor="text1"/>
                      <w:kern w:val="0"/>
                      <w:sz w:val="21"/>
                      <w:szCs w:val="21"/>
                      <w:highlight w:val="none"/>
                      <w:u w:val="none" w:color="auto"/>
                      <w14:textFill>
                        <w14:solidFill>
                          <w14:schemeClr w14:val="tx1"/>
                        </w14:solidFill>
                      </w14:textFill>
                    </w:rPr>
                    <w:t>900-099-S64</w:t>
                  </w:r>
                </w:p>
              </w:tc>
            </w:tr>
            <w:tr w14:paraId="3AA6381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406" w:type="pct"/>
                  <w:tcBorders>
                    <w:tl2br w:val="nil"/>
                    <w:tr2bl w:val="nil"/>
                  </w:tcBorders>
                  <w:noWrap w:val="0"/>
                  <w:vAlign w:val="center"/>
                </w:tcPr>
                <w:p w14:paraId="4B31F12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kern w:val="0"/>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bCs/>
                      <w:color w:val="000000" w:themeColor="text1"/>
                      <w:kern w:val="0"/>
                      <w:sz w:val="21"/>
                      <w:szCs w:val="21"/>
                      <w:highlight w:val="none"/>
                      <w:u w:val="none" w:color="auto"/>
                      <w:lang w:val="en-US" w:eastAsia="zh-CN"/>
                      <w14:textFill>
                        <w14:solidFill>
                          <w14:schemeClr w14:val="tx1"/>
                        </w14:solidFill>
                      </w14:textFill>
                    </w:rPr>
                    <w:t>化粪池污泥</w:t>
                  </w:r>
                </w:p>
              </w:tc>
              <w:tc>
                <w:tcPr>
                  <w:tcW w:w="337" w:type="pct"/>
                  <w:tcBorders>
                    <w:tl2br w:val="nil"/>
                    <w:tr2bl w:val="nil"/>
                  </w:tcBorders>
                  <w:noWrap w:val="0"/>
                  <w:vAlign w:val="center"/>
                </w:tcPr>
                <w:p w14:paraId="5CA6D88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kern w:val="0"/>
                      <w:sz w:val="21"/>
                      <w:szCs w:val="21"/>
                      <w:highlight w:val="none"/>
                      <w:u w:val="none" w:color="auto"/>
                      <w:lang w:eastAsia="zh-CN"/>
                      <w14:textFill>
                        <w14:solidFill>
                          <w14:schemeClr w14:val="tx1"/>
                        </w14:solidFill>
                      </w14:textFill>
                    </w:rPr>
                  </w:pPr>
                  <w:r>
                    <w:rPr>
                      <w:rFonts w:hint="default" w:ascii="Times New Roman" w:hAnsi="Times New Roman" w:eastAsia="宋体" w:cs="Times New Roman"/>
                      <w:bCs/>
                      <w:color w:val="000000" w:themeColor="text1"/>
                      <w:kern w:val="0"/>
                      <w:sz w:val="21"/>
                      <w:szCs w:val="21"/>
                      <w:highlight w:val="none"/>
                      <w:u w:val="none" w:color="auto"/>
                      <w:lang w:val="en-US" w:eastAsia="zh-CN"/>
                      <w14:textFill>
                        <w14:solidFill>
                          <w14:schemeClr w14:val="tx1"/>
                        </w14:solidFill>
                      </w14:textFill>
                    </w:rPr>
                    <w:t>化粪池</w:t>
                  </w:r>
                </w:p>
              </w:tc>
              <w:tc>
                <w:tcPr>
                  <w:tcW w:w="244" w:type="pct"/>
                  <w:tcBorders>
                    <w:tl2br w:val="nil"/>
                    <w:tr2bl w:val="nil"/>
                  </w:tcBorders>
                  <w:noWrap w:val="0"/>
                  <w:vAlign w:val="center"/>
                </w:tcPr>
                <w:p w14:paraId="617E2B7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kern w:val="0"/>
                      <w:sz w:val="21"/>
                      <w:szCs w:val="21"/>
                      <w:highlight w:val="none"/>
                      <w:u w:val="none" w:color="auto"/>
                      <w:lang w:eastAsia="zh-CN"/>
                      <w14:textFill>
                        <w14:solidFill>
                          <w14:schemeClr w14:val="tx1"/>
                        </w14:solidFill>
                      </w14:textFill>
                    </w:rPr>
                  </w:pPr>
                  <w:r>
                    <w:rPr>
                      <w:rFonts w:hint="default" w:ascii="Times New Roman" w:hAnsi="Times New Roman" w:eastAsia="宋体" w:cs="Times New Roman"/>
                      <w:bCs/>
                      <w:color w:val="000000" w:themeColor="text1"/>
                      <w:kern w:val="0"/>
                      <w:sz w:val="21"/>
                      <w:szCs w:val="21"/>
                      <w:highlight w:val="none"/>
                      <w:u w:val="none" w:color="auto"/>
                      <w:lang w:val="en-US" w:eastAsia="zh-CN"/>
                      <w14:textFill>
                        <w14:solidFill>
                          <w14:schemeClr w14:val="tx1"/>
                        </w14:solidFill>
                      </w14:textFill>
                    </w:rPr>
                    <w:t>污泥</w:t>
                  </w:r>
                </w:p>
              </w:tc>
              <w:tc>
                <w:tcPr>
                  <w:tcW w:w="284" w:type="pct"/>
                  <w:tcBorders>
                    <w:tl2br w:val="nil"/>
                    <w:tr2bl w:val="nil"/>
                  </w:tcBorders>
                  <w:noWrap w:val="0"/>
                  <w:vAlign w:val="center"/>
                </w:tcPr>
                <w:p w14:paraId="0B2272B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kern w:val="0"/>
                      <w:sz w:val="21"/>
                      <w:szCs w:val="21"/>
                      <w:highlight w:val="none"/>
                      <w:u w:val="none" w:color="auto"/>
                      <w14:textFill>
                        <w14:solidFill>
                          <w14:schemeClr w14:val="tx1"/>
                        </w14:solidFill>
                      </w14:textFill>
                    </w:rPr>
                  </w:pPr>
                  <w:r>
                    <w:rPr>
                      <w:rFonts w:hint="default" w:ascii="Times New Roman" w:hAnsi="Times New Roman" w:eastAsia="宋体" w:cs="Times New Roman"/>
                      <w:bCs/>
                      <w:color w:val="000000" w:themeColor="text1"/>
                      <w:kern w:val="0"/>
                      <w:sz w:val="21"/>
                      <w:szCs w:val="21"/>
                      <w:highlight w:val="none"/>
                      <w:u w:val="none" w:color="auto"/>
                      <w14:textFill>
                        <w14:solidFill>
                          <w14:schemeClr w14:val="tx1"/>
                        </w14:solidFill>
                      </w14:textFill>
                    </w:rPr>
                    <w:t>半固态</w:t>
                  </w:r>
                </w:p>
              </w:tc>
              <w:tc>
                <w:tcPr>
                  <w:tcW w:w="450" w:type="pct"/>
                  <w:tcBorders>
                    <w:tl2br w:val="nil"/>
                    <w:tr2bl w:val="nil"/>
                  </w:tcBorders>
                  <w:noWrap w:val="0"/>
                  <w:vAlign w:val="center"/>
                </w:tcPr>
                <w:p w14:paraId="02CA74F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kern w:val="0"/>
                      <w:sz w:val="21"/>
                      <w:szCs w:val="21"/>
                      <w:highlight w:val="none"/>
                      <w:u w:val="none" w:color="auto"/>
                      <w14:textFill>
                        <w14:solidFill>
                          <w14:schemeClr w14:val="tx1"/>
                        </w14:solidFill>
                      </w14:textFill>
                    </w:rPr>
                  </w:pPr>
                  <w:r>
                    <w:rPr>
                      <w:rFonts w:hint="default" w:ascii="Times New Roman" w:hAnsi="Times New Roman" w:eastAsia="宋体" w:cs="Times New Roman"/>
                      <w:bCs/>
                      <w:color w:val="000000" w:themeColor="text1"/>
                      <w:kern w:val="0"/>
                      <w:sz w:val="21"/>
                      <w:szCs w:val="21"/>
                      <w:highlight w:val="none"/>
                      <w:u w:val="none" w:color="auto"/>
                      <w:lang w:val="en-US" w:eastAsia="zh-CN"/>
                      <w14:textFill>
                        <w14:solidFill>
                          <w14:schemeClr w14:val="tx1"/>
                        </w14:solidFill>
                      </w14:textFill>
                    </w:rPr>
                    <w:t>一般工业固废</w:t>
                  </w:r>
                </w:p>
              </w:tc>
              <w:tc>
                <w:tcPr>
                  <w:tcW w:w="400" w:type="pct"/>
                  <w:tcBorders>
                    <w:tl2br w:val="nil"/>
                    <w:tr2bl w:val="nil"/>
                  </w:tcBorders>
                  <w:noWrap w:val="0"/>
                  <w:vAlign w:val="center"/>
                </w:tcPr>
                <w:p w14:paraId="35AD234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bCs/>
                      <w:color w:val="000000" w:themeColor="text1"/>
                      <w:kern w:val="0"/>
                      <w:sz w:val="21"/>
                      <w:szCs w:val="21"/>
                      <w:highlight w:val="none"/>
                      <w:u w:val="none" w:color="auto"/>
                      <w:lang w:val="en-US" w:eastAsia="zh-CN"/>
                      <w14:textFill>
                        <w14:solidFill>
                          <w14:schemeClr w14:val="tx1"/>
                        </w14:solidFill>
                      </w14:textFill>
                    </w:rPr>
                    <w:t>1.5</w:t>
                  </w:r>
                </w:p>
              </w:tc>
              <w:tc>
                <w:tcPr>
                  <w:tcW w:w="945" w:type="pct"/>
                  <w:tcBorders>
                    <w:tl2br w:val="nil"/>
                    <w:tr2bl w:val="nil"/>
                  </w:tcBorders>
                  <w:noWrap w:val="0"/>
                  <w:vAlign w:val="center"/>
                </w:tcPr>
                <w:p w14:paraId="3E59EF8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kern w:val="0"/>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bCs/>
                      <w:color w:val="000000" w:themeColor="text1"/>
                      <w:kern w:val="0"/>
                      <w:sz w:val="21"/>
                      <w:szCs w:val="21"/>
                      <w:highlight w:val="none"/>
                      <w:u w:val="none" w:color="auto"/>
                      <w:lang w:val="en-US" w:eastAsia="zh-CN"/>
                      <w14:textFill>
                        <w14:solidFill>
                          <w14:schemeClr w14:val="tx1"/>
                        </w14:solidFill>
                      </w14:textFill>
                    </w:rPr>
                    <w:t>定期清掏交由环卫部门处理</w:t>
                  </w:r>
                </w:p>
              </w:tc>
              <w:tc>
                <w:tcPr>
                  <w:tcW w:w="830" w:type="dxa"/>
                  <w:tcBorders>
                    <w:tl2br w:val="nil"/>
                    <w:tr2bl w:val="nil"/>
                  </w:tcBorders>
                  <w:noWrap w:val="0"/>
                  <w:vAlign w:val="center"/>
                </w:tcPr>
                <w:p w14:paraId="4F027FF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000000" w:themeColor="text1"/>
                      <w:kern w:val="0"/>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bCs/>
                      <w:color w:val="000000" w:themeColor="text1"/>
                      <w:kern w:val="0"/>
                      <w:sz w:val="21"/>
                      <w:szCs w:val="21"/>
                      <w:highlight w:val="none"/>
                      <w:u w:val="none" w:color="auto"/>
                      <w:lang w:val="en-US" w:eastAsia="zh-CN"/>
                      <w14:textFill>
                        <w14:solidFill>
                          <w14:schemeClr w14:val="tx1"/>
                        </w14:solidFill>
                      </w14:textFill>
                    </w:rPr>
                    <w:t>1.5</w:t>
                  </w:r>
                </w:p>
              </w:tc>
              <w:tc>
                <w:tcPr>
                  <w:tcW w:w="556" w:type="pct"/>
                  <w:vMerge w:val="continue"/>
                  <w:tcBorders>
                    <w:tl2br w:val="nil"/>
                    <w:tr2bl w:val="nil"/>
                  </w:tcBorders>
                  <w:noWrap w:val="0"/>
                  <w:vAlign w:val="center"/>
                </w:tcPr>
                <w:p w14:paraId="69D91EA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kern w:val="0"/>
                      <w:sz w:val="21"/>
                      <w:szCs w:val="21"/>
                      <w:highlight w:val="none"/>
                      <w:u w:val="none" w:color="auto"/>
                      <w14:textFill>
                        <w14:solidFill>
                          <w14:schemeClr w14:val="tx1"/>
                        </w14:solidFill>
                      </w14:textFill>
                    </w:rPr>
                  </w:pPr>
                </w:p>
              </w:tc>
              <w:tc>
                <w:tcPr>
                  <w:tcW w:w="934" w:type="pct"/>
                  <w:tcBorders>
                    <w:tl2br w:val="nil"/>
                    <w:tr2bl w:val="nil"/>
                  </w:tcBorders>
                  <w:noWrap w:val="0"/>
                  <w:vAlign w:val="center"/>
                </w:tcPr>
                <w:p w14:paraId="18EE734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bCs/>
                      <w:color w:val="000000" w:themeColor="text1"/>
                      <w:kern w:val="0"/>
                      <w:sz w:val="21"/>
                      <w:szCs w:val="21"/>
                      <w:highlight w:val="none"/>
                      <w:u w:val="none" w:color="auto"/>
                      <w14:textFill>
                        <w14:solidFill>
                          <w14:schemeClr w14:val="tx1"/>
                        </w14:solidFill>
                      </w14:textFill>
                    </w:rPr>
                  </w:pPr>
                  <w:r>
                    <w:rPr>
                      <w:rFonts w:hint="default" w:ascii="Times New Roman" w:hAnsi="Times New Roman" w:eastAsia="宋体" w:cs="Times New Roman"/>
                      <w:bCs/>
                      <w:color w:val="000000" w:themeColor="text1"/>
                      <w:kern w:val="0"/>
                      <w:sz w:val="21"/>
                      <w:szCs w:val="21"/>
                      <w:highlight w:val="none"/>
                      <w:u w:val="none" w:color="auto"/>
                      <w14:textFill>
                        <w14:solidFill>
                          <w14:schemeClr w14:val="tx1"/>
                        </w14:solidFill>
                      </w14:textFill>
                    </w:rPr>
                    <w:t>S07</w:t>
                  </w:r>
                  <w:r>
                    <w:rPr>
                      <w:rFonts w:hint="default" w:ascii="Times New Roman" w:hAnsi="Times New Roman" w:eastAsia="宋体" w:cs="Times New Roman"/>
                      <w:bCs/>
                      <w:color w:val="000000" w:themeColor="text1"/>
                      <w:kern w:val="0"/>
                      <w:sz w:val="21"/>
                      <w:szCs w:val="21"/>
                      <w:highlight w:val="none"/>
                      <w:u w:val="none" w:color="auto"/>
                      <w:lang w:val="en-US" w:eastAsia="zh-CN"/>
                      <w14:textFill>
                        <w14:solidFill>
                          <w14:schemeClr w14:val="tx1"/>
                        </w14:solidFill>
                      </w14:textFill>
                    </w:rPr>
                    <w:t>污泥：</w:t>
                  </w:r>
                  <w:r>
                    <w:rPr>
                      <w:rFonts w:hint="default" w:ascii="Times New Roman" w:hAnsi="Times New Roman" w:eastAsia="宋体" w:cs="Times New Roman"/>
                      <w:bCs/>
                      <w:color w:val="000000" w:themeColor="text1"/>
                      <w:kern w:val="0"/>
                      <w:sz w:val="21"/>
                      <w:szCs w:val="21"/>
                      <w:highlight w:val="none"/>
                      <w:u w:val="none" w:color="auto"/>
                      <w14:textFill>
                        <w14:solidFill>
                          <w14:schemeClr w14:val="tx1"/>
                        </w14:solidFill>
                      </w14:textFill>
                    </w:rPr>
                    <w:t>900-099-S07</w:t>
                  </w:r>
                </w:p>
              </w:tc>
            </w:tr>
            <w:tr w14:paraId="0255913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406" w:type="pct"/>
                  <w:tcBorders>
                    <w:tl2br w:val="nil"/>
                    <w:tr2bl w:val="nil"/>
                  </w:tcBorders>
                  <w:noWrap w:val="0"/>
                  <w:vAlign w:val="center"/>
                </w:tcPr>
                <w:p w14:paraId="1BAD44B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kern w:val="0"/>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bCs/>
                      <w:color w:val="000000" w:themeColor="text1"/>
                      <w:kern w:val="0"/>
                      <w:sz w:val="21"/>
                      <w:szCs w:val="21"/>
                      <w:highlight w:val="none"/>
                      <w:u w:val="none" w:color="auto"/>
                      <w:lang w:val="en-US" w:eastAsia="zh-CN"/>
                      <w14:textFill>
                        <w14:solidFill>
                          <w14:schemeClr w14:val="tx1"/>
                        </w14:solidFill>
                      </w14:textFill>
                    </w:rPr>
                    <w:t>除尘器收集的粉尘</w:t>
                  </w:r>
                </w:p>
              </w:tc>
              <w:tc>
                <w:tcPr>
                  <w:tcW w:w="337" w:type="pct"/>
                  <w:tcBorders>
                    <w:tl2br w:val="nil"/>
                    <w:tr2bl w:val="nil"/>
                  </w:tcBorders>
                  <w:noWrap w:val="0"/>
                  <w:vAlign w:val="center"/>
                </w:tcPr>
                <w:p w14:paraId="7DC71DE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kern w:val="0"/>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bCs/>
                      <w:color w:val="000000" w:themeColor="text1"/>
                      <w:kern w:val="0"/>
                      <w:sz w:val="21"/>
                      <w:szCs w:val="21"/>
                      <w:highlight w:val="none"/>
                      <w:u w:val="none" w:color="auto"/>
                      <w:lang w:val="en-US" w:eastAsia="zh-CN"/>
                      <w14:textFill>
                        <w14:solidFill>
                          <w14:schemeClr w14:val="tx1"/>
                        </w14:solidFill>
                      </w14:textFill>
                    </w:rPr>
                    <w:t>袋式除尘器</w:t>
                  </w:r>
                </w:p>
              </w:tc>
              <w:tc>
                <w:tcPr>
                  <w:tcW w:w="244" w:type="pct"/>
                  <w:tcBorders>
                    <w:tl2br w:val="nil"/>
                    <w:tr2bl w:val="nil"/>
                  </w:tcBorders>
                  <w:noWrap w:val="0"/>
                  <w:vAlign w:val="center"/>
                </w:tcPr>
                <w:p w14:paraId="401AD4C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kern w:val="0"/>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bCs/>
                      <w:color w:val="000000" w:themeColor="text1"/>
                      <w:kern w:val="0"/>
                      <w:sz w:val="21"/>
                      <w:szCs w:val="21"/>
                      <w:highlight w:val="none"/>
                      <w:u w:val="none" w:color="auto"/>
                      <w:lang w:val="en-US" w:eastAsia="zh-CN"/>
                      <w14:textFill>
                        <w14:solidFill>
                          <w14:schemeClr w14:val="tx1"/>
                        </w14:solidFill>
                      </w14:textFill>
                    </w:rPr>
                    <w:t>颗粒物</w:t>
                  </w:r>
                </w:p>
              </w:tc>
              <w:tc>
                <w:tcPr>
                  <w:tcW w:w="284" w:type="pct"/>
                  <w:tcBorders>
                    <w:tl2br w:val="nil"/>
                    <w:tr2bl w:val="nil"/>
                  </w:tcBorders>
                  <w:noWrap w:val="0"/>
                  <w:vAlign w:val="center"/>
                </w:tcPr>
                <w:p w14:paraId="082C309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kern w:val="0"/>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bCs/>
                      <w:color w:val="000000" w:themeColor="text1"/>
                      <w:kern w:val="0"/>
                      <w:sz w:val="21"/>
                      <w:szCs w:val="21"/>
                      <w:highlight w:val="none"/>
                      <w:u w:val="none" w:color="auto"/>
                      <w:lang w:val="en-US" w:eastAsia="zh-CN"/>
                      <w14:textFill>
                        <w14:solidFill>
                          <w14:schemeClr w14:val="tx1"/>
                        </w14:solidFill>
                      </w14:textFill>
                    </w:rPr>
                    <w:t>固态</w:t>
                  </w:r>
                </w:p>
              </w:tc>
              <w:tc>
                <w:tcPr>
                  <w:tcW w:w="450" w:type="pct"/>
                  <w:tcBorders>
                    <w:tl2br w:val="nil"/>
                    <w:tr2bl w:val="nil"/>
                  </w:tcBorders>
                  <w:noWrap w:val="0"/>
                  <w:vAlign w:val="center"/>
                </w:tcPr>
                <w:p w14:paraId="6A621AB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kern w:val="0"/>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bCs/>
                      <w:color w:val="000000" w:themeColor="text1"/>
                      <w:kern w:val="0"/>
                      <w:sz w:val="21"/>
                      <w:szCs w:val="21"/>
                      <w:highlight w:val="none"/>
                      <w:u w:val="none" w:color="auto"/>
                      <w:lang w:val="en-US" w:eastAsia="zh-CN"/>
                      <w14:textFill>
                        <w14:solidFill>
                          <w14:schemeClr w14:val="tx1"/>
                        </w14:solidFill>
                      </w14:textFill>
                    </w:rPr>
                    <w:t>一般工业固废</w:t>
                  </w:r>
                </w:p>
              </w:tc>
              <w:tc>
                <w:tcPr>
                  <w:tcW w:w="400" w:type="pct"/>
                  <w:tcBorders>
                    <w:tl2br w:val="nil"/>
                    <w:tr2bl w:val="nil"/>
                  </w:tcBorders>
                  <w:noWrap w:val="0"/>
                  <w:vAlign w:val="center"/>
                </w:tcPr>
                <w:p w14:paraId="06D44B5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kern w:val="0"/>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bCs/>
                      <w:color w:val="000000" w:themeColor="text1"/>
                      <w:kern w:val="0"/>
                      <w:sz w:val="21"/>
                      <w:szCs w:val="21"/>
                      <w:highlight w:val="none"/>
                      <w:u w:val="none" w:color="auto"/>
                      <w:lang w:val="en-US" w:eastAsia="zh-CN"/>
                      <w14:textFill>
                        <w14:solidFill>
                          <w14:schemeClr w14:val="tx1"/>
                        </w14:solidFill>
                      </w14:textFill>
                    </w:rPr>
                    <w:t>64.674</w:t>
                  </w:r>
                </w:p>
              </w:tc>
              <w:tc>
                <w:tcPr>
                  <w:tcW w:w="945" w:type="pct"/>
                  <w:tcBorders>
                    <w:tl2br w:val="nil"/>
                    <w:tr2bl w:val="nil"/>
                  </w:tcBorders>
                  <w:noWrap w:val="0"/>
                  <w:vAlign w:val="center"/>
                </w:tcPr>
                <w:p w14:paraId="22B2079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定期收集后</w:t>
                  </w: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外售</w:t>
                  </w:r>
                  <w:r>
                    <w:rPr>
                      <w:rFonts w:hint="default" w:ascii="Times New Roman" w:hAnsi="Times New Roman" w:cs="Times New Roman"/>
                      <w:color w:val="000000" w:themeColor="text1"/>
                      <w:sz w:val="21"/>
                      <w:szCs w:val="21"/>
                      <w:highlight w:val="none"/>
                      <w:u w:val="none" w:color="auto"/>
                      <w:lang w:val="en-US" w:eastAsia="zh-CN"/>
                      <w14:textFill>
                        <w14:solidFill>
                          <w14:schemeClr w14:val="tx1"/>
                        </w14:solidFill>
                      </w14:textFill>
                    </w:rPr>
                    <w:t>做农肥</w:t>
                  </w:r>
                </w:p>
              </w:tc>
              <w:tc>
                <w:tcPr>
                  <w:tcW w:w="830" w:type="dxa"/>
                  <w:tcBorders>
                    <w:tl2br w:val="nil"/>
                    <w:tr2bl w:val="nil"/>
                  </w:tcBorders>
                  <w:noWrap w:val="0"/>
                  <w:vAlign w:val="center"/>
                </w:tcPr>
                <w:p w14:paraId="65E9EB9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000000" w:themeColor="text1"/>
                      <w:kern w:val="0"/>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bCs/>
                      <w:color w:val="000000" w:themeColor="text1"/>
                      <w:kern w:val="0"/>
                      <w:sz w:val="21"/>
                      <w:szCs w:val="21"/>
                      <w:highlight w:val="none"/>
                      <w:u w:val="none" w:color="auto"/>
                      <w:lang w:val="en-US" w:eastAsia="zh-CN"/>
                      <w14:textFill>
                        <w14:solidFill>
                          <w14:schemeClr w14:val="tx1"/>
                        </w14:solidFill>
                      </w14:textFill>
                    </w:rPr>
                    <w:t>64.674</w:t>
                  </w:r>
                </w:p>
              </w:tc>
              <w:tc>
                <w:tcPr>
                  <w:tcW w:w="556" w:type="pct"/>
                  <w:vMerge w:val="continue"/>
                  <w:tcBorders>
                    <w:tl2br w:val="nil"/>
                    <w:tr2bl w:val="nil"/>
                  </w:tcBorders>
                  <w:noWrap w:val="0"/>
                  <w:vAlign w:val="center"/>
                </w:tcPr>
                <w:p w14:paraId="4460717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kern w:val="0"/>
                      <w:sz w:val="21"/>
                      <w:szCs w:val="21"/>
                      <w:highlight w:val="none"/>
                      <w:u w:val="none" w:color="auto"/>
                      <w14:textFill>
                        <w14:solidFill>
                          <w14:schemeClr w14:val="tx1"/>
                        </w14:solidFill>
                      </w14:textFill>
                    </w:rPr>
                  </w:pPr>
                </w:p>
              </w:tc>
              <w:tc>
                <w:tcPr>
                  <w:tcW w:w="934" w:type="pct"/>
                  <w:tcBorders>
                    <w:tl2br w:val="nil"/>
                    <w:tr2bl w:val="nil"/>
                  </w:tcBorders>
                  <w:noWrap w:val="0"/>
                  <w:vAlign w:val="center"/>
                </w:tcPr>
                <w:p w14:paraId="3266752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kern w:val="0"/>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bCs/>
                      <w:color w:val="000000" w:themeColor="text1"/>
                      <w:kern w:val="0"/>
                      <w:sz w:val="21"/>
                      <w:szCs w:val="21"/>
                      <w:highlight w:val="none"/>
                      <w:u w:val="none" w:color="auto"/>
                      <w14:textFill>
                        <w14:solidFill>
                          <w14:schemeClr w14:val="tx1"/>
                        </w14:solidFill>
                      </w14:textFill>
                    </w:rPr>
                    <w:t>S59</w:t>
                  </w:r>
                  <w:r>
                    <w:rPr>
                      <w:rFonts w:hint="default" w:ascii="Times New Roman" w:hAnsi="Times New Roman" w:eastAsia="宋体" w:cs="Times New Roman"/>
                      <w:bCs/>
                      <w:color w:val="000000" w:themeColor="text1"/>
                      <w:kern w:val="0"/>
                      <w:sz w:val="21"/>
                      <w:szCs w:val="21"/>
                      <w:highlight w:val="none"/>
                      <w:u w:val="none" w:color="auto"/>
                      <w:lang w:val="en-US" w:eastAsia="zh-CN"/>
                      <w14:textFill>
                        <w14:solidFill>
                          <w14:schemeClr w14:val="tx1"/>
                        </w14:solidFill>
                      </w14:textFill>
                    </w:rPr>
                    <w:t>其他工业固体废物</w:t>
                  </w:r>
                  <w:r>
                    <w:rPr>
                      <w:rFonts w:hint="default" w:ascii="Times New Roman" w:hAnsi="Times New Roman" w:eastAsia="宋体" w:cs="Times New Roman"/>
                      <w:bCs/>
                      <w:color w:val="000000" w:themeColor="text1"/>
                      <w:kern w:val="0"/>
                      <w:sz w:val="21"/>
                      <w:szCs w:val="21"/>
                      <w:highlight w:val="none"/>
                      <w:u w:val="none" w:color="auto"/>
                      <w:lang w:eastAsia="zh-CN"/>
                      <w14:textFill>
                        <w14:solidFill>
                          <w14:schemeClr w14:val="tx1"/>
                        </w14:solidFill>
                      </w14:textFill>
                    </w:rPr>
                    <w:t>：</w:t>
                  </w:r>
                  <w:r>
                    <w:rPr>
                      <w:rFonts w:hint="default" w:ascii="Times New Roman" w:hAnsi="Times New Roman" w:eastAsia="宋体" w:cs="Times New Roman"/>
                      <w:bCs/>
                      <w:color w:val="000000" w:themeColor="text1"/>
                      <w:kern w:val="0"/>
                      <w:sz w:val="21"/>
                      <w:szCs w:val="21"/>
                      <w:highlight w:val="none"/>
                      <w:u w:val="none" w:color="auto"/>
                      <w14:textFill>
                        <w14:solidFill>
                          <w14:schemeClr w14:val="tx1"/>
                        </w14:solidFill>
                      </w14:textFill>
                    </w:rPr>
                    <w:t>900-099-S59</w:t>
                  </w:r>
                </w:p>
              </w:tc>
            </w:tr>
            <w:tr w14:paraId="3B1F1C4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406" w:type="pct"/>
                  <w:tcBorders>
                    <w:tl2br w:val="nil"/>
                    <w:tr2bl w:val="nil"/>
                  </w:tcBorders>
                  <w:noWrap w:val="0"/>
                  <w:vAlign w:val="center"/>
                </w:tcPr>
                <w:p w14:paraId="63FEB04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kern w:val="0"/>
                      <w:sz w:val="21"/>
                      <w:szCs w:val="21"/>
                      <w:highlight w:val="none"/>
                      <w:u w:val="none" w:color="auto"/>
                      <w:lang w:val="en-US" w:eastAsia="zh-CN"/>
                      <w14:textFill>
                        <w14:solidFill>
                          <w14:schemeClr w14:val="tx1"/>
                        </w14:solidFill>
                      </w14:textFill>
                    </w:rPr>
                  </w:pPr>
                  <w:r>
                    <w:rPr>
                      <w:rFonts w:hint="default" w:ascii="Times New Roman" w:hAnsi="Times New Roman" w:cs="Times New Roman"/>
                      <w:bCs/>
                      <w:color w:val="000000" w:themeColor="text1"/>
                      <w:kern w:val="0"/>
                      <w:sz w:val="21"/>
                      <w:szCs w:val="21"/>
                      <w:highlight w:val="none"/>
                      <w:u w:val="none" w:color="auto"/>
                      <w:lang w:val="en-US" w:eastAsia="zh-CN"/>
                      <w14:textFill>
                        <w14:solidFill>
                          <w14:schemeClr w14:val="tx1"/>
                        </w14:solidFill>
                      </w14:textFill>
                    </w:rPr>
                    <w:t>灰渣</w:t>
                  </w:r>
                </w:p>
              </w:tc>
              <w:tc>
                <w:tcPr>
                  <w:tcW w:w="337" w:type="pct"/>
                  <w:tcBorders>
                    <w:tl2br w:val="nil"/>
                    <w:tr2bl w:val="nil"/>
                  </w:tcBorders>
                  <w:noWrap w:val="0"/>
                  <w:vAlign w:val="center"/>
                </w:tcPr>
                <w:p w14:paraId="5984507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kern w:val="0"/>
                      <w:sz w:val="21"/>
                      <w:szCs w:val="21"/>
                      <w:highlight w:val="none"/>
                      <w:u w:val="none" w:color="auto"/>
                      <w:lang w:val="en-US" w:eastAsia="zh-CN"/>
                      <w14:textFill>
                        <w14:solidFill>
                          <w14:schemeClr w14:val="tx1"/>
                        </w14:solidFill>
                      </w14:textFill>
                    </w:rPr>
                  </w:pPr>
                  <w:r>
                    <w:rPr>
                      <w:rFonts w:hint="default" w:ascii="Times New Roman" w:hAnsi="Times New Roman" w:cs="Times New Roman"/>
                      <w:bCs/>
                      <w:color w:val="000000" w:themeColor="text1"/>
                      <w:kern w:val="0"/>
                      <w:sz w:val="21"/>
                      <w:szCs w:val="21"/>
                      <w:highlight w:val="none"/>
                      <w:u w:val="none" w:color="auto"/>
                      <w:lang w:val="en-US" w:eastAsia="zh-CN"/>
                      <w14:textFill>
                        <w14:solidFill>
                          <w14:schemeClr w14:val="tx1"/>
                        </w14:solidFill>
                      </w14:textFill>
                    </w:rPr>
                    <w:t>生物质燃料点炉等过程</w:t>
                  </w:r>
                </w:p>
              </w:tc>
              <w:tc>
                <w:tcPr>
                  <w:tcW w:w="244" w:type="pct"/>
                  <w:tcBorders>
                    <w:tl2br w:val="nil"/>
                    <w:tr2bl w:val="nil"/>
                  </w:tcBorders>
                  <w:noWrap w:val="0"/>
                  <w:vAlign w:val="center"/>
                </w:tcPr>
                <w:p w14:paraId="3E66353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kern w:val="0"/>
                      <w:sz w:val="21"/>
                      <w:szCs w:val="21"/>
                      <w:highlight w:val="none"/>
                      <w:u w:val="none" w:color="auto"/>
                      <w:lang w:val="en-US" w:eastAsia="zh-CN"/>
                      <w14:textFill>
                        <w14:solidFill>
                          <w14:schemeClr w14:val="tx1"/>
                        </w14:solidFill>
                      </w14:textFill>
                    </w:rPr>
                  </w:pPr>
                  <w:r>
                    <w:rPr>
                      <w:rFonts w:hint="default" w:ascii="Times New Roman" w:hAnsi="Times New Roman" w:cs="Times New Roman"/>
                      <w:bCs/>
                      <w:color w:val="000000" w:themeColor="text1"/>
                      <w:kern w:val="0"/>
                      <w:sz w:val="21"/>
                      <w:szCs w:val="21"/>
                      <w:highlight w:val="none"/>
                      <w:u w:val="none" w:color="auto"/>
                      <w:lang w:val="en-US" w:eastAsia="zh-CN"/>
                      <w14:textFill>
                        <w14:solidFill>
                          <w14:schemeClr w14:val="tx1"/>
                        </w14:solidFill>
                      </w14:textFill>
                    </w:rPr>
                    <w:t>灰渣</w:t>
                  </w:r>
                </w:p>
              </w:tc>
              <w:tc>
                <w:tcPr>
                  <w:tcW w:w="284" w:type="pct"/>
                  <w:tcBorders>
                    <w:tl2br w:val="nil"/>
                    <w:tr2bl w:val="nil"/>
                  </w:tcBorders>
                  <w:noWrap w:val="0"/>
                  <w:vAlign w:val="center"/>
                </w:tcPr>
                <w:p w14:paraId="45FEC4B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kern w:val="0"/>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bCs/>
                      <w:color w:val="000000" w:themeColor="text1"/>
                      <w:kern w:val="0"/>
                      <w:sz w:val="21"/>
                      <w:szCs w:val="21"/>
                      <w:highlight w:val="none"/>
                      <w:u w:val="none" w:color="auto"/>
                      <w:lang w:val="en-US" w:eastAsia="zh-CN"/>
                      <w14:textFill>
                        <w14:solidFill>
                          <w14:schemeClr w14:val="tx1"/>
                        </w14:solidFill>
                      </w14:textFill>
                    </w:rPr>
                    <w:t>固态</w:t>
                  </w:r>
                </w:p>
              </w:tc>
              <w:tc>
                <w:tcPr>
                  <w:tcW w:w="450" w:type="pct"/>
                  <w:tcBorders>
                    <w:tl2br w:val="nil"/>
                    <w:tr2bl w:val="nil"/>
                  </w:tcBorders>
                  <w:noWrap w:val="0"/>
                  <w:vAlign w:val="center"/>
                </w:tcPr>
                <w:p w14:paraId="533066D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kern w:val="0"/>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bCs/>
                      <w:color w:val="000000" w:themeColor="text1"/>
                      <w:kern w:val="0"/>
                      <w:sz w:val="21"/>
                      <w:szCs w:val="21"/>
                      <w:highlight w:val="none"/>
                      <w:u w:val="none" w:color="auto"/>
                      <w:lang w:val="en-US" w:eastAsia="zh-CN"/>
                      <w14:textFill>
                        <w14:solidFill>
                          <w14:schemeClr w14:val="tx1"/>
                        </w14:solidFill>
                      </w14:textFill>
                    </w:rPr>
                    <w:t>一般工业固废</w:t>
                  </w:r>
                </w:p>
              </w:tc>
              <w:tc>
                <w:tcPr>
                  <w:tcW w:w="400" w:type="pct"/>
                  <w:tcBorders>
                    <w:tl2br w:val="nil"/>
                    <w:tr2bl w:val="nil"/>
                  </w:tcBorders>
                  <w:noWrap w:val="0"/>
                  <w:vAlign w:val="center"/>
                </w:tcPr>
                <w:p w14:paraId="3070228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kern w:val="0"/>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bCs/>
                      <w:color w:val="000000" w:themeColor="text1"/>
                      <w:kern w:val="0"/>
                      <w:sz w:val="21"/>
                      <w:szCs w:val="21"/>
                      <w:highlight w:val="none"/>
                      <w:u w:val="none" w:color="auto"/>
                      <w:lang w:val="en-US" w:eastAsia="zh-CN"/>
                      <w14:textFill>
                        <w14:solidFill>
                          <w14:schemeClr w14:val="tx1"/>
                        </w14:solidFill>
                      </w14:textFill>
                    </w:rPr>
                    <w:t>42.29</w:t>
                  </w:r>
                </w:p>
              </w:tc>
              <w:tc>
                <w:tcPr>
                  <w:tcW w:w="945" w:type="pct"/>
                  <w:tcBorders>
                    <w:tl2br w:val="nil"/>
                    <w:tr2bl w:val="nil"/>
                  </w:tcBorders>
                  <w:noWrap w:val="0"/>
                  <w:vAlign w:val="center"/>
                </w:tcPr>
                <w:p w14:paraId="3A53CE7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定期收集后</w:t>
                  </w: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外售做农肥</w:t>
                  </w:r>
                </w:p>
              </w:tc>
              <w:tc>
                <w:tcPr>
                  <w:tcW w:w="830" w:type="dxa"/>
                  <w:tcBorders>
                    <w:tl2br w:val="nil"/>
                    <w:tr2bl w:val="nil"/>
                  </w:tcBorders>
                  <w:noWrap w:val="0"/>
                  <w:vAlign w:val="center"/>
                </w:tcPr>
                <w:p w14:paraId="2C167D9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000000" w:themeColor="text1"/>
                      <w:kern w:val="0"/>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bCs/>
                      <w:color w:val="000000" w:themeColor="text1"/>
                      <w:kern w:val="0"/>
                      <w:sz w:val="21"/>
                      <w:szCs w:val="21"/>
                      <w:highlight w:val="none"/>
                      <w:u w:val="none" w:color="auto"/>
                      <w:lang w:val="en-US" w:eastAsia="zh-CN"/>
                      <w14:textFill>
                        <w14:solidFill>
                          <w14:schemeClr w14:val="tx1"/>
                        </w14:solidFill>
                      </w14:textFill>
                    </w:rPr>
                    <w:t>42.29</w:t>
                  </w:r>
                </w:p>
              </w:tc>
              <w:tc>
                <w:tcPr>
                  <w:tcW w:w="556" w:type="pct"/>
                  <w:vMerge w:val="continue"/>
                  <w:tcBorders>
                    <w:tl2br w:val="nil"/>
                    <w:tr2bl w:val="nil"/>
                  </w:tcBorders>
                  <w:noWrap w:val="0"/>
                  <w:vAlign w:val="center"/>
                </w:tcPr>
                <w:p w14:paraId="36AC9F9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kern w:val="0"/>
                      <w:sz w:val="21"/>
                      <w:szCs w:val="21"/>
                      <w:highlight w:val="none"/>
                      <w:u w:val="none" w:color="auto"/>
                      <w14:textFill>
                        <w14:solidFill>
                          <w14:schemeClr w14:val="tx1"/>
                        </w14:solidFill>
                      </w14:textFill>
                    </w:rPr>
                  </w:pPr>
                </w:p>
              </w:tc>
              <w:tc>
                <w:tcPr>
                  <w:tcW w:w="934" w:type="pct"/>
                  <w:tcBorders>
                    <w:tl2br w:val="nil"/>
                    <w:tr2bl w:val="nil"/>
                  </w:tcBorders>
                  <w:noWrap w:val="0"/>
                  <w:vAlign w:val="center"/>
                </w:tcPr>
                <w:p w14:paraId="7BDF694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kern w:val="0"/>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bCs/>
                      <w:color w:val="000000" w:themeColor="text1"/>
                      <w:kern w:val="0"/>
                      <w:sz w:val="21"/>
                      <w:szCs w:val="21"/>
                      <w:highlight w:val="none"/>
                      <w:u w:val="none" w:color="auto"/>
                      <w14:textFill>
                        <w14:solidFill>
                          <w14:schemeClr w14:val="tx1"/>
                        </w14:solidFill>
                      </w14:textFill>
                    </w:rPr>
                    <w:t>S59</w:t>
                  </w:r>
                  <w:r>
                    <w:rPr>
                      <w:rFonts w:hint="default" w:ascii="Times New Roman" w:hAnsi="Times New Roman" w:eastAsia="宋体" w:cs="Times New Roman"/>
                      <w:bCs/>
                      <w:color w:val="000000" w:themeColor="text1"/>
                      <w:kern w:val="0"/>
                      <w:sz w:val="21"/>
                      <w:szCs w:val="21"/>
                      <w:highlight w:val="none"/>
                      <w:u w:val="none" w:color="auto"/>
                      <w:lang w:val="en-US" w:eastAsia="zh-CN"/>
                      <w14:textFill>
                        <w14:solidFill>
                          <w14:schemeClr w14:val="tx1"/>
                        </w14:solidFill>
                      </w14:textFill>
                    </w:rPr>
                    <w:t>其他工业固体废物</w:t>
                  </w:r>
                  <w:r>
                    <w:rPr>
                      <w:rFonts w:hint="default" w:ascii="Times New Roman" w:hAnsi="Times New Roman" w:eastAsia="宋体" w:cs="Times New Roman"/>
                      <w:bCs/>
                      <w:color w:val="000000" w:themeColor="text1"/>
                      <w:kern w:val="0"/>
                      <w:sz w:val="21"/>
                      <w:szCs w:val="21"/>
                      <w:highlight w:val="none"/>
                      <w:u w:val="none" w:color="auto"/>
                      <w:lang w:eastAsia="zh-CN"/>
                      <w14:textFill>
                        <w14:solidFill>
                          <w14:schemeClr w14:val="tx1"/>
                        </w14:solidFill>
                      </w14:textFill>
                    </w:rPr>
                    <w:t>：</w:t>
                  </w:r>
                  <w:r>
                    <w:rPr>
                      <w:rFonts w:hint="default" w:ascii="Times New Roman" w:hAnsi="Times New Roman" w:eastAsia="宋体" w:cs="Times New Roman"/>
                      <w:bCs/>
                      <w:color w:val="000000" w:themeColor="text1"/>
                      <w:kern w:val="0"/>
                      <w:sz w:val="21"/>
                      <w:szCs w:val="21"/>
                      <w:highlight w:val="none"/>
                      <w:u w:val="none" w:color="auto"/>
                      <w14:textFill>
                        <w14:solidFill>
                          <w14:schemeClr w14:val="tx1"/>
                        </w14:solidFill>
                      </w14:textFill>
                    </w:rPr>
                    <w:t>900-099-S59</w:t>
                  </w:r>
                </w:p>
              </w:tc>
            </w:tr>
            <w:tr w14:paraId="2A446C8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406" w:type="pct"/>
                  <w:tcBorders>
                    <w:tl2br w:val="nil"/>
                    <w:tr2bl w:val="nil"/>
                  </w:tcBorders>
                  <w:noWrap w:val="0"/>
                  <w:vAlign w:val="center"/>
                </w:tcPr>
                <w:p w14:paraId="1751635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Cs/>
                      <w:color w:val="000000" w:themeColor="text1"/>
                      <w:kern w:val="0"/>
                      <w:sz w:val="21"/>
                      <w:szCs w:val="21"/>
                      <w:highlight w:val="none"/>
                      <w:u w:val="none" w:color="auto"/>
                      <w:lang w:val="en-US" w:eastAsia="zh-CN"/>
                      <w14:textFill>
                        <w14:solidFill>
                          <w14:schemeClr w14:val="tx1"/>
                        </w14:solidFill>
                      </w14:textFill>
                    </w:rPr>
                  </w:pPr>
                  <w:r>
                    <w:rPr>
                      <w:rFonts w:hint="default" w:ascii="Times New Roman" w:hAnsi="Times New Roman" w:cs="Times New Roman"/>
                      <w:bCs/>
                      <w:color w:val="000000" w:themeColor="text1"/>
                      <w:kern w:val="0"/>
                      <w:sz w:val="21"/>
                      <w:szCs w:val="21"/>
                      <w:highlight w:val="none"/>
                      <w:u w:val="none" w:color="auto"/>
                      <w:lang w:val="en-US" w:eastAsia="zh-CN"/>
                      <w14:textFill>
                        <w14:solidFill>
                          <w14:schemeClr w14:val="tx1"/>
                        </w14:solidFill>
                      </w14:textFill>
                    </w:rPr>
                    <w:t>锯切等过程炭渣</w:t>
                  </w:r>
                </w:p>
              </w:tc>
              <w:tc>
                <w:tcPr>
                  <w:tcW w:w="337" w:type="pct"/>
                  <w:tcBorders>
                    <w:tl2br w:val="nil"/>
                    <w:tr2bl w:val="nil"/>
                  </w:tcBorders>
                  <w:noWrap w:val="0"/>
                  <w:vAlign w:val="center"/>
                </w:tcPr>
                <w:p w14:paraId="4D336A8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Cs/>
                      <w:color w:val="000000" w:themeColor="text1"/>
                      <w:kern w:val="0"/>
                      <w:sz w:val="21"/>
                      <w:szCs w:val="21"/>
                      <w:highlight w:val="none"/>
                      <w:u w:val="none" w:color="auto"/>
                      <w:lang w:val="en-US" w:eastAsia="zh-CN"/>
                      <w14:textFill>
                        <w14:solidFill>
                          <w14:schemeClr w14:val="tx1"/>
                        </w14:solidFill>
                      </w14:textFill>
                    </w:rPr>
                  </w:pPr>
                  <w:r>
                    <w:rPr>
                      <w:rFonts w:hint="default" w:ascii="Times New Roman" w:hAnsi="Times New Roman" w:cs="Times New Roman"/>
                      <w:bCs/>
                      <w:color w:val="000000" w:themeColor="text1"/>
                      <w:kern w:val="0"/>
                      <w:sz w:val="21"/>
                      <w:szCs w:val="21"/>
                      <w:highlight w:val="none"/>
                      <w:u w:val="none" w:color="auto"/>
                      <w:lang w:val="en-US" w:eastAsia="zh-CN"/>
                      <w14:textFill>
                        <w14:solidFill>
                          <w14:schemeClr w14:val="tx1"/>
                        </w14:solidFill>
                      </w14:textFill>
                    </w:rPr>
                    <w:t>锯切</w:t>
                  </w:r>
                </w:p>
              </w:tc>
              <w:tc>
                <w:tcPr>
                  <w:tcW w:w="244" w:type="pct"/>
                  <w:tcBorders>
                    <w:tl2br w:val="nil"/>
                    <w:tr2bl w:val="nil"/>
                  </w:tcBorders>
                  <w:noWrap w:val="0"/>
                  <w:vAlign w:val="center"/>
                </w:tcPr>
                <w:p w14:paraId="35DD1C0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Cs/>
                      <w:color w:val="000000" w:themeColor="text1"/>
                      <w:kern w:val="0"/>
                      <w:sz w:val="21"/>
                      <w:szCs w:val="21"/>
                      <w:highlight w:val="none"/>
                      <w:u w:val="none" w:color="auto"/>
                      <w:lang w:val="en-US" w:eastAsia="zh-CN"/>
                      <w14:textFill>
                        <w14:solidFill>
                          <w14:schemeClr w14:val="tx1"/>
                        </w14:solidFill>
                      </w14:textFill>
                    </w:rPr>
                  </w:pPr>
                  <w:r>
                    <w:rPr>
                      <w:rFonts w:hint="default" w:ascii="Times New Roman" w:hAnsi="Times New Roman" w:cs="Times New Roman"/>
                      <w:bCs/>
                      <w:color w:val="000000" w:themeColor="text1"/>
                      <w:kern w:val="0"/>
                      <w:sz w:val="21"/>
                      <w:szCs w:val="21"/>
                      <w:highlight w:val="none"/>
                      <w:u w:val="none" w:color="auto"/>
                      <w:lang w:val="en-US" w:eastAsia="zh-CN"/>
                      <w14:textFill>
                        <w14:solidFill>
                          <w14:schemeClr w14:val="tx1"/>
                        </w14:solidFill>
                      </w14:textFill>
                    </w:rPr>
                    <w:t>炭渣</w:t>
                  </w:r>
                </w:p>
              </w:tc>
              <w:tc>
                <w:tcPr>
                  <w:tcW w:w="284" w:type="pct"/>
                  <w:tcBorders>
                    <w:tl2br w:val="nil"/>
                    <w:tr2bl w:val="nil"/>
                  </w:tcBorders>
                  <w:shd w:val="clear" w:color="auto" w:fill="auto"/>
                  <w:noWrap w:val="0"/>
                  <w:vAlign w:val="center"/>
                </w:tcPr>
                <w:p w14:paraId="6EA08E6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000000" w:themeColor="text1"/>
                      <w:kern w:val="0"/>
                      <w:sz w:val="21"/>
                      <w:szCs w:val="21"/>
                      <w:highlight w:val="none"/>
                      <w:u w:val="none" w:color="auto"/>
                      <w:lang w:val="en-US" w:eastAsia="zh-CN" w:bidi="ar-SA"/>
                      <w14:textFill>
                        <w14:solidFill>
                          <w14:schemeClr w14:val="tx1"/>
                        </w14:solidFill>
                      </w14:textFill>
                    </w:rPr>
                  </w:pPr>
                  <w:r>
                    <w:rPr>
                      <w:rFonts w:hint="default" w:ascii="Times New Roman" w:hAnsi="Times New Roman" w:eastAsia="宋体" w:cs="Times New Roman"/>
                      <w:bCs/>
                      <w:color w:val="000000" w:themeColor="text1"/>
                      <w:kern w:val="0"/>
                      <w:sz w:val="21"/>
                      <w:szCs w:val="21"/>
                      <w:highlight w:val="none"/>
                      <w:u w:val="none" w:color="auto"/>
                      <w:lang w:val="en-US" w:eastAsia="zh-CN"/>
                      <w14:textFill>
                        <w14:solidFill>
                          <w14:schemeClr w14:val="tx1"/>
                        </w14:solidFill>
                      </w14:textFill>
                    </w:rPr>
                    <w:t>固态</w:t>
                  </w:r>
                </w:p>
              </w:tc>
              <w:tc>
                <w:tcPr>
                  <w:tcW w:w="450" w:type="pct"/>
                  <w:tcBorders>
                    <w:tl2br w:val="nil"/>
                    <w:tr2bl w:val="nil"/>
                  </w:tcBorders>
                  <w:shd w:val="clear" w:color="auto" w:fill="auto"/>
                  <w:noWrap w:val="0"/>
                  <w:vAlign w:val="center"/>
                </w:tcPr>
                <w:p w14:paraId="0FAB736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000000" w:themeColor="text1"/>
                      <w:kern w:val="0"/>
                      <w:sz w:val="21"/>
                      <w:szCs w:val="21"/>
                      <w:highlight w:val="none"/>
                      <w:u w:val="none" w:color="auto"/>
                      <w:lang w:val="en-US" w:eastAsia="zh-CN" w:bidi="ar-SA"/>
                      <w14:textFill>
                        <w14:solidFill>
                          <w14:schemeClr w14:val="tx1"/>
                        </w14:solidFill>
                      </w14:textFill>
                    </w:rPr>
                  </w:pPr>
                  <w:r>
                    <w:rPr>
                      <w:rFonts w:hint="default" w:ascii="Times New Roman" w:hAnsi="Times New Roman" w:eastAsia="宋体" w:cs="Times New Roman"/>
                      <w:bCs/>
                      <w:color w:val="000000" w:themeColor="text1"/>
                      <w:kern w:val="0"/>
                      <w:sz w:val="21"/>
                      <w:szCs w:val="21"/>
                      <w:highlight w:val="none"/>
                      <w:u w:val="none" w:color="auto"/>
                      <w:lang w:val="en-US" w:eastAsia="zh-CN"/>
                      <w14:textFill>
                        <w14:solidFill>
                          <w14:schemeClr w14:val="tx1"/>
                        </w14:solidFill>
                      </w14:textFill>
                    </w:rPr>
                    <w:t>一般工业固废</w:t>
                  </w:r>
                </w:p>
              </w:tc>
              <w:tc>
                <w:tcPr>
                  <w:tcW w:w="400" w:type="pct"/>
                  <w:tcBorders>
                    <w:tl2br w:val="nil"/>
                    <w:tr2bl w:val="nil"/>
                  </w:tcBorders>
                  <w:noWrap w:val="0"/>
                  <w:vAlign w:val="center"/>
                </w:tcPr>
                <w:p w14:paraId="4B2227C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Cs/>
                      <w:color w:val="000000" w:themeColor="text1"/>
                      <w:kern w:val="0"/>
                      <w:sz w:val="21"/>
                      <w:szCs w:val="21"/>
                      <w:highlight w:val="none"/>
                      <w:u w:val="none" w:color="auto"/>
                      <w:lang w:val="en-US" w:eastAsia="zh-CN"/>
                      <w14:textFill>
                        <w14:solidFill>
                          <w14:schemeClr w14:val="tx1"/>
                        </w14:solidFill>
                      </w14:textFill>
                    </w:rPr>
                  </w:pPr>
                  <w:r>
                    <w:rPr>
                      <w:rFonts w:hint="default" w:ascii="Times New Roman" w:hAnsi="Times New Roman" w:cs="Times New Roman"/>
                      <w:bCs/>
                      <w:color w:val="000000" w:themeColor="text1"/>
                      <w:kern w:val="0"/>
                      <w:sz w:val="21"/>
                      <w:szCs w:val="21"/>
                      <w:highlight w:val="none"/>
                      <w:u w:val="none" w:color="auto"/>
                      <w:lang w:val="en-US" w:eastAsia="zh-CN"/>
                      <w14:textFill>
                        <w14:solidFill>
                          <w14:schemeClr w14:val="tx1"/>
                        </w14:solidFill>
                      </w14:textFill>
                    </w:rPr>
                    <w:t>5.0</w:t>
                  </w:r>
                </w:p>
              </w:tc>
              <w:tc>
                <w:tcPr>
                  <w:tcW w:w="945" w:type="pct"/>
                  <w:tcBorders>
                    <w:tl2br w:val="nil"/>
                    <w:tr2bl w:val="nil"/>
                  </w:tcBorders>
                  <w:noWrap w:val="0"/>
                  <w:vAlign w:val="center"/>
                </w:tcPr>
                <w:p w14:paraId="2F1ED90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en-US" w:eastAsia="zh-CN"/>
                      <w14:textFill>
                        <w14:solidFill>
                          <w14:schemeClr w14:val="tx1"/>
                        </w14:solidFill>
                      </w14:textFill>
                    </w:rPr>
                    <w:t>定期收集后外售</w:t>
                  </w:r>
                </w:p>
              </w:tc>
              <w:tc>
                <w:tcPr>
                  <w:tcW w:w="830" w:type="dxa"/>
                  <w:tcBorders>
                    <w:tl2br w:val="nil"/>
                    <w:tr2bl w:val="nil"/>
                  </w:tcBorders>
                  <w:noWrap w:val="0"/>
                  <w:vAlign w:val="center"/>
                </w:tcPr>
                <w:p w14:paraId="02C601D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bCs/>
                      <w:color w:val="000000" w:themeColor="text1"/>
                      <w:kern w:val="0"/>
                      <w:sz w:val="21"/>
                      <w:szCs w:val="21"/>
                      <w:highlight w:val="none"/>
                      <w:u w:val="none" w:color="auto"/>
                      <w:lang w:val="en-US" w:eastAsia="zh-CN"/>
                      <w14:textFill>
                        <w14:solidFill>
                          <w14:schemeClr w14:val="tx1"/>
                        </w14:solidFill>
                      </w14:textFill>
                    </w:rPr>
                  </w:pPr>
                  <w:r>
                    <w:rPr>
                      <w:rFonts w:hint="default" w:ascii="Times New Roman" w:hAnsi="Times New Roman" w:cs="Times New Roman"/>
                      <w:bCs/>
                      <w:color w:val="000000" w:themeColor="text1"/>
                      <w:kern w:val="0"/>
                      <w:sz w:val="21"/>
                      <w:szCs w:val="21"/>
                      <w:highlight w:val="none"/>
                      <w:u w:val="none" w:color="auto"/>
                      <w:lang w:val="en-US" w:eastAsia="zh-CN"/>
                      <w14:textFill>
                        <w14:solidFill>
                          <w14:schemeClr w14:val="tx1"/>
                        </w14:solidFill>
                      </w14:textFill>
                    </w:rPr>
                    <w:t>5.0</w:t>
                  </w:r>
                </w:p>
              </w:tc>
              <w:tc>
                <w:tcPr>
                  <w:tcW w:w="556" w:type="pct"/>
                  <w:vMerge w:val="continue"/>
                  <w:tcBorders>
                    <w:tl2br w:val="nil"/>
                    <w:tr2bl w:val="nil"/>
                  </w:tcBorders>
                  <w:noWrap w:val="0"/>
                  <w:vAlign w:val="center"/>
                </w:tcPr>
                <w:p w14:paraId="4B13B78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kern w:val="0"/>
                      <w:sz w:val="21"/>
                      <w:szCs w:val="21"/>
                      <w:highlight w:val="none"/>
                      <w:u w:val="none" w:color="auto"/>
                      <w14:textFill>
                        <w14:solidFill>
                          <w14:schemeClr w14:val="tx1"/>
                        </w14:solidFill>
                      </w14:textFill>
                    </w:rPr>
                  </w:pPr>
                </w:p>
              </w:tc>
              <w:tc>
                <w:tcPr>
                  <w:tcW w:w="934" w:type="pct"/>
                  <w:tcBorders>
                    <w:tl2br w:val="nil"/>
                    <w:tr2bl w:val="nil"/>
                  </w:tcBorders>
                  <w:noWrap w:val="0"/>
                  <w:vAlign w:val="center"/>
                </w:tcPr>
                <w:p w14:paraId="507AC1F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kern w:val="0"/>
                      <w:sz w:val="21"/>
                      <w:szCs w:val="21"/>
                      <w:highlight w:val="none"/>
                      <w:u w:val="none" w:color="auto"/>
                      <w14:textFill>
                        <w14:solidFill>
                          <w14:schemeClr w14:val="tx1"/>
                        </w14:solidFill>
                      </w14:textFill>
                    </w:rPr>
                  </w:pPr>
                  <w:r>
                    <w:rPr>
                      <w:rFonts w:hint="default" w:ascii="Times New Roman" w:hAnsi="Times New Roman" w:eastAsia="宋体" w:cs="Times New Roman"/>
                      <w:bCs/>
                      <w:color w:val="000000" w:themeColor="text1"/>
                      <w:kern w:val="0"/>
                      <w:sz w:val="21"/>
                      <w:szCs w:val="21"/>
                      <w:highlight w:val="none"/>
                      <w:u w:val="none" w:color="auto"/>
                      <w14:textFill>
                        <w14:solidFill>
                          <w14:schemeClr w14:val="tx1"/>
                        </w14:solidFill>
                      </w14:textFill>
                    </w:rPr>
                    <w:t>S59</w:t>
                  </w:r>
                  <w:r>
                    <w:rPr>
                      <w:rFonts w:hint="default" w:ascii="Times New Roman" w:hAnsi="Times New Roman" w:eastAsia="宋体" w:cs="Times New Roman"/>
                      <w:bCs/>
                      <w:color w:val="000000" w:themeColor="text1"/>
                      <w:kern w:val="0"/>
                      <w:sz w:val="21"/>
                      <w:szCs w:val="21"/>
                      <w:highlight w:val="none"/>
                      <w:u w:val="none" w:color="auto"/>
                      <w:lang w:val="en-US" w:eastAsia="zh-CN"/>
                      <w14:textFill>
                        <w14:solidFill>
                          <w14:schemeClr w14:val="tx1"/>
                        </w14:solidFill>
                      </w14:textFill>
                    </w:rPr>
                    <w:t>其他工业固体废物</w:t>
                  </w:r>
                  <w:r>
                    <w:rPr>
                      <w:rFonts w:hint="default" w:ascii="Times New Roman" w:hAnsi="Times New Roman" w:eastAsia="宋体" w:cs="Times New Roman"/>
                      <w:bCs/>
                      <w:color w:val="000000" w:themeColor="text1"/>
                      <w:kern w:val="0"/>
                      <w:sz w:val="21"/>
                      <w:szCs w:val="21"/>
                      <w:highlight w:val="none"/>
                      <w:u w:val="none" w:color="auto"/>
                      <w:lang w:eastAsia="zh-CN"/>
                      <w14:textFill>
                        <w14:solidFill>
                          <w14:schemeClr w14:val="tx1"/>
                        </w14:solidFill>
                      </w14:textFill>
                    </w:rPr>
                    <w:t>：</w:t>
                  </w:r>
                  <w:r>
                    <w:rPr>
                      <w:rFonts w:hint="default" w:ascii="Times New Roman" w:hAnsi="Times New Roman" w:eastAsia="宋体" w:cs="Times New Roman"/>
                      <w:bCs/>
                      <w:color w:val="000000" w:themeColor="text1"/>
                      <w:kern w:val="0"/>
                      <w:sz w:val="21"/>
                      <w:szCs w:val="21"/>
                      <w:highlight w:val="none"/>
                      <w:u w:val="none" w:color="auto"/>
                      <w14:textFill>
                        <w14:solidFill>
                          <w14:schemeClr w14:val="tx1"/>
                        </w14:solidFill>
                      </w14:textFill>
                    </w:rPr>
                    <w:t>900-099-S59</w:t>
                  </w:r>
                </w:p>
              </w:tc>
            </w:tr>
            <w:tr w14:paraId="1AF307D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406" w:type="pct"/>
                  <w:tcBorders>
                    <w:tl2br w:val="nil"/>
                    <w:tr2bl w:val="nil"/>
                  </w:tcBorders>
                  <w:noWrap w:val="0"/>
                  <w:vAlign w:val="center"/>
                </w:tcPr>
                <w:p w14:paraId="3EE9E4A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kern w:val="0"/>
                      <w:sz w:val="21"/>
                      <w:szCs w:val="21"/>
                      <w:highlight w:val="none"/>
                      <w:u w:val="none" w:color="auto"/>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en-US" w:eastAsia="zh-CN"/>
                      <w14:textFill>
                        <w14:solidFill>
                          <w14:schemeClr w14:val="tx1"/>
                        </w14:solidFill>
                      </w14:textFill>
                    </w:rPr>
                    <w:t>废包装材料</w:t>
                  </w:r>
                </w:p>
              </w:tc>
              <w:tc>
                <w:tcPr>
                  <w:tcW w:w="337" w:type="pct"/>
                  <w:tcBorders>
                    <w:tl2br w:val="nil"/>
                    <w:tr2bl w:val="nil"/>
                  </w:tcBorders>
                  <w:noWrap w:val="0"/>
                  <w:vAlign w:val="center"/>
                </w:tcPr>
                <w:p w14:paraId="7E78B07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kern w:val="0"/>
                      <w:sz w:val="21"/>
                      <w:szCs w:val="21"/>
                      <w:highlight w:val="none"/>
                      <w:u w:val="none" w:color="auto"/>
                      <w:lang w:val="en-US" w:eastAsia="zh-CN"/>
                      <w14:textFill>
                        <w14:solidFill>
                          <w14:schemeClr w14:val="tx1"/>
                        </w14:solidFill>
                      </w14:textFill>
                    </w:rPr>
                  </w:pPr>
                  <w:r>
                    <w:rPr>
                      <w:rFonts w:hint="default" w:ascii="Times New Roman" w:hAnsi="Times New Roman" w:cs="Times New Roman"/>
                      <w:bCs/>
                      <w:color w:val="000000" w:themeColor="text1"/>
                      <w:kern w:val="0"/>
                      <w:sz w:val="21"/>
                      <w:szCs w:val="21"/>
                      <w:highlight w:val="none"/>
                      <w:u w:val="none" w:color="auto"/>
                      <w:lang w:val="en-US" w:eastAsia="zh-CN"/>
                      <w14:textFill>
                        <w14:solidFill>
                          <w14:schemeClr w14:val="tx1"/>
                        </w14:solidFill>
                      </w14:textFill>
                    </w:rPr>
                    <w:t>生产过程</w:t>
                  </w:r>
                </w:p>
              </w:tc>
              <w:tc>
                <w:tcPr>
                  <w:tcW w:w="244" w:type="pct"/>
                  <w:tcBorders>
                    <w:tl2br w:val="nil"/>
                    <w:tr2bl w:val="nil"/>
                  </w:tcBorders>
                  <w:noWrap w:val="0"/>
                  <w:vAlign w:val="center"/>
                </w:tcPr>
                <w:p w14:paraId="473B133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en-US" w:eastAsia="zh-CN"/>
                      <w14:textFill>
                        <w14:solidFill>
                          <w14:schemeClr w14:val="tx1"/>
                        </w14:solidFill>
                      </w14:textFill>
                    </w:rPr>
                    <w:t>废包装材料</w:t>
                  </w:r>
                </w:p>
              </w:tc>
              <w:tc>
                <w:tcPr>
                  <w:tcW w:w="284" w:type="pct"/>
                  <w:tcBorders>
                    <w:tl2br w:val="nil"/>
                    <w:tr2bl w:val="nil"/>
                  </w:tcBorders>
                  <w:noWrap w:val="0"/>
                  <w:vAlign w:val="center"/>
                </w:tcPr>
                <w:p w14:paraId="78AF902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kern w:val="0"/>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bCs/>
                      <w:color w:val="000000" w:themeColor="text1"/>
                      <w:kern w:val="0"/>
                      <w:sz w:val="21"/>
                      <w:szCs w:val="21"/>
                      <w:highlight w:val="none"/>
                      <w:u w:val="none" w:color="auto"/>
                      <w:lang w:val="en-US" w:eastAsia="zh-CN"/>
                      <w14:textFill>
                        <w14:solidFill>
                          <w14:schemeClr w14:val="tx1"/>
                        </w14:solidFill>
                      </w14:textFill>
                    </w:rPr>
                    <w:t>固态</w:t>
                  </w:r>
                </w:p>
              </w:tc>
              <w:tc>
                <w:tcPr>
                  <w:tcW w:w="450" w:type="pct"/>
                  <w:tcBorders>
                    <w:tl2br w:val="nil"/>
                    <w:tr2bl w:val="nil"/>
                  </w:tcBorders>
                  <w:noWrap w:val="0"/>
                  <w:vAlign w:val="center"/>
                </w:tcPr>
                <w:p w14:paraId="3A9FAF1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kern w:val="0"/>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bCs/>
                      <w:color w:val="000000" w:themeColor="text1"/>
                      <w:kern w:val="0"/>
                      <w:sz w:val="21"/>
                      <w:szCs w:val="21"/>
                      <w:highlight w:val="none"/>
                      <w:u w:val="none" w:color="auto"/>
                      <w:lang w:val="en-US" w:eastAsia="zh-CN"/>
                      <w14:textFill>
                        <w14:solidFill>
                          <w14:schemeClr w14:val="tx1"/>
                        </w14:solidFill>
                      </w14:textFill>
                    </w:rPr>
                    <w:t>一般工业固废</w:t>
                  </w:r>
                </w:p>
              </w:tc>
              <w:tc>
                <w:tcPr>
                  <w:tcW w:w="400" w:type="pct"/>
                  <w:tcBorders>
                    <w:tl2br w:val="nil"/>
                    <w:tr2bl w:val="nil"/>
                  </w:tcBorders>
                  <w:noWrap w:val="0"/>
                  <w:vAlign w:val="center"/>
                </w:tcPr>
                <w:p w14:paraId="0F49BC1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kern w:val="0"/>
                      <w:sz w:val="21"/>
                      <w:szCs w:val="21"/>
                      <w:highlight w:val="none"/>
                      <w:u w:val="none" w:color="auto"/>
                      <w:lang w:val="en-US" w:eastAsia="zh-CN"/>
                      <w14:textFill>
                        <w14:solidFill>
                          <w14:schemeClr w14:val="tx1"/>
                        </w14:solidFill>
                      </w14:textFill>
                    </w:rPr>
                  </w:pPr>
                  <w:r>
                    <w:rPr>
                      <w:rFonts w:hint="default" w:ascii="Times New Roman" w:hAnsi="Times New Roman" w:cs="Times New Roman"/>
                      <w:bCs/>
                      <w:color w:val="000000" w:themeColor="text1"/>
                      <w:kern w:val="0"/>
                      <w:sz w:val="21"/>
                      <w:szCs w:val="21"/>
                      <w:highlight w:val="none"/>
                      <w:u w:val="none" w:color="auto"/>
                      <w:lang w:val="en-US" w:eastAsia="zh-CN"/>
                      <w14:textFill>
                        <w14:solidFill>
                          <w14:schemeClr w14:val="tx1"/>
                        </w14:solidFill>
                      </w14:textFill>
                    </w:rPr>
                    <w:t>0.</w:t>
                  </w:r>
                  <w:r>
                    <w:rPr>
                      <w:rFonts w:hint="default" w:ascii="Times New Roman" w:hAnsi="Times New Roman" w:eastAsia="宋体" w:cs="Times New Roman"/>
                      <w:bCs/>
                      <w:color w:val="000000" w:themeColor="text1"/>
                      <w:kern w:val="0"/>
                      <w:sz w:val="21"/>
                      <w:szCs w:val="21"/>
                      <w:highlight w:val="none"/>
                      <w:u w:val="none" w:color="auto"/>
                      <w:lang w:val="en-US" w:eastAsia="zh-CN"/>
                      <w14:textFill>
                        <w14:solidFill>
                          <w14:schemeClr w14:val="tx1"/>
                        </w14:solidFill>
                      </w14:textFill>
                    </w:rPr>
                    <w:t>5</w:t>
                  </w:r>
                </w:p>
              </w:tc>
              <w:tc>
                <w:tcPr>
                  <w:tcW w:w="945" w:type="pct"/>
                  <w:tcBorders>
                    <w:tl2br w:val="nil"/>
                    <w:tr2bl w:val="nil"/>
                  </w:tcBorders>
                  <w:noWrap w:val="0"/>
                  <w:vAlign w:val="center"/>
                </w:tcPr>
                <w:p w14:paraId="12497AA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收集后外售</w:t>
                  </w:r>
                </w:p>
              </w:tc>
              <w:tc>
                <w:tcPr>
                  <w:tcW w:w="830" w:type="dxa"/>
                  <w:tcBorders>
                    <w:tl2br w:val="nil"/>
                    <w:tr2bl w:val="nil"/>
                  </w:tcBorders>
                  <w:noWrap w:val="0"/>
                  <w:vAlign w:val="center"/>
                </w:tcPr>
                <w:p w14:paraId="0D85211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000000" w:themeColor="text1"/>
                      <w:kern w:val="0"/>
                      <w:sz w:val="21"/>
                      <w:szCs w:val="21"/>
                      <w:highlight w:val="none"/>
                      <w:u w:val="none" w:color="auto"/>
                      <w:lang w:val="en-US" w:eastAsia="zh-CN"/>
                      <w14:textFill>
                        <w14:solidFill>
                          <w14:schemeClr w14:val="tx1"/>
                        </w14:solidFill>
                      </w14:textFill>
                    </w:rPr>
                  </w:pPr>
                  <w:r>
                    <w:rPr>
                      <w:rFonts w:hint="default" w:ascii="Times New Roman" w:hAnsi="Times New Roman" w:cs="Times New Roman"/>
                      <w:bCs/>
                      <w:color w:val="000000" w:themeColor="text1"/>
                      <w:kern w:val="0"/>
                      <w:sz w:val="21"/>
                      <w:szCs w:val="21"/>
                      <w:highlight w:val="none"/>
                      <w:u w:val="none" w:color="auto"/>
                      <w:lang w:val="en-US" w:eastAsia="zh-CN"/>
                      <w14:textFill>
                        <w14:solidFill>
                          <w14:schemeClr w14:val="tx1"/>
                        </w14:solidFill>
                      </w14:textFill>
                    </w:rPr>
                    <w:t>0.</w:t>
                  </w:r>
                  <w:r>
                    <w:rPr>
                      <w:rFonts w:hint="default" w:ascii="Times New Roman" w:hAnsi="Times New Roman" w:eastAsia="宋体" w:cs="Times New Roman"/>
                      <w:bCs/>
                      <w:color w:val="000000" w:themeColor="text1"/>
                      <w:kern w:val="0"/>
                      <w:sz w:val="21"/>
                      <w:szCs w:val="21"/>
                      <w:highlight w:val="none"/>
                      <w:u w:val="none" w:color="auto"/>
                      <w:lang w:val="en-US" w:eastAsia="zh-CN"/>
                      <w14:textFill>
                        <w14:solidFill>
                          <w14:schemeClr w14:val="tx1"/>
                        </w14:solidFill>
                      </w14:textFill>
                    </w:rPr>
                    <w:t>5</w:t>
                  </w:r>
                </w:p>
              </w:tc>
              <w:tc>
                <w:tcPr>
                  <w:tcW w:w="556" w:type="pct"/>
                  <w:vMerge w:val="continue"/>
                  <w:tcBorders>
                    <w:tl2br w:val="nil"/>
                    <w:tr2bl w:val="nil"/>
                  </w:tcBorders>
                  <w:noWrap w:val="0"/>
                  <w:vAlign w:val="center"/>
                </w:tcPr>
                <w:p w14:paraId="6C4D59E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kern w:val="0"/>
                      <w:sz w:val="21"/>
                      <w:szCs w:val="21"/>
                      <w:highlight w:val="none"/>
                      <w:u w:val="none" w:color="auto"/>
                      <w14:textFill>
                        <w14:solidFill>
                          <w14:schemeClr w14:val="tx1"/>
                        </w14:solidFill>
                      </w14:textFill>
                    </w:rPr>
                  </w:pPr>
                </w:p>
              </w:tc>
              <w:tc>
                <w:tcPr>
                  <w:tcW w:w="934" w:type="pct"/>
                  <w:tcBorders>
                    <w:tl2br w:val="nil"/>
                    <w:tr2bl w:val="nil"/>
                  </w:tcBorders>
                  <w:noWrap w:val="0"/>
                  <w:vAlign w:val="center"/>
                </w:tcPr>
                <w:p w14:paraId="569E1EF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kern w:val="0"/>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bCs/>
                      <w:color w:val="000000" w:themeColor="text1"/>
                      <w:kern w:val="0"/>
                      <w:sz w:val="21"/>
                      <w:szCs w:val="21"/>
                      <w:highlight w:val="none"/>
                      <w:u w:val="none" w:color="auto"/>
                      <w14:textFill>
                        <w14:solidFill>
                          <w14:schemeClr w14:val="tx1"/>
                        </w14:solidFill>
                      </w14:textFill>
                    </w:rPr>
                    <w:t>S59</w:t>
                  </w:r>
                  <w:r>
                    <w:rPr>
                      <w:rFonts w:hint="default" w:ascii="Times New Roman" w:hAnsi="Times New Roman" w:eastAsia="宋体" w:cs="Times New Roman"/>
                      <w:bCs/>
                      <w:color w:val="000000" w:themeColor="text1"/>
                      <w:kern w:val="0"/>
                      <w:sz w:val="21"/>
                      <w:szCs w:val="21"/>
                      <w:highlight w:val="none"/>
                      <w:u w:val="none" w:color="auto"/>
                      <w:lang w:val="en-US" w:eastAsia="zh-CN"/>
                      <w14:textFill>
                        <w14:solidFill>
                          <w14:schemeClr w14:val="tx1"/>
                        </w14:solidFill>
                      </w14:textFill>
                    </w:rPr>
                    <w:t>其他工业固体废物</w:t>
                  </w:r>
                  <w:r>
                    <w:rPr>
                      <w:rFonts w:hint="default" w:ascii="Times New Roman" w:hAnsi="Times New Roman" w:eastAsia="宋体" w:cs="Times New Roman"/>
                      <w:bCs/>
                      <w:color w:val="000000" w:themeColor="text1"/>
                      <w:kern w:val="0"/>
                      <w:sz w:val="21"/>
                      <w:szCs w:val="21"/>
                      <w:highlight w:val="none"/>
                      <w:u w:val="none" w:color="auto"/>
                      <w:lang w:eastAsia="zh-CN"/>
                      <w14:textFill>
                        <w14:solidFill>
                          <w14:schemeClr w14:val="tx1"/>
                        </w14:solidFill>
                      </w14:textFill>
                    </w:rPr>
                    <w:t>：</w:t>
                  </w:r>
                  <w:r>
                    <w:rPr>
                      <w:rFonts w:hint="default" w:ascii="Times New Roman" w:hAnsi="Times New Roman" w:eastAsia="宋体" w:cs="Times New Roman"/>
                      <w:bCs/>
                      <w:color w:val="000000" w:themeColor="text1"/>
                      <w:kern w:val="0"/>
                      <w:sz w:val="21"/>
                      <w:szCs w:val="21"/>
                      <w:highlight w:val="none"/>
                      <w:u w:val="none" w:color="auto"/>
                      <w14:textFill>
                        <w14:solidFill>
                          <w14:schemeClr w14:val="tx1"/>
                        </w14:solidFill>
                      </w14:textFill>
                    </w:rPr>
                    <w:t>900-099-S59</w:t>
                  </w:r>
                </w:p>
              </w:tc>
            </w:tr>
            <w:tr w14:paraId="243C0D5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406" w:type="pct"/>
                  <w:tcBorders>
                    <w:tl2br w:val="nil"/>
                    <w:tr2bl w:val="nil"/>
                  </w:tcBorders>
                  <w:noWrap w:val="0"/>
                  <w:vAlign w:val="center"/>
                </w:tcPr>
                <w:p w14:paraId="602F73D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color w:val="000000" w:themeColor="text1"/>
                      <w:kern w:val="0"/>
                      <w:sz w:val="21"/>
                      <w:szCs w:val="21"/>
                      <w:highlight w:val="none"/>
                      <w:u w:val="none" w:color="auto"/>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粗</w:t>
                  </w:r>
                  <w:r>
                    <w:rPr>
                      <w:rFonts w:hint="default" w:ascii="Times New Roman" w:hAnsi="Times New Roman" w:cs="Times New Roman"/>
                      <w:color w:val="000000" w:themeColor="text1"/>
                      <w:sz w:val="21"/>
                      <w:szCs w:val="21"/>
                      <w:u w:val="none" w:color="auto"/>
                      <w14:textFill>
                        <w14:solidFill>
                          <w14:schemeClr w14:val="tx1"/>
                        </w14:solidFill>
                      </w14:textFill>
                    </w:rPr>
                    <w:t>木焦油、木醋液</w:t>
                  </w:r>
                </w:p>
              </w:tc>
              <w:tc>
                <w:tcPr>
                  <w:tcW w:w="337" w:type="pct"/>
                  <w:tcBorders>
                    <w:tl2br w:val="nil"/>
                    <w:tr2bl w:val="nil"/>
                  </w:tcBorders>
                  <w:noWrap w:val="0"/>
                  <w:vAlign w:val="center"/>
                </w:tcPr>
                <w:p w14:paraId="7888215D">
                  <w:pPr>
                    <w:keepNext w:val="0"/>
                    <w:keepLines w:val="0"/>
                    <w:pageBreakBefore w:val="0"/>
                    <w:widowControl w:val="0"/>
                    <w:suppressLineNumbers w:val="0"/>
                    <w:tabs>
                      <w:tab w:val="left" w:pos="334"/>
                    </w:tabs>
                    <w:kinsoku/>
                    <w:wordWrap/>
                    <w:overflowPunct/>
                    <w:topLinePunct w:val="0"/>
                    <w:autoSpaceDE/>
                    <w:autoSpaceDN/>
                    <w:bidi w:val="0"/>
                    <w:adjustRightInd/>
                    <w:snapToGrid/>
                    <w:spacing w:before="0" w:beforeAutospacing="0" w:after="0" w:afterAutospacing="0" w:line="240" w:lineRule="auto"/>
                    <w:ind w:left="0" w:right="0"/>
                    <w:jc w:val="left"/>
                    <w:textAlignment w:val="auto"/>
                    <w:rPr>
                      <w:rFonts w:hint="default" w:ascii="Times New Roman" w:hAnsi="Times New Roman" w:cs="Times New Roman"/>
                      <w:bCs/>
                      <w:color w:val="000000" w:themeColor="text1"/>
                      <w:kern w:val="0"/>
                      <w:sz w:val="21"/>
                      <w:szCs w:val="21"/>
                      <w:highlight w:val="none"/>
                      <w:u w:val="none" w:color="auto"/>
                      <w:lang w:val="en-US" w:eastAsia="zh-CN"/>
                      <w14:textFill>
                        <w14:solidFill>
                          <w14:schemeClr w14:val="tx1"/>
                        </w14:solidFill>
                      </w14:textFill>
                    </w:rPr>
                  </w:pPr>
                  <w:r>
                    <w:rPr>
                      <w:rFonts w:hint="default" w:ascii="Times New Roman" w:hAnsi="Times New Roman" w:cs="Times New Roman"/>
                      <w:color w:val="000000" w:themeColor="text1"/>
                      <w:sz w:val="21"/>
                      <w:szCs w:val="21"/>
                      <w:u w:val="none" w:color="auto"/>
                      <w14:textFill>
                        <w14:solidFill>
                          <w14:schemeClr w14:val="tx1"/>
                        </w14:solidFill>
                      </w14:textFill>
                    </w:rPr>
                    <w:t>炭化过程</w:t>
                  </w:r>
                </w:p>
              </w:tc>
              <w:tc>
                <w:tcPr>
                  <w:tcW w:w="244" w:type="pct"/>
                  <w:tcBorders>
                    <w:tl2br w:val="nil"/>
                    <w:tr2bl w:val="nil"/>
                  </w:tcBorders>
                  <w:noWrap w:val="0"/>
                  <w:vAlign w:val="center"/>
                </w:tcPr>
                <w:p w14:paraId="7CB5E07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cs="Times New Roman"/>
                      <w:color w:val="000000" w:themeColor="text1"/>
                      <w:sz w:val="21"/>
                      <w:szCs w:val="21"/>
                      <w:u w:val="none" w:color="auto"/>
                      <w14:textFill>
                        <w14:solidFill>
                          <w14:schemeClr w14:val="tx1"/>
                        </w14:solidFill>
                      </w14:textFill>
                    </w:rPr>
                    <w:t>木焦油、木醋液</w:t>
                  </w:r>
                </w:p>
              </w:tc>
              <w:tc>
                <w:tcPr>
                  <w:tcW w:w="284" w:type="pct"/>
                  <w:tcBorders>
                    <w:tl2br w:val="nil"/>
                    <w:tr2bl w:val="nil"/>
                  </w:tcBorders>
                  <w:noWrap w:val="0"/>
                  <w:vAlign w:val="center"/>
                </w:tcPr>
                <w:p w14:paraId="29BF463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Cs/>
                      <w:color w:val="000000" w:themeColor="text1"/>
                      <w:kern w:val="0"/>
                      <w:sz w:val="21"/>
                      <w:szCs w:val="21"/>
                      <w:highlight w:val="none"/>
                      <w:u w:val="none" w:color="auto"/>
                      <w:lang w:val="en-US" w:eastAsia="zh-CN"/>
                      <w14:textFill>
                        <w14:solidFill>
                          <w14:schemeClr w14:val="tx1"/>
                        </w14:solidFill>
                      </w14:textFill>
                    </w:rPr>
                  </w:pPr>
                  <w:r>
                    <w:rPr>
                      <w:rFonts w:hint="default" w:ascii="Times New Roman" w:hAnsi="Times New Roman" w:cs="Times New Roman"/>
                      <w:bCs/>
                      <w:color w:val="000000" w:themeColor="text1"/>
                      <w:kern w:val="0"/>
                      <w:sz w:val="21"/>
                      <w:szCs w:val="21"/>
                      <w:highlight w:val="none"/>
                      <w:u w:val="none" w:color="auto"/>
                      <w:lang w:val="en-US" w:eastAsia="zh-CN"/>
                      <w14:textFill>
                        <w14:solidFill>
                          <w14:schemeClr w14:val="tx1"/>
                        </w14:solidFill>
                      </w14:textFill>
                    </w:rPr>
                    <w:t>液态</w:t>
                  </w:r>
                </w:p>
              </w:tc>
              <w:tc>
                <w:tcPr>
                  <w:tcW w:w="450" w:type="pct"/>
                  <w:tcBorders>
                    <w:tl2br w:val="nil"/>
                    <w:tr2bl w:val="nil"/>
                  </w:tcBorders>
                  <w:noWrap w:val="0"/>
                  <w:vAlign w:val="center"/>
                </w:tcPr>
                <w:p w14:paraId="5A686208">
                  <w:pPr>
                    <w:keepNext w:val="0"/>
                    <w:keepLines w:val="0"/>
                    <w:pageBreakBefore w:val="0"/>
                    <w:widowControl w:val="0"/>
                    <w:suppressLineNumbers w:val="0"/>
                    <w:tabs>
                      <w:tab w:val="left" w:pos="349"/>
                    </w:tabs>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Cs/>
                      <w:color w:val="000000" w:themeColor="text1"/>
                      <w:kern w:val="0"/>
                      <w:sz w:val="21"/>
                      <w:szCs w:val="21"/>
                      <w:highlight w:val="none"/>
                      <w:u w:val="none" w:color="auto"/>
                      <w:lang w:val="en-US" w:eastAsia="zh-CN"/>
                      <w14:textFill>
                        <w14:solidFill>
                          <w14:schemeClr w14:val="tx1"/>
                        </w14:solidFill>
                      </w14:textFill>
                    </w:rPr>
                  </w:pPr>
                  <w:r>
                    <w:rPr>
                      <w:rFonts w:hint="default" w:ascii="Times New Roman" w:hAnsi="Times New Roman" w:cs="Times New Roman"/>
                      <w:bCs/>
                      <w:color w:val="000000" w:themeColor="text1"/>
                      <w:kern w:val="0"/>
                      <w:sz w:val="21"/>
                      <w:szCs w:val="21"/>
                      <w:highlight w:val="none"/>
                      <w:u w:val="none" w:color="auto"/>
                      <w:lang w:val="en-US" w:eastAsia="zh-CN"/>
                      <w14:textFill>
                        <w14:solidFill>
                          <w14:schemeClr w14:val="tx1"/>
                        </w14:solidFill>
                      </w14:textFill>
                    </w:rPr>
                    <w:t>一般工业固废</w:t>
                  </w:r>
                </w:p>
              </w:tc>
              <w:tc>
                <w:tcPr>
                  <w:tcW w:w="400" w:type="pct"/>
                  <w:tcBorders>
                    <w:tl2br w:val="nil"/>
                    <w:tr2bl w:val="nil"/>
                  </w:tcBorders>
                  <w:noWrap w:val="0"/>
                  <w:vAlign w:val="center"/>
                </w:tcPr>
                <w:p w14:paraId="213F894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Cs/>
                      <w:color w:val="000000" w:themeColor="text1"/>
                      <w:kern w:val="0"/>
                      <w:sz w:val="21"/>
                      <w:szCs w:val="21"/>
                      <w:highlight w:val="none"/>
                      <w:u w:val="none" w:color="auto"/>
                      <w:lang w:val="en-US" w:eastAsia="zh-CN"/>
                      <w14:textFill>
                        <w14:solidFill>
                          <w14:schemeClr w14:val="tx1"/>
                        </w14:solidFill>
                      </w14:textFill>
                    </w:rPr>
                  </w:pPr>
                  <w:r>
                    <w:rPr>
                      <w:rFonts w:hint="default" w:ascii="Times New Roman" w:hAnsi="Times New Roman" w:cs="Times New Roman"/>
                      <w:bCs/>
                      <w:color w:val="000000" w:themeColor="text1"/>
                      <w:kern w:val="0"/>
                      <w:sz w:val="21"/>
                      <w:szCs w:val="21"/>
                      <w:highlight w:val="none"/>
                      <w:u w:val="none" w:color="auto"/>
                      <w:lang w:val="en-US" w:eastAsia="zh-CN"/>
                      <w14:textFill>
                        <w14:solidFill>
                          <w14:schemeClr w14:val="tx1"/>
                        </w14:solidFill>
                      </w14:textFill>
                    </w:rPr>
                    <w:t>3974.89</w:t>
                  </w:r>
                </w:p>
              </w:tc>
              <w:tc>
                <w:tcPr>
                  <w:tcW w:w="945" w:type="pct"/>
                  <w:tcBorders>
                    <w:tl2br w:val="nil"/>
                    <w:tr2bl w:val="nil"/>
                  </w:tcBorders>
                  <w:noWrap w:val="0"/>
                  <w:vAlign w:val="center"/>
                </w:tcPr>
                <w:p w14:paraId="79C7132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000000" w:themeColor="text1"/>
                      <w:kern w:val="0"/>
                      <w:sz w:val="21"/>
                      <w:szCs w:val="21"/>
                      <w:highlight w:val="none"/>
                      <w:u w:val="none" w:color="auto"/>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u w:val="none" w:color="auto"/>
                      <w14:textFill>
                        <w14:solidFill>
                          <w14:schemeClr w14:val="tx1"/>
                        </w14:solidFill>
                      </w14:textFill>
                    </w:rPr>
                    <w:t>采用防渗防漏的专用容器盛装密封</w:t>
                  </w:r>
                  <w:r>
                    <w:rPr>
                      <w:rFonts w:hint="default" w:ascii="Times New Roman" w:hAnsi="Times New Roman" w:cs="Times New Roman"/>
                      <w:color w:val="000000" w:themeColor="text1"/>
                      <w:sz w:val="21"/>
                      <w:szCs w:val="21"/>
                      <w:u w:val="none" w:color="auto"/>
                      <w:lang w:eastAsia="zh-CN"/>
                      <w14:textFill>
                        <w14:solidFill>
                          <w14:schemeClr w14:val="tx1"/>
                        </w14:solidFill>
                      </w14:textFill>
                    </w:rPr>
                    <w:t>，</w:t>
                  </w:r>
                  <w:r>
                    <w:rPr>
                      <w:rFonts w:hint="default" w:ascii="Times New Roman" w:hAnsi="Times New Roman" w:cs="Times New Roman"/>
                      <w:color w:val="000000" w:themeColor="text1"/>
                      <w:sz w:val="21"/>
                      <w:szCs w:val="21"/>
                      <w:u w:val="none" w:color="auto"/>
                      <w14:textFill>
                        <w14:solidFill>
                          <w14:schemeClr w14:val="tx1"/>
                        </w14:solidFill>
                      </w14:textFill>
                    </w:rPr>
                    <w:t>作为副产品外售</w:t>
                  </w:r>
                  <w:r>
                    <w:rPr>
                      <w:rFonts w:hint="default" w:ascii="Times New Roman" w:hAnsi="Times New Roman" w:cs="Times New Roman"/>
                      <w:color w:val="000000" w:themeColor="text1"/>
                      <w:sz w:val="21"/>
                      <w:szCs w:val="21"/>
                      <w:u w:val="none" w:color="auto"/>
                      <w:lang w:eastAsia="zh-CN"/>
                      <w14:textFill>
                        <w14:solidFill>
                          <w14:schemeClr w14:val="tx1"/>
                        </w14:solidFill>
                      </w14:textFill>
                    </w:rPr>
                    <w:t>。</w:t>
                  </w: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其中木焦油由社旗县瑞发建材有限公司回收后用于乳化沥青加工，木醋液由河南润灵药业有限公司回收后用于杀虫剂加工。</w:t>
                  </w:r>
                </w:p>
              </w:tc>
              <w:tc>
                <w:tcPr>
                  <w:tcW w:w="830" w:type="dxa"/>
                  <w:tcBorders>
                    <w:tl2br w:val="nil"/>
                    <w:tr2bl w:val="nil"/>
                  </w:tcBorders>
                  <w:noWrap w:val="0"/>
                  <w:vAlign w:val="center"/>
                </w:tcPr>
                <w:p w14:paraId="717D315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bCs/>
                      <w:color w:val="000000" w:themeColor="text1"/>
                      <w:kern w:val="0"/>
                      <w:sz w:val="21"/>
                      <w:szCs w:val="21"/>
                      <w:highlight w:val="none"/>
                      <w:u w:val="none" w:color="auto"/>
                      <w:lang w:val="en-US" w:eastAsia="zh-CN"/>
                      <w14:textFill>
                        <w14:solidFill>
                          <w14:schemeClr w14:val="tx1"/>
                        </w14:solidFill>
                      </w14:textFill>
                    </w:rPr>
                  </w:pPr>
                  <w:r>
                    <w:rPr>
                      <w:rFonts w:hint="default" w:ascii="Times New Roman" w:hAnsi="Times New Roman" w:cs="Times New Roman"/>
                      <w:bCs/>
                      <w:color w:val="000000" w:themeColor="text1"/>
                      <w:kern w:val="0"/>
                      <w:sz w:val="21"/>
                      <w:szCs w:val="21"/>
                      <w:highlight w:val="none"/>
                      <w:u w:val="none" w:color="auto"/>
                      <w:lang w:val="en-US" w:eastAsia="zh-CN"/>
                      <w14:textFill>
                        <w14:solidFill>
                          <w14:schemeClr w14:val="tx1"/>
                        </w14:solidFill>
                      </w14:textFill>
                    </w:rPr>
                    <w:t>3974.89</w:t>
                  </w:r>
                </w:p>
              </w:tc>
              <w:tc>
                <w:tcPr>
                  <w:tcW w:w="556" w:type="pct"/>
                  <w:vMerge w:val="continue"/>
                  <w:tcBorders>
                    <w:tl2br w:val="nil"/>
                    <w:tr2bl w:val="nil"/>
                  </w:tcBorders>
                  <w:noWrap w:val="0"/>
                  <w:vAlign w:val="center"/>
                </w:tcPr>
                <w:p w14:paraId="59569DE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kern w:val="0"/>
                      <w:sz w:val="21"/>
                      <w:szCs w:val="21"/>
                      <w:highlight w:val="none"/>
                      <w:u w:val="none" w:color="auto"/>
                      <w14:textFill>
                        <w14:solidFill>
                          <w14:schemeClr w14:val="tx1"/>
                        </w14:solidFill>
                      </w14:textFill>
                    </w:rPr>
                  </w:pPr>
                </w:p>
              </w:tc>
              <w:tc>
                <w:tcPr>
                  <w:tcW w:w="934" w:type="pct"/>
                  <w:tcBorders>
                    <w:tl2br w:val="nil"/>
                    <w:tr2bl w:val="nil"/>
                  </w:tcBorders>
                  <w:noWrap w:val="0"/>
                  <w:vAlign w:val="center"/>
                </w:tcPr>
                <w:p w14:paraId="1D79F10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kern w:val="0"/>
                      <w:sz w:val="21"/>
                      <w:szCs w:val="21"/>
                      <w:highlight w:val="none"/>
                      <w:u w:val="none" w:color="auto"/>
                      <w14:textFill>
                        <w14:solidFill>
                          <w14:schemeClr w14:val="tx1"/>
                        </w14:solidFill>
                      </w14:textFill>
                    </w:rPr>
                  </w:pPr>
                  <w:r>
                    <w:rPr>
                      <w:rFonts w:hint="default" w:ascii="Times New Roman" w:hAnsi="Times New Roman" w:eastAsia="宋体" w:cs="Times New Roman"/>
                      <w:bCs/>
                      <w:color w:val="000000" w:themeColor="text1"/>
                      <w:kern w:val="0"/>
                      <w:sz w:val="21"/>
                      <w:szCs w:val="21"/>
                      <w:highlight w:val="none"/>
                      <w:u w:val="none" w:color="auto"/>
                      <w14:textFill>
                        <w14:solidFill>
                          <w14:schemeClr w14:val="tx1"/>
                        </w14:solidFill>
                      </w14:textFill>
                    </w:rPr>
                    <w:t>S59</w:t>
                  </w:r>
                  <w:r>
                    <w:rPr>
                      <w:rFonts w:hint="default" w:ascii="Times New Roman" w:hAnsi="Times New Roman" w:eastAsia="宋体" w:cs="Times New Roman"/>
                      <w:bCs/>
                      <w:color w:val="000000" w:themeColor="text1"/>
                      <w:kern w:val="0"/>
                      <w:sz w:val="21"/>
                      <w:szCs w:val="21"/>
                      <w:highlight w:val="none"/>
                      <w:u w:val="none" w:color="auto"/>
                      <w:lang w:val="en-US" w:eastAsia="zh-CN"/>
                      <w14:textFill>
                        <w14:solidFill>
                          <w14:schemeClr w14:val="tx1"/>
                        </w14:solidFill>
                      </w14:textFill>
                    </w:rPr>
                    <w:t>其他工业固体废物</w:t>
                  </w:r>
                  <w:r>
                    <w:rPr>
                      <w:rFonts w:hint="default" w:ascii="Times New Roman" w:hAnsi="Times New Roman" w:eastAsia="宋体" w:cs="Times New Roman"/>
                      <w:bCs/>
                      <w:color w:val="000000" w:themeColor="text1"/>
                      <w:kern w:val="0"/>
                      <w:sz w:val="21"/>
                      <w:szCs w:val="21"/>
                      <w:highlight w:val="none"/>
                      <w:u w:val="none" w:color="auto"/>
                      <w:lang w:eastAsia="zh-CN"/>
                      <w14:textFill>
                        <w14:solidFill>
                          <w14:schemeClr w14:val="tx1"/>
                        </w14:solidFill>
                      </w14:textFill>
                    </w:rPr>
                    <w:t>：</w:t>
                  </w:r>
                  <w:r>
                    <w:rPr>
                      <w:rFonts w:hint="default" w:ascii="Times New Roman" w:hAnsi="Times New Roman" w:eastAsia="宋体" w:cs="Times New Roman"/>
                      <w:bCs/>
                      <w:color w:val="000000" w:themeColor="text1"/>
                      <w:kern w:val="0"/>
                      <w:sz w:val="21"/>
                      <w:szCs w:val="21"/>
                      <w:highlight w:val="none"/>
                      <w:u w:val="none" w:color="auto"/>
                      <w14:textFill>
                        <w14:solidFill>
                          <w14:schemeClr w14:val="tx1"/>
                        </w14:solidFill>
                      </w14:textFill>
                    </w:rPr>
                    <w:t>900-099-S59</w:t>
                  </w:r>
                </w:p>
              </w:tc>
            </w:tr>
          </w:tbl>
          <w:p w14:paraId="0431E184">
            <w:pPr>
              <w:keepNext w:val="0"/>
              <w:keepLines w:val="0"/>
              <w:pageBreakBefore w:val="0"/>
              <w:suppressLineNumbers w:val="0"/>
              <w:tabs>
                <w:tab w:val="left" w:pos="1081"/>
              </w:tabs>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jc w:val="both"/>
              <w:textAlignment w:val="auto"/>
              <w:rPr>
                <w:rFonts w:hint="eastAsia" w:cs="Times New Roman"/>
                <w:color w:val="000000" w:themeColor="text1"/>
                <w:sz w:val="24"/>
                <w:szCs w:val="24"/>
                <w:highlight w:val="none"/>
                <w:u w:val="none" w:color="auto"/>
                <w:lang w:val="en-US" w:eastAsia="zh-CN"/>
                <w14:textFill>
                  <w14:solidFill>
                    <w14:schemeClr w14:val="tx1"/>
                  </w14:solidFill>
                </w14:textFill>
              </w:rPr>
            </w:pPr>
            <w:r>
              <w:rPr>
                <w:rFonts w:hint="eastAsia" w:cs="Times New Roman"/>
                <w:color w:val="000000" w:themeColor="text1"/>
                <w:sz w:val="24"/>
                <w:szCs w:val="24"/>
                <w:highlight w:val="none"/>
                <w:u w:val="none" w:color="auto"/>
                <w:lang w:val="en-US" w:eastAsia="zh-CN"/>
                <w14:textFill>
                  <w14:solidFill>
                    <w14:schemeClr w14:val="tx1"/>
                  </w14:solidFill>
                </w14:textFill>
              </w:rPr>
              <w:t>（4）危险废物</w:t>
            </w:r>
          </w:p>
          <w:p w14:paraId="7BBE0588">
            <w:pPr>
              <w:keepNext w:val="0"/>
              <w:keepLines w:val="0"/>
              <w:pageBreakBefore w:val="0"/>
              <w:suppressLineNumbers w:val="0"/>
              <w:tabs>
                <w:tab w:val="left" w:pos="1081"/>
              </w:tabs>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jc w:val="both"/>
              <w:textAlignment w:val="auto"/>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pP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项目营运期设备运转以润滑油作为润滑剂，设备维护过程会产生废润滑油，废润滑油产生量约0.</w:t>
            </w:r>
            <w:r>
              <w:rPr>
                <w:rFonts w:hint="eastAsia" w:cs="Times New Roman"/>
                <w:color w:val="000000" w:themeColor="text1"/>
                <w:sz w:val="24"/>
                <w:szCs w:val="24"/>
                <w:highlight w:val="none"/>
                <w:u w:val="none" w:color="auto"/>
                <w:lang w:val="en-US" w:eastAsia="zh-CN"/>
                <w14:textFill>
                  <w14:solidFill>
                    <w14:schemeClr w14:val="tx1"/>
                  </w14:solidFill>
                </w14:textFill>
              </w:rPr>
              <w:t>05</w:t>
            </w: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t/a；润滑油使用过程会产生废润滑油桶，润滑油年用量为</w:t>
            </w:r>
            <w:r>
              <w:rPr>
                <w:rFonts w:hint="eastAsia" w:cs="Times New Roman"/>
                <w:color w:val="000000" w:themeColor="text1"/>
                <w:sz w:val="24"/>
                <w:szCs w:val="24"/>
                <w:highlight w:val="none"/>
                <w:u w:val="none" w:color="auto"/>
                <w:lang w:val="en-US" w:eastAsia="zh-CN"/>
                <w14:textFill>
                  <w14:solidFill>
                    <w14:schemeClr w14:val="tx1"/>
                  </w14:solidFill>
                </w14:textFill>
              </w:rPr>
              <w:t>0.5</w:t>
            </w: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t/a，包装规格50kg/桶，则废润滑油桶产生量为</w:t>
            </w:r>
            <w:r>
              <w:rPr>
                <w:rFonts w:hint="eastAsia" w:cs="Times New Roman"/>
                <w:color w:val="000000" w:themeColor="text1"/>
                <w:sz w:val="24"/>
                <w:szCs w:val="24"/>
                <w:highlight w:val="none"/>
                <w:u w:val="none" w:color="auto"/>
                <w:lang w:val="en-US" w:eastAsia="zh-CN"/>
                <w14:textFill>
                  <w14:solidFill>
                    <w14:schemeClr w14:val="tx1"/>
                  </w14:solidFill>
                </w14:textFill>
              </w:rPr>
              <w:t>20</w:t>
            </w: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个/a，每个按</w:t>
            </w:r>
            <w:r>
              <w:rPr>
                <w:rFonts w:hint="eastAsia" w:cs="Times New Roman"/>
                <w:color w:val="000000" w:themeColor="text1"/>
                <w:sz w:val="24"/>
                <w:szCs w:val="24"/>
                <w:highlight w:val="none"/>
                <w:u w:val="none" w:color="auto"/>
                <w:lang w:val="en-US" w:eastAsia="zh-CN"/>
                <w14:textFill>
                  <w14:solidFill>
                    <w14:schemeClr w14:val="tx1"/>
                  </w14:solidFill>
                </w14:textFill>
              </w:rPr>
              <w:t>0.5</w:t>
            </w: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kg计，约0.0</w:t>
            </w:r>
            <w:r>
              <w:rPr>
                <w:rFonts w:hint="eastAsia" w:cs="Times New Roman"/>
                <w:color w:val="000000" w:themeColor="text1"/>
                <w:sz w:val="24"/>
                <w:szCs w:val="24"/>
                <w:highlight w:val="none"/>
                <w:u w:val="none" w:color="auto"/>
                <w:lang w:val="en-US" w:eastAsia="zh-CN"/>
                <w14:textFill>
                  <w14:solidFill>
                    <w14:schemeClr w14:val="tx1"/>
                  </w14:solidFill>
                </w14:textFill>
              </w:rPr>
              <w:t>1</w:t>
            </w: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t/a。经对比《国家危险废物名录》（202</w:t>
            </w:r>
            <w:r>
              <w:rPr>
                <w:rFonts w:hint="eastAsia" w:cs="Times New Roman"/>
                <w:color w:val="000000" w:themeColor="text1"/>
                <w:sz w:val="24"/>
                <w:szCs w:val="24"/>
                <w:highlight w:val="none"/>
                <w:u w:val="none" w:color="auto"/>
                <w:lang w:val="en-US" w:eastAsia="zh-CN"/>
                <w14:textFill>
                  <w14:solidFill>
                    <w14:schemeClr w14:val="tx1"/>
                  </w14:solidFill>
                </w14:textFill>
              </w:rPr>
              <w:t>5</w:t>
            </w: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年</w:t>
            </w:r>
            <w:r>
              <w:rPr>
                <w:rFonts w:hint="eastAsia" w:cs="Times New Roman"/>
                <w:color w:val="000000" w:themeColor="text1"/>
                <w:sz w:val="24"/>
                <w:szCs w:val="24"/>
                <w:highlight w:val="none"/>
                <w:u w:val="none" w:color="auto"/>
                <w:lang w:val="en-US" w:eastAsia="zh-CN"/>
                <w14:textFill>
                  <w14:solidFill>
                    <w14:schemeClr w14:val="tx1"/>
                  </w14:solidFill>
                </w14:textFill>
              </w:rPr>
              <w:t>版</w:t>
            </w: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），废润滑油属于危险废物“HW08废矿物油与含矿物油废物”中“900-217-08</w:t>
            </w:r>
            <w:r>
              <w:rPr>
                <w:rFonts w:hint="default" w:ascii="Times New Roman" w:hAnsi="Times New Roman" w:eastAsia="宋体" w:cs="Times New Roman"/>
                <w:color w:val="000000" w:themeColor="text1"/>
                <w:sz w:val="24"/>
                <w:szCs w:val="24"/>
                <w:highlight w:val="none"/>
                <w:u w:val="none" w:color="auto"/>
                <w:lang w:val="en-US" w:eastAsia="zh-CN"/>
                <w14:textFill>
                  <w14:solidFill>
                    <w14:schemeClr w14:val="tx1"/>
                  </w14:solidFill>
                </w14:textFill>
              </w:rPr>
              <w:t>使用工业齿轮油进行机械设备润滑过程中产生的废润滑油</w:t>
            </w: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”；废润滑油桶属于危险废物“HW08废矿物油与含矿物油废物”中“900-249-08其他生产、销售、使用过程中产生的废矿物油及沾染矿物油的废弃包装物”，分类集中收集于危废暂存间（面积</w:t>
            </w:r>
            <w:r>
              <w:rPr>
                <w:rFonts w:hint="eastAsia" w:cs="Times New Roman"/>
                <w:color w:val="000000" w:themeColor="text1"/>
                <w:sz w:val="24"/>
                <w:szCs w:val="24"/>
                <w:highlight w:val="none"/>
                <w:u w:val="none" w:color="auto"/>
                <w:lang w:val="en-US" w:eastAsia="zh-CN"/>
                <w14:textFill>
                  <w14:solidFill>
                    <w14:schemeClr w14:val="tx1"/>
                  </w14:solidFill>
                </w14:textFill>
              </w:rPr>
              <w:t>5</w:t>
            </w: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m</w:t>
            </w:r>
            <w:r>
              <w:rPr>
                <w:rFonts w:hint="default" w:ascii="Times New Roman" w:hAnsi="Times New Roman" w:eastAsia="宋体" w:cs="Times New Roman"/>
                <w:color w:val="000000" w:themeColor="text1"/>
                <w:sz w:val="24"/>
                <w:szCs w:val="24"/>
                <w:highlight w:val="none"/>
                <w:u w:val="none" w:color="auto"/>
                <w:vertAlign w:val="superscript"/>
                <w14:textFill>
                  <w14:solidFill>
                    <w14:schemeClr w14:val="tx1"/>
                  </w14:solidFill>
                </w14:textFill>
              </w:rPr>
              <w:t>2</w:t>
            </w: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，采取“六防”措施），定期交由有危废处理资质单位进行处置。</w:t>
            </w:r>
          </w:p>
          <w:p w14:paraId="7137E81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jc w:val="center"/>
              <w:textAlignment w:val="auto"/>
              <w:rPr>
                <w:rFonts w:hint="default" w:ascii="Times New Roman" w:hAnsi="Times New Roman" w:eastAsia="宋体" w:cs="Times New Roman"/>
                <w:b/>
                <w:color w:val="000000" w:themeColor="text1"/>
                <w:kern w:val="2"/>
                <w:sz w:val="24"/>
                <w:szCs w:val="24"/>
                <w:highlight w:val="none"/>
                <w:u w:val="none" w:color="auto"/>
                <w:lang w:val="en-US" w:eastAsia="zh-CN" w:bidi="ar-SA"/>
                <w14:textFill>
                  <w14:solidFill>
                    <w14:schemeClr w14:val="tx1"/>
                  </w14:solidFill>
                </w14:textFill>
              </w:rPr>
            </w:pPr>
            <w:r>
              <w:rPr>
                <w:rFonts w:hint="default" w:ascii="Times New Roman" w:hAnsi="Times New Roman" w:eastAsia="宋体" w:cs="Times New Roman"/>
                <w:b/>
                <w:color w:val="000000" w:themeColor="text1"/>
                <w:kern w:val="2"/>
                <w:sz w:val="24"/>
                <w:szCs w:val="24"/>
                <w:highlight w:val="none"/>
                <w:u w:val="none" w:color="auto"/>
                <w:lang w:val="en-US" w:eastAsia="zh-CN" w:bidi="ar-SA"/>
                <w14:textFill>
                  <w14:solidFill>
                    <w14:schemeClr w14:val="tx1"/>
                  </w14:solidFill>
                </w14:textFill>
              </w:rPr>
              <w:t>表4-2</w:t>
            </w:r>
            <w:r>
              <w:rPr>
                <w:rFonts w:hint="eastAsia" w:ascii="Times New Roman" w:hAnsi="Times New Roman" w:eastAsia="宋体" w:cs="Times New Roman"/>
                <w:b/>
                <w:color w:val="000000" w:themeColor="text1"/>
                <w:kern w:val="2"/>
                <w:sz w:val="24"/>
                <w:szCs w:val="24"/>
                <w:highlight w:val="none"/>
                <w:u w:val="none" w:color="auto"/>
                <w:lang w:val="en-US" w:eastAsia="zh-CN" w:bidi="ar-SA"/>
                <w14:textFill>
                  <w14:solidFill>
                    <w14:schemeClr w14:val="tx1"/>
                  </w14:solidFill>
                </w14:textFill>
              </w:rPr>
              <w:t>3</w:t>
            </w:r>
            <w:r>
              <w:rPr>
                <w:rFonts w:hint="default" w:ascii="Times New Roman" w:hAnsi="Times New Roman" w:eastAsia="宋体" w:cs="Times New Roman"/>
                <w:b/>
                <w:color w:val="000000" w:themeColor="text1"/>
                <w:kern w:val="2"/>
                <w:sz w:val="24"/>
                <w:szCs w:val="24"/>
                <w:highlight w:val="none"/>
                <w:u w:val="none" w:color="auto"/>
                <w:lang w:val="en-US" w:eastAsia="zh-CN" w:bidi="ar-SA"/>
                <w14:textFill>
                  <w14:solidFill>
                    <w14:schemeClr w14:val="tx1"/>
                  </w14:solidFill>
                </w14:textFill>
              </w:rPr>
              <w:t xml:space="preserve">  项目危险废物产生及处置情况一览表</w:t>
            </w:r>
          </w:p>
          <w:tbl>
            <w:tblPr>
              <w:tblStyle w:val="29"/>
              <w:tblW w:w="4994"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0" w:type="dxa"/>
                <w:bottom w:w="0" w:type="dxa"/>
                <w:right w:w="0" w:type="dxa"/>
              </w:tblCellMar>
            </w:tblPr>
            <w:tblGrid>
              <w:gridCol w:w="538"/>
              <w:gridCol w:w="1160"/>
              <w:gridCol w:w="899"/>
              <w:gridCol w:w="1307"/>
              <w:gridCol w:w="810"/>
              <w:gridCol w:w="627"/>
              <w:gridCol w:w="533"/>
              <w:gridCol w:w="521"/>
              <w:gridCol w:w="521"/>
              <w:gridCol w:w="798"/>
              <w:gridCol w:w="655"/>
              <w:gridCol w:w="1068"/>
            </w:tblGrid>
            <w:tr w14:paraId="5200F7F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454" w:hRule="atLeast"/>
                <w:jc w:val="center"/>
              </w:trPr>
              <w:tc>
                <w:tcPr>
                  <w:tcW w:w="285" w:type="pct"/>
                  <w:noWrap w:val="0"/>
                  <w:vAlign w:val="center"/>
                </w:tcPr>
                <w:p w14:paraId="1623EDE4">
                  <w:pPr>
                    <w:pStyle w:val="51"/>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rPr>
                      <w:rFonts w:hint="default" w:ascii="Times New Roman" w:hAnsi="Times New Roman" w:eastAsia="宋体" w:cs="Times New Roman"/>
                      <w:bCs/>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bCs/>
                      <w:color w:val="000000" w:themeColor="text1"/>
                      <w:sz w:val="21"/>
                      <w:szCs w:val="21"/>
                      <w:highlight w:val="none"/>
                      <w:u w:val="none" w:color="auto"/>
                      <w14:textFill>
                        <w14:solidFill>
                          <w14:schemeClr w14:val="tx1"/>
                        </w14:solidFill>
                      </w14:textFill>
                    </w:rPr>
                    <w:t>序号</w:t>
                  </w:r>
                </w:p>
              </w:tc>
              <w:tc>
                <w:tcPr>
                  <w:tcW w:w="614" w:type="pct"/>
                  <w:noWrap w:val="0"/>
                  <w:vAlign w:val="center"/>
                </w:tcPr>
                <w:p w14:paraId="14AA2195">
                  <w:pPr>
                    <w:pStyle w:val="51"/>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rPr>
                      <w:rFonts w:hint="default" w:ascii="Times New Roman" w:hAnsi="Times New Roman" w:eastAsia="宋体" w:cs="Times New Roman"/>
                      <w:bCs/>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bCs/>
                      <w:color w:val="000000" w:themeColor="text1"/>
                      <w:sz w:val="21"/>
                      <w:szCs w:val="21"/>
                      <w:highlight w:val="none"/>
                      <w:u w:val="none" w:color="auto"/>
                      <w14:textFill>
                        <w14:solidFill>
                          <w14:schemeClr w14:val="tx1"/>
                        </w14:solidFill>
                      </w14:textFill>
                    </w:rPr>
                    <w:t>危险废物名称</w:t>
                  </w:r>
                </w:p>
              </w:tc>
              <w:tc>
                <w:tcPr>
                  <w:tcW w:w="476" w:type="pct"/>
                  <w:noWrap w:val="0"/>
                  <w:vAlign w:val="center"/>
                </w:tcPr>
                <w:p w14:paraId="57BF5B86">
                  <w:pPr>
                    <w:pStyle w:val="51"/>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rPr>
                      <w:rFonts w:hint="default" w:ascii="Times New Roman" w:hAnsi="Times New Roman" w:eastAsia="宋体" w:cs="Times New Roman"/>
                      <w:bCs/>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bCs/>
                      <w:color w:val="000000" w:themeColor="text1"/>
                      <w:sz w:val="21"/>
                      <w:szCs w:val="21"/>
                      <w:highlight w:val="none"/>
                      <w:u w:val="none" w:color="auto"/>
                      <w14:textFill>
                        <w14:solidFill>
                          <w14:schemeClr w14:val="tx1"/>
                        </w14:solidFill>
                      </w14:textFill>
                    </w:rPr>
                    <w:t>危险废物类别</w:t>
                  </w:r>
                </w:p>
              </w:tc>
              <w:tc>
                <w:tcPr>
                  <w:tcW w:w="692" w:type="pct"/>
                  <w:noWrap w:val="0"/>
                  <w:vAlign w:val="center"/>
                </w:tcPr>
                <w:p w14:paraId="45EE1438">
                  <w:pPr>
                    <w:pStyle w:val="51"/>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rPr>
                      <w:rFonts w:hint="default" w:ascii="Times New Roman" w:hAnsi="Times New Roman" w:eastAsia="宋体" w:cs="Times New Roman"/>
                      <w:bCs/>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bCs/>
                      <w:color w:val="000000" w:themeColor="text1"/>
                      <w:sz w:val="21"/>
                      <w:szCs w:val="21"/>
                      <w:highlight w:val="none"/>
                      <w:u w:val="none" w:color="auto"/>
                      <w14:textFill>
                        <w14:solidFill>
                          <w14:schemeClr w14:val="tx1"/>
                        </w14:solidFill>
                      </w14:textFill>
                    </w:rPr>
                    <w:t>危险废物</w:t>
                  </w:r>
                </w:p>
                <w:p w14:paraId="3C8CB79E">
                  <w:pPr>
                    <w:pStyle w:val="51"/>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rPr>
                      <w:rFonts w:hint="default" w:ascii="Times New Roman" w:hAnsi="Times New Roman" w:eastAsia="宋体" w:cs="Times New Roman"/>
                      <w:bCs/>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bCs/>
                      <w:color w:val="000000" w:themeColor="text1"/>
                      <w:sz w:val="21"/>
                      <w:szCs w:val="21"/>
                      <w:highlight w:val="none"/>
                      <w:u w:val="none" w:color="auto"/>
                      <w14:textFill>
                        <w14:solidFill>
                          <w14:schemeClr w14:val="tx1"/>
                        </w14:solidFill>
                      </w14:textFill>
                    </w:rPr>
                    <w:t>代码</w:t>
                  </w:r>
                </w:p>
              </w:tc>
              <w:tc>
                <w:tcPr>
                  <w:tcW w:w="429" w:type="pct"/>
                  <w:noWrap w:val="0"/>
                  <w:vAlign w:val="center"/>
                </w:tcPr>
                <w:p w14:paraId="5C8B4369">
                  <w:pPr>
                    <w:pStyle w:val="51"/>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rPr>
                      <w:rFonts w:hint="default" w:ascii="Times New Roman" w:hAnsi="Times New Roman" w:eastAsia="宋体" w:cs="Times New Roman"/>
                      <w:bCs/>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bCs/>
                      <w:color w:val="000000" w:themeColor="text1"/>
                      <w:sz w:val="21"/>
                      <w:szCs w:val="21"/>
                      <w:highlight w:val="none"/>
                      <w:u w:val="none" w:color="auto"/>
                      <w14:textFill>
                        <w14:solidFill>
                          <w14:schemeClr w14:val="tx1"/>
                        </w14:solidFill>
                      </w14:textFill>
                    </w:rPr>
                    <w:t>产生量（t/a）</w:t>
                  </w:r>
                </w:p>
              </w:tc>
              <w:tc>
                <w:tcPr>
                  <w:tcW w:w="332" w:type="pct"/>
                  <w:noWrap w:val="0"/>
                  <w:vAlign w:val="center"/>
                </w:tcPr>
                <w:p w14:paraId="4CB7AE98">
                  <w:pPr>
                    <w:pStyle w:val="51"/>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rPr>
                      <w:rFonts w:hint="default" w:ascii="Times New Roman" w:hAnsi="Times New Roman" w:eastAsia="宋体" w:cs="Times New Roman"/>
                      <w:bCs/>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bCs/>
                      <w:color w:val="000000" w:themeColor="text1"/>
                      <w:sz w:val="21"/>
                      <w:szCs w:val="21"/>
                      <w:highlight w:val="none"/>
                      <w:u w:val="none" w:color="auto"/>
                      <w14:textFill>
                        <w14:solidFill>
                          <w14:schemeClr w14:val="tx1"/>
                        </w14:solidFill>
                      </w14:textFill>
                    </w:rPr>
                    <w:t>产生环节</w:t>
                  </w:r>
                </w:p>
              </w:tc>
              <w:tc>
                <w:tcPr>
                  <w:tcW w:w="282" w:type="pct"/>
                  <w:noWrap w:val="0"/>
                  <w:vAlign w:val="center"/>
                </w:tcPr>
                <w:p w14:paraId="70754710">
                  <w:pPr>
                    <w:pStyle w:val="51"/>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rPr>
                      <w:rFonts w:hint="default" w:ascii="Times New Roman" w:hAnsi="Times New Roman" w:eastAsia="宋体" w:cs="Times New Roman"/>
                      <w:bCs/>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bCs/>
                      <w:color w:val="000000" w:themeColor="text1"/>
                      <w:sz w:val="21"/>
                      <w:szCs w:val="21"/>
                      <w:highlight w:val="none"/>
                      <w:u w:val="none" w:color="auto"/>
                      <w14:textFill>
                        <w14:solidFill>
                          <w14:schemeClr w14:val="tx1"/>
                        </w14:solidFill>
                      </w14:textFill>
                    </w:rPr>
                    <w:t>形态</w:t>
                  </w:r>
                </w:p>
              </w:tc>
              <w:tc>
                <w:tcPr>
                  <w:tcW w:w="276" w:type="pct"/>
                  <w:noWrap w:val="0"/>
                  <w:vAlign w:val="center"/>
                </w:tcPr>
                <w:p w14:paraId="30F52D8C">
                  <w:pPr>
                    <w:pStyle w:val="51"/>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rPr>
                      <w:rFonts w:hint="default" w:ascii="Times New Roman" w:hAnsi="Times New Roman" w:eastAsia="宋体" w:cs="Times New Roman"/>
                      <w:bCs/>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bCs/>
                      <w:color w:val="000000" w:themeColor="text1"/>
                      <w:sz w:val="21"/>
                      <w:szCs w:val="21"/>
                      <w:highlight w:val="none"/>
                      <w:u w:val="none" w:color="auto"/>
                      <w14:textFill>
                        <w14:solidFill>
                          <w14:schemeClr w14:val="tx1"/>
                        </w14:solidFill>
                      </w14:textFill>
                    </w:rPr>
                    <w:t>主要成分</w:t>
                  </w:r>
                </w:p>
              </w:tc>
              <w:tc>
                <w:tcPr>
                  <w:tcW w:w="276" w:type="pct"/>
                  <w:noWrap w:val="0"/>
                  <w:vAlign w:val="center"/>
                </w:tcPr>
                <w:p w14:paraId="25EEAF96">
                  <w:pPr>
                    <w:pStyle w:val="51"/>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rPr>
                      <w:rFonts w:hint="default" w:ascii="Times New Roman" w:hAnsi="Times New Roman" w:eastAsia="宋体" w:cs="Times New Roman"/>
                      <w:bCs/>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bCs/>
                      <w:color w:val="000000" w:themeColor="text1"/>
                      <w:sz w:val="21"/>
                      <w:szCs w:val="21"/>
                      <w:highlight w:val="none"/>
                      <w:u w:val="none" w:color="auto"/>
                      <w14:textFill>
                        <w14:solidFill>
                          <w14:schemeClr w14:val="tx1"/>
                        </w14:solidFill>
                      </w14:textFill>
                    </w:rPr>
                    <w:t>有害成分</w:t>
                  </w:r>
                </w:p>
              </w:tc>
              <w:tc>
                <w:tcPr>
                  <w:tcW w:w="422" w:type="pct"/>
                  <w:noWrap w:val="0"/>
                  <w:vAlign w:val="center"/>
                </w:tcPr>
                <w:p w14:paraId="5BE69A5E">
                  <w:pPr>
                    <w:pStyle w:val="51"/>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rPr>
                      <w:rFonts w:hint="default" w:ascii="Times New Roman" w:hAnsi="Times New Roman" w:eastAsia="宋体" w:cs="Times New Roman"/>
                      <w:bCs/>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bCs/>
                      <w:color w:val="000000" w:themeColor="text1"/>
                      <w:sz w:val="21"/>
                      <w:szCs w:val="21"/>
                      <w:highlight w:val="none"/>
                      <w:u w:val="none" w:color="auto"/>
                      <w14:textFill>
                        <w14:solidFill>
                          <w14:schemeClr w14:val="tx1"/>
                        </w14:solidFill>
                      </w14:textFill>
                    </w:rPr>
                    <w:t>产废</w:t>
                  </w:r>
                </w:p>
                <w:p w14:paraId="2F243ED3">
                  <w:pPr>
                    <w:pStyle w:val="51"/>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rPr>
                      <w:rFonts w:hint="default" w:ascii="Times New Roman" w:hAnsi="Times New Roman" w:eastAsia="宋体" w:cs="Times New Roman"/>
                      <w:bCs/>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bCs/>
                      <w:color w:val="000000" w:themeColor="text1"/>
                      <w:sz w:val="21"/>
                      <w:szCs w:val="21"/>
                      <w:highlight w:val="none"/>
                      <w:u w:val="none" w:color="auto"/>
                      <w14:textFill>
                        <w14:solidFill>
                          <w14:schemeClr w14:val="tx1"/>
                        </w14:solidFill>
                      </w14:textFill>
                    </w:rPr>
                    <w:t>周期</w:t>
                  </w:r>
                </w:p>
              </w:tc>
              <w:tc>
                <w:tcPr>
                  <w:tcW w:w="346" w:type="pct"/>
                  <w:noWrap w:val="0"/>
                  <w:vAlign w:val="center"/>
                </w:tcPr>
                <w:p w14:paraId="58F3FA4F">
                  <w:pPr>
                    <w:pStyle w:val="51"/>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rPr>
                      <w:rFonts w:hint="default" w:ascii="Times New Roman" w:hAnsi="Times New Roman" w:eastAsia="宋体" w:cs="Times New Roman"/>
                      <w:bCs/>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bCs/>
                      <w:color w:val="000000" w:themeColor="text1"/>
                      <w:sz w:val="21"/>
                      <w:szCs w:val="21"/>
                      <w:highlight w:val="none"/>
                      <w:u w:val="none" w:color="auto"/>
                      <w14:textFill>
                        <w14:solidFill>
                          <w14:schemeClr w14:val="tx1"/>
                        </w14:solidFill>
                      </w14:textFill>
                    </w:rPr>
                    <w:t>危险特性</w:t>
                  </w:r>
                </w:p>
              </w:tc>
              <w:tc>
                <w:tcPr>
                  <w:tcW w:w="565" w:type="pct"/>
                  <w:noWrap w:val="0"/>
                  <w:vAlign w:val="center"/>
                </w:tcPr>
                <w:p w14:paraId="111F4074">
                  <w:pPr>
                    <w:pStyle w:val="51"/>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rPr>
                      <w:rFonts w:hint="default" w:ascii="Times New Roman" w:hAnsi="Times New Roman" w:eastAsia="宋体" w:cs="Times New Roman"/>
                      <w:bCs/>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bCs/>
                      <w:color w:val="000000" w:themeColor="text1"/>
                      <w:sz w:val="21"/>
                      <w:szCs w:val="21"/>
                      <w:highlight w:val="none"/>
                      <w:u w:val="none" w:color="auto"/>
                      <w14:textFill>
                        <w14:solidFill>
                          <w14:schemeClr w14:val="tx1"/>
                        </w14:solidFill>
                      </w14:textFill>
                    </w:rPr>
                    <w:t>污染防治措施</w:t>
                  </w:r>
                </w:p>
              </w:tc>
            </w:tr>
            <w:tr w14:paraId="2C3261A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454" w:hRule="atLeast"/>
                <w:jc w:val="center"/>
              </w:trPr>
              <w:tc>
                <w:tcPr>
                  <w:tcW w:w="285" w:type="pct"/>
                  <w:noWrap w:val="0"/>
                  <w:vAlign w:val="center"/>
                </w:tcPr>
                <w:p w14:paraId="5DFA1E78">
                  <w:pPr>
                    <w:pStyle w:val="51"/>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rPr>
                      <w:rFonts w:hint="eastAsia" w:ascii="Times New Roman" w:hAnsi="Times New Roman" w:eastAsia="宋体" w:cs="Times New Roman"/>
                      <w:color w:val="000000" w:themeColor="text1"/>
                      <w:sz w:val="21"/>
                      <w:szCs w:val="21"/>
                      <w:highlight w:val="none"/>
                      <w:u w:val="none" w:color="auto"/>
                      <w:lang w:eastAsia="zh-CN"/>
                      <w14:textFill>
                        <w14:solidFill>
                          <w14:schemeClr w14:val="tx1"/>
                        </w14:solidFill>
                      </w14:textFill>
                    </w:rPr>
                  </w:pPr>
                  <w:r>
                    <w:rPr>
                      <w:rFonts w:hint="eastAsia" w:ascii="Times New Roman" w:hAnsi="Times New Roman" w:cs="Times New Roman"/>
                      <w:color w:val="000000" w:themeColor="text1"/>
                      <w:sz w:val="21"/>
                      <w:szCs w:val="21"/>
                      <w:highlight w:val="none"/>
                      <w:u w:val="none" w:color="auto"/>
                      <w:lang w:val="en-US" w:eastAsia="zh-CN"/>
                      <w14:textFill>
                        <w14:solidFill>
                          <w14:schemeClr w14:val="tx1"/>
                        </w14:solidFill>
                      </w14:textFill>
                    </w:rPr>
                    <w:t>1</w:t>
                  </w:r>
                </w:p>
              </w:tc>
              <w:tc>
                <w:tcPr>
                  <w:tcW w:w="614" w:type="pct"/>
                  <w:noWrap w:val="0"/>
                  <w:vAlign w:val="center"/>
                </w:tcPr>
                <w:p w14:paraId="50712B15">
                  <w:pPr>
                    <w:keepNext w:val="0"/>
                    <w:keepLines w:val="0"/>
                    <w:pageBreakBefore w:val="0"/>
                    <w:widowControl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废润滑油</w:t>
                  </w:r>
                </w:p>
              </w:tc>
              <w:tc>
                <w:tcPr>
                  <w:tcW w:w="476" w:type="pct"/>
                  <w:noWrap w:val="0"/>
                  <w:vAlign w:val="center"/>
                </w:tcPr>
                <w:p w14:paraId="57BBA318">
                  <w:pPr>
                    <w:pStyle w:val="51"/>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HW08</w:t>
                  </w:r>
                </w:p>
              </w:tc>
              <w:tc>
                <w:tcPr>
                  <w:tcW w:w="692" w:type="pct"/>
                  <w:noWrap w:val="0"/>
                  <w:vAlign w:val="center"/>
                </w:tcPr>
                <w:p w14:paraId="2B420481">
                  <w:pPr>
                    <w:pStyle w:val="51"/>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900-217-08</w:t>
                  </w:r>
                </w:p>
              </w:tc>
              <w:tc>
                <w:tcPr>
                  <w:tcW w:w="429" w:type="pct"/>
                  <w:noWrap w:val="0"/>
                  <w:vAlign w:val="center"/>
                </w:tcPr>
                <w:p w14:paraId="3BE31DC8">
                  <w:pPr>
                    <w:pStyle w:val="51"/>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0.</w:t>
                  </w:r>
                  <w:r>
                    <w:rPr>
                      <w:rFonts w:hint="eastAsia" w:ascii="Times New Roman" w:hAnsi="Times New Roman" w:cs="Times New Roman"/>
                      <w:color w:val="000000" w:themeColor="text1"/>
                      <w:sz w:val="21"/>
                      <w:szCs w:val="21"/>
                      <w:highlight w:val="none"/>
                      <w:u w:val="none" w:color="auto"/>
                      <w:lang w:val="en-US" w:eastAsia="zh-CN"/>
                      <w14:textFill>
                        <w14:solidFill>
                          <w14:schemeClr w14:val="tx1"/>
                        </w14:solidFill>
                      </w14:textFill>
                    </w:rPr>
                    <w:t>05</w:t>
                  </w:r>
                </w:p>
              </w:tc>
              <w:tc>
                <w:tcPr>
                  <w:tcW w:w="332" w:type="pct"/>
                  <w:vMerge w:val="restart"/>
                  <w:noWrap w:val="0"/>
                  <w:vAlign w:val="center"/>
                </w:tcPr>
                <w:p w14:paraId="5626E3C6">
                  <w:pPr>
                    <w:pStyle w:val="51"/>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设备维护</w:t>
                  </w:r>
                </w:p>
              </w:tc>
              <w:tc>
                <w:tcPr>
                  <w:tcW w:w="282" w:type="pct"/>
                  <w:noWrap w:val="0"/>
                  <w:vAlign w:val="center"/>
                </w:tcPr>
                <w:p w14:paraId="7B1382D8">
                  <w:pPr>
                    <w:pStyle w:val="51"/>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液态</w:t>
                  </w:r>
                </w:p>
              </w:tc>
              <w:tc>
                <w:tcPr>
                  <w:tcW w:w="276" w:type="pct"/>
                  <w:noWrap w:val="0"/>
                  <w:vAlign w:val="center"/>
                </w:tcPr>
                <w:p w14:paraId="0EE0225D">
                  <w:pPr>
                    <w:pStyle w:val="51"/>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矿物油</w:t>
                  </w:r>
                </w:p>
              </w:tc>
              <w:tc>
                <w:tcPr>
                  <w:tcW w:w="276" w:type="pct"/>
                  <w:noWrap w:val="0"/>
                  <w:vAlign w:val="center"/>
                </w:tcPr>
                <w:p w14:paraId="4319F351">
                  <w:pPr>
                    <w:pStyle w:val="51"/>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矿物油</w:t>
                  </w:r>
                </w:p>
              </w:tc>
              <w:tc>
                <w:tcPr>
                  <w:tcW w:w="422" w:type="pct"/>
                  <w:noWrap w:val="0"/>
                  <w:vAlign w:val="center"/>
                </w:tcPr>
                <w:p w14:paraId="4542DBAD">
                  <w:pPr>
                    <w:pStyle w:val="51"/>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每</w:t>
                  </w: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年</w:t>
                  </w:r>
                </w:p>
              </w:tc>
              <w:tc>
                <w:tcPr>
                  <w:tcW w:w="346" w:type="pct"/>
                  <w:noWrap w:val="0"/>
                  <w:vAlign w:val="center"/>
                </w:tcPr>
                <w:p w14:paraId="3D77E02F">
                  <w:pPr>
                    <w:pStyle w:val="51"/>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T</w:t>
                  </w:r>
                  <w:r>
                    <w:rPr>
                      <w:rFonts w:hint="default" w:ascii="Times New Roman" w:hAnsi="Times New Roman" w:eastAsia="宋体" w:cs="Times New Roman"/>
                      <w:color w:val="000000" w:themeColor="text1"/>
                      <w:sz w:val="21"/>
                      <w:szCs w:val="21"/>
                      <w:highlight w:val="none"/>
                      <w:u w:val="none" w:color="auto"/>
                      <w:lang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I</w:t>
                  </w:r>
                </w:p>
              </w:tc>
              <w:tc>
                <w:tcPr>
                  <w:tcW w:w="565" w:type="pct"/>
                  <w:vMerge w:val="restart"/>
                  <w:noWrap w:val="0"/>
                  <w:vAlign w:val="center"/>
                </w:tcPr>
                <w:p w14:paraId="118E2449">
                  <w:pPr>
                    <w:pStyle w:val="51"/>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分类集中收集于危废暂存间（面积</w:t>
                  </w:r>
                  <w:r>
                    <w:rPr>
                      <w:rFonts w:hint="eastAsia"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10</w:t>
                  </w: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m</w:t>
                  </w:r>
                  <w:r>
                    <w:rPr>
                      <w:rFonts w:hint="default" w:ascii="Times New Roman" w:hAnsi="Times New Roman" w:eastAsia="宋体" w:cs="Times New Roman"/>
                      <w:color w:val="000000" w:themeColor="text1"/>
                      <w:sz w:val="21"/>
                      <w:szCs w:val="21"/>
                      <w:highlight w:val="none"/>
                      <w:u w:val="none" w:color="auto"/>
                      <w:vertAlign w:val="superscript"/>
                      <w14:textFill>
                        <w14:solidFill>
                          <w14:schemeClr w14:val="tx1"/>
                        </w14:solidFill>
                      </w14:textFill>
                    </w:rPr>
                    <w:t>2</w:t>
                  </w: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，采取“六防”措施），定期交由有危废处理资质单位进行处置。</w:t>
                  </w:r>
                </w:p>
                <w:p w14:paraId="66A9D7AC">
                  <w:pPr>
                    <w:pStyle w:val="51"/>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r>
            <w:tr w14:paraId="54C1F6C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454" w:hRule="atLeast"/>
                <w:jc w:val="center"/>
              </w:trPr>
              <w:tc>
                <w:tcPr>
                  <w:tcW w:w="285" w:type="pct"/>
                  <w:noWrap w:val="0"/>
                  <w:vAlign w:val="center"/>
                </w:tcPr>
                <w:p w14:paraId="49F770AE">
                  <w:pPr>
                    <w:pStyle w:val="51"/>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rPr>
                      <w:rFonts w:hint="eastAsia" w:ascii="Times New Roman" w:hAnsi="Times New Roman" w:eastAsia="宋体" w:cs="Times New Roman"/>
                      <w:color w:val="000000" w:themeColor="text1"/>
                      <w:sz w:val="21"/>
                      <w:szCs w:val="21"/>
                      <w:highlight w:val="none"/>
                      <w:u w:val="none" w:color="auto"/>
                      <w:lang w:eastAsia="zh-CN"/>
                      <w14:textFill>
                        <w14:solidFill>
                          <w14:schemeClr w14:val="tx1"/>
                        </w14:solidFill>
                      </w14:textFill>
                    </w:rPr>
                  </w:pPr>
                  <w:r>
                    <w:rPr>
                      <w:rFonts w:hint="eastAsia" w:ascii="Times New Roman" w:hAnsi="Times New Roman" w:cs="Times New Roman"/>
                      <w:color w:val="000000" w:themeColor="text1"/>
                      <w:sz w:val="21"/>
                      <w:szCs w:val="21"/>
                      <w:highlight w:val="none"/>
                      <w:u w:val="none" w:color="auto"/>
                      <w:lang w:val="en-US" w:eastAsia="zh-CN"/>
                      <w14:textFill>
                        <w14:solidFill>
                          <w14:schemeClr w14:val="tx1"/>
                        </w14:solidFill>
                      </w14:textFill>
                    </w:rPr>
                    <w:t>2</w:t>
                  </w:r>
                </w:p>
              </w:tc>
              <w:tc>
                <w:tcPr>
                  <w:tcW w:w="614" w:type="pct"/>
                  <w:noWrap w:val="0"/>
                  <w:vAlign w:val="center"/>
                </w:tcPr>
                <w:p w14:paraId="356465D9">
                  <w:pPr>
                    <w:keepNext w:val="0"/>
                    <w:keepLines w:val="0"/>
                    <w:pageBreakBefore w:val="0"/>
                    <w:widowControl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废润滑油桶</w:t>
                  </w:r>
                </w:p>
              </w:tc>
              <w:tc>
                <w:tcPr>
                  <w:tcW w:w="476" w:type="pct"/>
                  <w:noWrap w:val="0"/>
                  <w:vAlign w:val="center"/>
                </w:tcPr>
                <w:p w14:paraId="1ED24704">
                  <w:pPr>
                    <w:pStyle w:val="51"/>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HW08</w:t>
                  </w:r>
                </w:p>
              </w:tc>
              <w:tc>
                <w:tcPr>
                  <w:tcW w:w="692" w:type="pct"/>
                  <w:noWrap w:val="0"/>
                  <w:vAlign w:val="center"/>
                </w:tcPr>
                <w:p w14:paraId="45A8AD9C">
                  <w:pPr>
                    <w:pStyle w:val="51"/>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900-249-08</w:t>
                  </w:r>
                </w:p>
              </w:tc>
              <w:tc>
                <w:tcPr>
                  <w:tcW w:w="429" w:type="pct"/>
                  <w:noWrap w:val="0"/>
                  <w:vAlign w:val="center"/>
                </w:tcPr>
                <w:p w14:paraId="600163D8">
                  <w:pPr>
                    <w:pStyle w:val="51"/>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rPr>
                      <w:rFonts w:hint="eastAsia" w:ascii="Times New Roman" w:hAnsi="Times New Roman" w:eastAsia="宋体" w:cs="Times New Roman"/>
                      <w:color w:val="000000" w:themeColor="text1"/>
                      <w:sz w:val="21"/>
                      <w:szCs w:val="21"/>
                      <w:highlight w:val="none"/>
                      <w:u w:val="none" w:color="auto"/>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0.0</w:t>
                  </w:r>
                  <w:r>
                    <w:rPr>
                      <w:rFonts w:hint="eastAsia" w:ascii="Times New Roman" w:hAnsi="Times New Roman" w:cs="Times New Roman"/>
                      <w:color w:val="000000" w:themeColor="text1"/>
                      <w:sz w:val="21"/>
                      <w:szCs w:val="21"/>
                      <w:highlight w:val="none"/>
                      <w:u w:val="none" w:color="auto"/>
                      <w:lang w:val="en-US" w:eastAsia="zh-CN"/>
                      <w14:textFill>
                        <w14:solidFill>
                          <w14:schemeClr w14:val="tx1"/>
                        </w14:solidFill>
                      </w14:textFill>
                    </w:rPr>
                    <w:t>1</w:t>
                  </w:r>
                </w:p>
              </w:tc>
              <w:tc>
                <w:tcPr>
                  <w:tcW w:w="332" w:type="pct"/>
                  <w:vMerge w:val="continue"/>
                  <w:noWrap w:val="0"/>
                  <w:vAlign w:val="center"/>
                </w:tcPr>
                <w:p w14:paraId="1BA651AF">
                  <w:pPr>
                    <w:pStyle w:val="51"/>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282" w:type="pct"/>
                  <w:noWrap w:val="0"/>
                  <w:vAlign w:val="center"/>
                </w:tcPr>
                <w:p w14:paraId="7E1CC45B">
                  <w:pPr>
                    <w:pStyle w:val="51"/>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固体</w:t>
                  </w:r>
                </w:p>
              </w:tc>
              <w:tc>
                <w:tcPr>
                  <w:tcW w:w="276" w:type="pct"/>
                  <w:noWrap w:val="0"/>
                  <w:vAlign w:val="center"/>
                </w:tcPr>
                <w:p w14:paraId="76FCA9F0">
                  <w:pPr>
                    <w:pStyle w:val="51"/>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有机物</w:t>
                  </w:r>
                </w:p>
              </w:tc>
              <w:tc>
                <w:tcPr>
                  <w:tcW w:w="276" w:type="pct"/>
                  <w:noWrap w:val="0"/>
                  <w:vAlign w:val="center"/>
                </w:tcPr>
                <w:p w14:paraId="545F9DA9">
                  <w:pPr>
                    <w:pStyle w:val="51"/>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有机物</w:t>
                  </w:r>
                </w:p>
              </w:tc>
              <w:tc>
                <w:tcPr>
                  <w:tcW w:w="422" w:type="pct"/>
                  <w:noWrap w:val="0"/>
                  <w:vAlign w:val="center"/>
                </w:tcPr>
                <w:p w14:paraId="38DADCAC">
                  <w:pPr>
                    <w:pStyle w:val="51"/>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每</w:t>
                  </w: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年</w:t>
                  </w:r>
                </w:p>
              </w:tc>
              <w:tc>
                <w:tcPr>
                  <w:tcW w:w="346" w:type="pct"/>
                  <w:noWrap w:val="0"/>
                  <w:vAlign w:val="center"/>
                </w:tcPr>
                <w:p w14:paraId="3E297707">
                  <w:pPr>
                    <w:pStyle w:val="51"/>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T</w:t>
                  </w:r>
                  <w:r>
                    <w:rPr>
                      <w:rFonts w:hint="default" w:ascii="Times New Roman" w:hAnsi="Times New Roman" w:eastAsia="宋体" w:cs="Times New Roman"/>
                      <w:color w:val="000000" w:themeColor="text1"/>
                      <w:sz w:val="21"/>
                      <w:szCs w:val="21"/>
                      <w:highlight w:val="none"/>
                      <w:u w:val="none" w:color="auto"/>
                      <w:lang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I</w:t>
                  </w:r>
                </w:p>
              </w:tc>
              <w:tc>
                <w:tcPr>
                  <w:tcW w:w="565" w:type="pct"/>
                  <w:vMerge w:val="continue"/>
                  <w:noWrap w:val="0"/>
                  <w:vAlign w:val="center"/>
                </w:tcPr>
                <w:p w14:paraId="4055A2B9">
                  <w:pPr>
                    <w:pStyle w:val="51"/>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r>
          </w:tbl>
          <w:p w14:paraId="1CC0A06D">
            <w:pPr>
              <w:keepNext w:val="0"/>
              <w:keepLines w:val="0"/>
              <w:pageBreakBefore w:val="0"/>
              <w:widowControl w:val="0"/>
              <w:suppressLineNumbers w:val="0"/>
              <w:tabs>
                <w:tab w:val="left" w:pos="1081"/>
              </w:tabs>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pP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4.2环境管理要求</w:t>
            </w:r>
          </w:p>
          <w:p w14:paraId="7D3E8F9B">
            <w:pPr>
              <w:keepNext w:val="0"/>
              <w:keepLines w:val="0"/>
              <w:pageBreakBefore w:val="0"/>
              <w:widowControl w:val="0"/>
              <w:suppressLineNumbers w:val="0"/>
              <w:tabs>
                <w:tab w:val="left" w:pos="1081"/>
              </w:tabs>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pP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（1）一般工业固废环境管理要求</w:t>
            </w:r>
          </w:p>
          <w:p w14:paraId="1D34EB20">
            <w:pPr>
              <w:keepNext w:val="0"/>
              <w:keepLines w:val="0"/>
              <w:pageBreakBefore w:val="0"/>
              <w:widowControl w:val="0"/>
              <w:suppressLineNumbers w:val="0"/>
              <w:tabs>
                <w:tab w:val="left" w:pos="1081"/>
              </w:tabs>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pP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生活垃圾：生活垃圾在厂内集中</w:t>
            </w:r>
            <w:r>
              <w:rPr>
                <w:rFonts w:hint="default" w:ascii="Times New Roman" w:hAnsi="Times New Roman" w:eastAsia="宋体" w:cs="Times New Roman"/>
                <w:color w:val="000000" w:themeColor="text1"/>
                <w:sz w:val="24"/>
                <w:szCs w:val="24"/>
                <w:highlight w:val="none"/>
                <w:u w:val="none" w:color="auto"/>
                <w:lang w:val="en-GB"/>
                <w14:textFill>
                  <w14:solidFill>
                    <w14:schemeClr w14:val="tx1"/>
                  </w14:solidFill>
                </w14:textFill>
              </w:rPr>
              <w:t>收集</w:t>
            </w: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，妥善贮存。</w:t>
            </w:r>
          </w:p>
          <w:p w14:paraId="60DC02D5">
            <w:pPr>
              <w:keepNext w:val="0"/>
              <w:keepLines w:val="0"/>
              <w:pageBreakBefore w:val="0"/>
              <w:widowControl w:val="0"/>
              <w:suppressLineNumbers w:val="0"/>
              <w:tabs>
                <w:tab w:val="left" w:pos="1081"/>
              </w:tabs>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pPr>
            <w:bookmarkStart w:id="20" w:name="_Toc20613"/>
            <w:bookmarkStart w:id="21" w:name="_Toc17298"/>
            <w:bookmarkStart w:id="22" w:name="_Toc28998"/>
            <w:bookmarkStart w:id="23" w:name="_Toc12237"/>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一般工业固废：①一般工业固废处理应按照《一般工业固体废物贮存和填埋污染控制标准》（GB18599-2020）的要求设置暂存场所。</w:t>
            </w:r>
            <w:bookmarkEnd w:id="20"/>
            <w:bookmarkEnd w:id="21"/>
            <w:bookmarkEnd w:id="22"/>
            <w:bookmarkEnd w:id="23"/>
            <w:bookmarkStart w:id="24" w:name="_Toc15353"/>
            <w:bookmarkStart w:id="25" w:name="_Toc32681"/>
            <w:bookmarkStart w:id="26" w:name="_Toc17784"/>
            <w:bookmarkStart w:id="27" w:name="_Toc23943"/>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②不得露天堆放，防止雨水进入产生二次污染。企业</w:t>
            </w:r>
            <w:r>
              <w:rPr>
                <w:rFonts w:hint="eastAsia" w:cs="Times New Roman"/>
                <w:color w:val="000000" w:themeColor="text1"/>
                <w:sz w:val="24"/>
                <w:szCs w:val="24"/>
                <w:highlight w:val="none"/>
                <w:u w:val="none" w:color="auto"/>
                <w:lang w:val="en-US" w:eastAsia="zh-CN"/>
                <w14:textFill>
                  <w14:solidFill>
                    <w14:schemeClr w14:val="tx1"/>
                  </w14:solidFill>
                </w14:textFill>
              </w:rPr>
              <w:t>设置</w:t>
            </w:r>
            <w:r>
              <w:rPr>
                <w:rFonts w:hint="default" w:ascii="Times New Roman" w:hAnsi="Times New Roman" w:eastAsia="宋体" w:cs="Times New Roman"/>
                <w:color w:val="000000" w:themeColor="text1"/>
                <w:sz w:val="24"/>
                <w:szCs w:val="24"/>
                <w:highlight w:val="none"/>
                <w:u w:val="none" w:color="auto"/>
                <w:lang w:val="en-US" w:eastAsia="zh-CN"/>
                <w14:textFill>
                  <w14:solidFill>
                    <w14:schemeClr w14:val="tx1"/>
                  </w14:solidFill>
                </w14:textFill>
              </w:rPr>
              <w:t>一般固废暂存间（面积</w:t>
            </w:r>
            <w:r>
              <w:rPr>
                <w:rFonts w:hint="eastAsia" w:cs="Times New Roman"/>
                <w:color w:val="000000" w:themeColor="text1"/>
                <w:sz w:val="24"/>
                <w:szCs w:val="24"/>
                <w:highlight w:val="none"/>
                <w:u w:val="none" w:color="auto"/>
                <w:lang w:val="en-US" w:eastAsia="zh-CN"/>
                <w14:textFill>
                  <w14:solidFill>
                    <w14:schemeClr w14:val="tx1"/>
                  </w14:solidFill>
                </w14:textFill>
              </w:rPr>
              <w:t>20</w:t>
            </w:r>
            <w:r>
              <w:rPr>
                <w:rFonts w:hint="default" w:ascii="Times New Roman" w:hAnsi="Times New Roman" w:eastAsia="宋体" w:cs="Times New Roman"/>
                <w:color w:val="000000" w:themeColor="text1"/>
                <w:sz w:val="24"/>
                <w:szCs w:val="24"/>
                <w:highlight w:val="none"/>
                <w:u w:val="none" w:color="auto"/>
                <w:lang w:val="en-US" w:eastAsia="zh-CN"/>
                <w14:textFill>
                  <w14:solidFill>
                    <w14:schemeClr w14:val="tx1"/>
                  </w14:solidFill>
                </w14:textFill>
              </w:rPr>
              <w:t>m</w:t>
            </w:r>
            <w:r>
              <w:rPr>
                <w:rFonts w:hint="default" w:ascii="Times New Roman" w:hAnsi="Times New Roman" w:eastAsia="宋体" w:cs="Times New Roman"/>
                <w:color w:val="000000" w:themeColor="text1"/>
                <w:sz w:val="24"/>
                <w:szCs w:val="24"/>
                <w:highlight w:val="none"/>
                <w:u w:val="none" w:color="auto"/>
                <w:vertAlign w:val="superscript"/>
                <w:lang w:val="en-US" w:eastAsia="zh-CN"/>
                <w14:textFill>
                  <w14:solidFill>
                    <w14:schemeClr w14:val="tx1"/>
                  </w14:solidFill>
                </w14:textFill>
              </w:rPr>
              <w:t>2</w:t>
            </w:r>
            <w:r>
              <w:rPr>
                <w:rFonts w:hint="default" w:ascii="Times New Roman" w:hAnsi="Times New Roman" w:eastAsia="宋体" w:cs="Times New Roman"/>
                <w:color w:val="000000" w:themeColor="text1"/>
                <w:sz w:val="24"/>
                <w:szCs w:val="24"/>
                <w:highlight w:val="none"/>
                <w:u w:val="none" w:color="auto"/>
                <w:lang w:val="en-US" w:eastAsia="zh-CN"/>
                <w14:textFill>
                  <w14:solidFill>
                    <w14:schemeClr w14:val="tx1"/>
                  </w14:solidFill>
                </w14:textFill>
              </w:rPr>
              <w:t>）满足</w:t>
            </w: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一般工业固体废物贮存和填埋污染控制标准》（GB18599-2020）的要求，按照《一般工业固体废物贮存和填埋污染控制标准》（GB18599-2020）中“防渗漏、防雨淋、防扬尘”相关要求建设，地面基础及内墙采取防渗措施，使用防水混凝土。一般固体废物按照不同的类别和性质，分区堆放。通过规范设置固体废物暂存场，同时建立完善院内固体废物防范措施和管理制度，可使固体废物在收集、存放过程中对环境的影响至最低限度。</w:t>
            </w:r>
            <w:bookmarkEnd w:id="24"/>
            <w:bookmarkEnd w:id="25"/>
            <w:bookmarkEnd w:id="26"/>
            <w:bookmarkEnd w:id="27"/>
          </w:p>
          <w:p w14:paraId="0B3DE322">
            <w:pPr>
              <w:keepNext w:val="0"/>
              <w:keepLines w:val="0"/>
              <w:pageBreakBefore w:val="0"/>
              <w:widowControl w:val="0"/>
              <w:suppressLineNumbers w:val="0"/>
              <w:tabs>
                <w:tab w:val="left" w:pos="1081"/>
              </w:tabs>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pPr>
            <w:bookmarkStart w:id="28" w:name="_Toc30236"/>
            <w:bookmarkStart w:id="29" w:name="_Toc23466"/>
            <w:bookmarkStart w:id="30" w:name="_Toc20512"/>
            <w:bookmarkStart w:id="31" w:name="_Toc3637"/>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危险废物：按照危险废物管理要求，厂内对危险废物进行临时贮存，转移和最终处置严格按照《危险废物收集、贮存、运输技术规范》（HJ2025-2012）中相关规定，危险废物暂存期间应满足《危险废物贮存污染控制标准》（GB18597-2023）对危险废物贮存设施的要求，严禁将危险废物混入非危险废物中。</w:t>
            </w:r>
            <w:bookmarkEnd w:id="28"/>
            <w:bookmarkEnd w:id="29"/>
            <w:bookmarkEnd w:id="30"/>
            <w:bookmarkEnd w:id="31"/>
          </w:p>
          <w:p w14:paraId="17976DDA">
            <w:pPr>
              <w:keepNext w:val="0"/>
              <w:keepLines w:val="0"/>
              <w:pageBreakBefore w:val="0"/>
              <w:widowControl w:val="0"/>
              <w:suppressLineNumbers w:val="0"/>
              <w:tabs>
                <w:tab w:val="left" w:pos="1081"/>
              </w:tabs>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pPr>
            <w:bookmarkStart w:id="32" w:name="_Toc10159"/>
            <w:bookmarkStart w:id="33" w:name="_Toc18484"/>
            <w:bookmarkStart w:id="34" w:name="_Toc15863"/>
            <w:bookmarkStart w:id="35" w:name="_Toc9213"/>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①危险废物暂存、处置要求</w:t>
            </w:r>
            <w:bookmarkEnd w:id="32"/>
            <w:bookmarkEnd w:id="33"/>
            <w:bookmarkEnd w:id="34"/>
            <w:bookmarkEnd w:id="35"/>
          </w:p>
          <w:p w14:paraId="193E8EF2">
            <w:pPr>
              <w:keepNext w:val="0"/>
              <w:keepLines w:val="0"/>
              <w:pageBreakBefore w:val="0"/>
              <w:widowControl w:val="0"/>
              <w:suppressLineNumbers w:val="0"/>
              <w:tabs>
                <w:tab w:val="left" w:pos="1081"/>
              </w:tabs>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pPr>
            <w:bookmarkStart w:id="36" w:name="_Toc775"/>
            <w:bookmarkStart w:id="37" w:name="_Toc20083"/>
            <w:bookmarkStart w:id="38" w:name="_Toc2370"/>
            <w:bookmarkStart w:id="39" w:name="_Toc20523"/>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按照危险固废处置的有关规定，对属于国家规定危险废物之列的固体废物，必须委托有资质单位进行妥善处理。外运时需要严格按照国家环境保护总局令第5号文件《危险废物转移联单管理办法》的相关规定报批危险废物转移计划，应做到不沿途抛洒；因此，必须加强对固体废弃物的管理，确保各类固体废弃物的妥善处置，危险废弃物贮存场所所应有明显的标志，并具有防风、防晒、防雨、防漏、防渗、防腐以及其他环境污染防治措施，不应露天堆放危险废物。</w:t>
            </w:r>
            <w:bookmarkEnd w:id="36"/>
            <w:bookmarkEnd w:id="37"/>
            <w:bookmarkEnd w:id="38"/>
            <w:bookmarkEnd w:id="39"/>
          </w:p>
          <w:p w14:paraId="18DB1E46">
            <w:pPr>
              <w:keepNext w:val="0"/>
              <w:keepLines w:val="0"/>
              <w:pageBreakBefore w:val="0"/>
              <w:widowControl w:val="0"/>
              <w:suppressLineNumbers w:val="0"/>
              <w:tabs>
                <w:tab w:val="left" w:pos="1081"/>
              </w:tabs>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pPr>
            <w:bookmarkStart w:id="40" w:name="_Toc12474"/>
            <w:bookmarkStart w:id="41" w:name="_Toc13801"/>
            <w:bookmarkStart w:id="42" w:name="_Toc5149"/>
            <w:bookmarkStart w:id="43" w:name="_Toc26603"/>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项目</w:t>
            </w:r>
            <w:r>
              <w:rPr>
                <w:rFonts w:hint="eastAsia" w:cs="Times New Roman"/>
                <w:color w:val="000000" w:themeColor="text1"/>
                <w:sz w:val="24"/>
                <w:szCs w:val="24"/>
                <w:highlight w:val="none"/>
                <w:u w:val="none" w:color="auto"/>
                <w:lang w:val="en-US" w:eastAsia="zh-CN"/>
                <w14:textFill>
                  <w14:solidFill>
                    <w14:schemeClr w14:val="tx1"/>
                  </w14:solidFill>
                </w14:textFill>
              </w:rPr>
              <w:t>设置</w:t>
            </w: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危险废物暂存间，面积</w:t>
            </w:r>
            <w:r>
              <w:rPr>
                <w:rFonts w:hint="eastAsia" w:cs="Times New Roman"/>
                <w:color w:val="000000" w:themeColor="text1"/>
                <w:sz w:val="24"/>
                <w:szCs w:val="24"/>
                <w:highlight w:val="none"/>
                <w:u w:val="none" w:color="auto"/>
                <w:lang w:val="en-US" w:eastAsia="zh-CN"/>
                <w14:textFill>
                  <w14:solidFill>
                    <w14:schemeClr w14:val="tx1"/>
                  </w14:solidFill>
                </w14:textFill>
              </w:rPr>
              <w:t>10</w:t>
            </w: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m</w:t>
            </w:r>
            <w:r>
              <w:rPr>
                <w:rFonts w:hint="default" w:ascii="Times New Roman" w:hAnsi="Times New Roman" w:eastAsia="宋体" w:cs="Times New Roman"/>
                <w:color w:val="000000" w:themeColor="text1"/>
                <w:sz w:val="24"/>
                <w:szCs w:val="24"/>
                <w:highlight w:val="none"/>
                <w:u w:val="none" w:color="auto"/>
                <w:vertAlign w:val="superscript"/>
                <w14:textFill>
                  <w14:solidFill>
                    <w14:schemeClr w14:val="tx1"/>
                  </w14:solidFill>
                </w14:textFill>
              </w:rPr>
              <w:t>2</w:t>
            </w: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，危险废物暂存间应满足《危险废物贮存污染控制标准》（GB18597-2023）对危险废物贮存设施的要求，具体要求如下：</w:t>
            </w:r>
            <w:bookmarkEnd w:id="40"/>
            <w:bookmarkEnd w:id="41"/>
            <w:bookmarkEnd w:id="42"/>
            <w:bookmarkEnd w:id="43"/>
          </w:p>
          <w:p w14:paraId="3B17B204">
            <w:pPr>
              <w:keepNext w:val="0"/>
              <w:keepLines w:val="0"/>
              <w:pageBreakBefore w:val="0"/>
              <w:widowControl w:val="0"/>
              <w:suppressLineNumbers w:val="0"/>
              <w:tabs>
                <w:tab w:val="left" w:pos="1081"/>
              </w:tabs>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pPr>
            <w:bookmarkStart w:id="44" w:name="_Toc28933"/>
            <w:bookmarkStart w:id="45" w:name="_Toc27058"/>
            <w:bookmarkStart w:id="46" w:name="_Toc11934"/>
            <w:bookmarkStart w:id="47" w:name="_Toc28656"/>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A、所有产生的危险废物均应使用符合标准要求的容器盛装，装载危险废物的容器及材质要满足相应的强度要求，且必须完好无损；</w:t>
            </w:r>
            <w:bookmarkEnd w:id="44"/>
            <w:bookmarkEnd w:id="45"/>
            <w:bookmarkEnd w:id="46"/>
            <w:bookmarkEnd w:id="47"/>
          </w:p>
          <w:p w14:paraId="237C2B18">
            <w:pPr>
              <w:keepNext w:val="0"/>
              <w:keepLines w:val="0"/>
              <w:pageBreakBefore w:val="0"/>
              <w:widowControl w:val="0"/>
              <w:suppressLineNumbers w:val="0"/>
              <w:tabs>
                <w:tab w:val="left" w:pos="1081"/>
              </w:tabs>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pPr>
            <w:bookmarkStart w:id="48" w:name="_Toc17805"/>
            <w:bookmarkStart w:id="49" w:name="_Toc3437"/>
            <w:bookmarkStart w:id="50" w:name="_Toc31497"/>
            <w:bookmarkStart w:id="51" w:name="_Toc6527"/>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B、禁止将不相容（相互反应）的危险废物在同一容器内混装，装危险废物的容器上必须粘贴符合标准附录A所示的标签；</w:t>
            </w:r>
            <w:bookmarkEnd w:id="48"/>
            <w:bookmarkEnd w:id="49"/>
            <w:bookmarkEnd w:id="50"/>
            <w:bookmarkEnd w:id="51"/>
          </w:p>
          <w:p w14:paraId="0E490E99">
            <w:pPr>
              <w:keepNext w:val="0"/>
              <w:keepLines w:val="0"/>
              <w:pageBreakBefore w:val="0"/>
              <w:widowControl w:val="0"/>
              <w:suppressLineNumbers w:val="0"/>
              <w:tabs>
                <w:tab w:val="left" w:pos="1081"/>
              </w:tabs>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pPr>
            <w:bookmarkStart w:id="52" w:name="_Toc24384"/>
            <w:bookmarkStart w:id="53" w:name="_Toc7948"/>
            <w:bookmarkStart w:id="54" w:name="_Toc30255"/>
            <w:bookmarkStart w:id="55" w:name="_Toc20214"/>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C、危险废物贮存间的地面与裙脚要用坚固、防渗的材料建造，建筑材料必须与危险废物相容，应设计堵截泄露的裙脚，地面与裙脚所围建的溶剂不低于堵截最大容器的最大储量或总储量的五分之一，不相容的危险废物必须分开存放，并设有隔离间隔断；</w:t>
            </w:r>
            <w:bookmarkEnd w:id="52"/>
            <w:bookmarkEnd w:id="53"/>
            <w:bookmarkEnd w:id="54"/>
            <w:bookmarkEnd w:id="55"/>
          </w:p>
          <w:p w14:paraId="100359DC">
            <w:pPr>
              <w:keepNext w:val="0"/>
              <w:keepLines w:val="0"/>
              <w:pageBreakBefore w:val="0"/>
              <w:widowControl w:val="0"/>
              <w:suppressLineNumbers w:val="0"/>
              <w:tabs>
                <w:tab w:val="left" w:pos="1081"/>
              </w:tabs>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pPr>
            <w:bookmarkStart w:id="56" w:name="_Toc4938"/>
            <w:bookmarkStart w:id="57" w:name="_Toc6006"/>
            <w:bookmarkStart w:id="58" w:name="_Toc30705"/>
            <w:bookmarkStart w:id="59" w:name="_Toc25274"/>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D、厂区内建立危险废物台账管理制度，作好危险废物情况的记录，记录上须注明危险废物的名称、来源、数量、特性和包装容器的类别、入库日期、存放库位、废物出库日期及接受单位名称，危险废物的记录和货单在危险废物回取后应继续保留三年；</w:t>
            </w:r>
            <w:bookmarkEnd w:id="56"/>
            <w:bookmarkEnd w:id="57"/>
            <w:bookmarkEnd w:id="58"/>
            <w:bookmarkEnd w:id="59"/>
          </w:p>
          <w:p w14:paraId="6DF9FECF">
            <w:pPr>
              <w:keepNext w:val="0"/>
              <w:keepLines w:val="0"/>
              <w:pageBreakBefore w:val="0"/>
              <w:widowControl w:val="0"/>
              <w:suppressLineNumbers w:val="0"/>
              <w:tabs>
                <w:tab w:val="left" w:pos="1081"/>
              </w:tabs>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pPr>
            <w:bookmarkStart w:id="60" w:name="_Toc7308"/>
            <w:bookmarkStart w:id="61" w:name="_Toc18042"/>
            <w:bookmarkStart w:id="62" w:name="_Toc17743"/>
            <w:bookmarkStart w:id="63" w:name="_Toc14476"/>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E、必须定期对贮存的危险废物包装容器及贮存设施进行检查，发现破损，应及时采取措施清理更换；</w:t>
            </w:r>
            <w:bookmarkEnd w:id="60"/>
            <w:bookmarkEnd w:id="61"/>
            <w:bookmarkEnd w:id="62"/>
            <w:bookmarkEnd w:id="63"/>
          </w:p>
          <w:p w14:paraId="47DD3E68">
            <w:pPr>
              <w:keepNext w:val="0"/>
              <w:keepLines w:val="0"/>
              <w:pageBreakBefore w:val="0"/>
              <w:widowControl w:val="0"/>
              <w:suppressLineNumbers w:val="0"/>
              <w:tabs>
                <w:tab w:val="left" w:pos="1081"/>
              </w:tabs>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pPr>
            <w:bookmarkStart w:id="64" w:name="_Toc26918"/>
            <w:bookmarkStart w:id="65" w:name="_Toc22085"/>
            <w:bookmarkStart w:id="66" w:name="_Toc30499"/>
            <w:bookmarkStart w:id="67" w:name="_Toc19336"/>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F、危险废物贮存设施必须按照《环境保护图形标志 固体废物贮存（处置）场》（GB15562.2-1995）及2023年修改单、《危险废物识别标志设置技术规范》（HJ1276-2022）的规定设置警示标志。</w:t>
            </w:r>
            <w:bookmarkEnd w:id="64"/>
            <w:bookmarkEnd w:id="65"/>
            <w:bookmarkEnd w:id="66"/>
            <w:bookmarkEnd w:id="67"/>
          </w:p>
          <w:p w14:paraId="527B420C">
            <w:pPr>
              <w:keepNext w:val="0"/>
              <w:keepLines w:val="0"/>
              <w:pageBreakBefore w:val="0"/>
              <w:widowControl w:val="0"/>
              <w:suppressLineNumbers w:val="0"/>
              <w:tabs>
                <w:tab w:val="left" w:pos="1081"/>
              </w:tabs>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pPr>
            <w:bookmarkStart w:id="68" w:name="_Toc21071"/>
            <w:bookmarkStart w:id="69" w:name="_Toc26143"/>
            <w:bookmarkStart w:id="70" w:name="_Toc6360"/>
            <w:bookmarkStart w:id="71" w:name="_Toc27435"/>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②危险废物包装、运输要求</w:t>
            </w:r>
            <w:bookmarkEnd w:id="68"/>
            <w:bookmarkEnd w:id="69"/>
            <w:bookmarkEnd w:id="70"/>
            <w:bookmarkEnd w:id="71"/>
          </w:p>
          <w:p w14:paraId="198E5F41">
            <w:pPr>
              <w:keepNext w:val="0"/>
              <w:keepLines w:val="0"/>
              <w:pageBreakBefore w:val="0"/>
              <w:widowControl w:val="0"/>
              <w:suppressLineNumbers w:val="0"/>
              <w:tabs>
                <w:tab w:val="left" w:pos="1081"/>
              </w:tabs>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pPr>
            <w:bookmarkStart w:id="72" w:name="_Toc10497"/>
            <w:bookmarkStart w:id="73" w:name="_Toc16190"/>
            <w:bookmarkStart w:id="74" w:name="_Toc31597"/>
            <w:bookmarkStart w:id="75" w:name="_Toc9603"/>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项目各危废均按照相应的包装要求进行包装，包装后的危废委托有资质单位进行处置。企业危废外运应委托有资质的单位运输，严格执行《危险废物收集贮存运输技术规范》（HJ2025-2012）和《危险废物转移联单管理办法》，并制定好危险废物转移运输途中的污染防范及事故应急措施，严格按照要求办理有关手续。</w:t>
            </w:r>
            <w:bookmarkEnd w:id="72"/>
            <w:bookmarkEnd w:id="73"/>
            <w:bookmarkEnd w:id="74"/>
            <w:bookmarkEnd w:id="75"/>
          </w:p>
          <w:p w14:paraId="51370881">
            <w:pPr>
              <w:keepNext w:val="0"/>
              <w:keepLines w:val="0"/>
              <w:pageBreakBefore w:val="0"/>
              <w:widowControl w:val="0"/>
              <w:suppressLineNumbers w:val="0"/>
              <w:kinsoku/>
              <w:wordWrap/>
              <w:overflowPunct/>
              <w:topLinePunct w:val="0"/>
              <w:autoSpaceDE/>
              <w:autoSpaceDN/>
              <w:bidi w:val="0"/>
              <w:adjustRightInd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pP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综上所述，项目产生的固体废物经过以上措施处理后，均得到妥善处置，预计对周围的环境不会产生明显的影响。</w:t>
            </w:r>
          </w:p>
          <w:p w14:paraId="2D4A511E">
            <w:pPr>
              <w:keepNext w:val="0"/>
              <w:keepLines w:val="0"/>
              <w:pageBreakBefore w:val="0"/>
              <w:widowControl w:val="0"/>
              <w:suppressLineNumbers w:val="0"/>
              <w:tabs>
                <w:tab w:val="left" w:pos="1081"/>
              </w:tabs>
              <w:kinsoku/>
              <w:wordWrap/>
              <w:overflowPunct/>
              <w:topLinePunct w:val="0"/>
              <w:autoSpaceDE/>
              <w:autoSpaceDN/>
              <w:bidi w:val="0"/>
              <w:adjustRightInd w:val="0"/>
              <w:spacing w:before="0" w:beforeAutospacing="0" w:after="0" w:afterAutospacing="0" w:line="360" w:lineRule="auto"/>
              <w:ind w:left="0" w:right="0" w:firstLine="482" w:firstLineChars="200"/>
              <w:jc w:val="both"/>
              <w:textAlignment w:val="auto"/>
              <w:rPr>
                <w:rFonts w:hint="default" w:ascii="Times New Roman" w:hAnsi="Times New Roman" w:eastAsia="宋体" w:cs="Times New Roman"/>
                <w:b/>
                <w:bCs/>
                <w:color w:val="000000" w:themeColor="text1"/>
                <w:sz w:val="24"/>
                <w:szCs w:val="24"/>
                <w:highlight w:val="none"/>
                <w:u w:val="none" w:color="auto"/>
                <w14:textFill>
                  <w14:solidFill>
                    <w14:schemeClr w14:val="tx1"/>
                  </w14:solidFill>
                </w14:textFill>
              </w:rPr>
            </w:pPr>
            <w:r>
              <w:rPr>
                <w:rFonts w:hint="default" w:ascii="Times New Roman" w:hAnsi="Times New Roman" w:eastAsia="宋体" w:cs="Times New Roman"/>
                <w:b/>
                <w:bCs/>
                <w:color w:val="000000" w:themeColor="text1"/>
                <w:kern w:val="0"/>
                <w:sz w:val="24"/>
                <w:szCs w:val="24"/>
                <w:highlight w:val="none"/>
                <w:u w:val="none" w:color="auto"/>
                <w14:textFill>
                  <w14:solidFill>
                    <w14:schemeClr w14:val="tx1"/>
                  </w14:solidFill>
                </w14:textFill>
              </w:rPr>
              <w:t>5、地下水影响分析</w:t>
            </w:r>
          </w:p>
          <w:p w14:paraId="7626F616">
            <w:pPr>
              <w:keepNext w:val="0"/>
              <w:keepLines w:val="0"/>
              <w:pageBreakBefore w:val="0"/>
              <w:widowControl w:val="0"/>
              <w:suppressLineNumbers w:val="0"/>
              <w:tabs>
                <w:tab w:val="left" w:pos="1081"/>
              </w:tabs>
              <w:kinsoku/>
              <w:wordWrap/>
              <w:overflowPunct/>
              <w:topLinePunct w:val="0"/>
              <w:autoSpaceDE/>
              <w:autoSpaceDN/>
              <w:bidi w:val="0"/>
              <w:adjustRightInd w:val="0"/>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pP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通过工程分析可知，项目可能污染地下水的环节</w:t>
            </w:r>
            <w:r>
              <w:rPr>
                <w:rFonts w:hint="default" w:ascii="Times New Roman" w:hAnsi="Times New Roman" w:eastAsia="宋体" w:cs="Times New Roman"/>
                <w:color w:val="000000" w:themeColor="text1"/>
                <w:sz w:val="24"/>
                <w:szCs w:val="24"/>
                <w:highlight w:val="none"/>
                <w:u w:val="none" w:color="auto"/>
                <w:lang w:val="en-US" w:eastAsia="zh-CN"/>
                <w14:textFill>
                  <w14:solidFill>
                    <w14:schemeClr w14:val="tx1"/>
                  </w14:solidFill>
                </w14:textFill>
              </w:rPr>
              <w:t>主要为沉淀池和危废暂存间</w:t>
            </w: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，若不采取防渗等相应措施，将对区域地下水环境造成污染。</w:t>
            </w:r>
          </w:p>
          <w:p w14:paraId="2545BD44">
            <w:pPr>
              <w:keepNext w:val="0"/>
              <w:keepLines w:val="0"/>
              <w:pageBreakBefore w:val="0"/>
              <w:widowControl w:val="0"/>
              <w:suppressLineNumbers w:val="0"/>
              <w:tabs>
                <w:tab w:val="left" w:pos="1081"/>
              </w:tabs>
              <w:kinsoku/>
              <w:wordWrap/>
              <w:overflowPunct/>
              <w:topLinePunct w:val="0"/>
              <w:autoSpaceDE/>
              <w:autoSpaceDN/>
              <w:bidi w:val="0"/>
              <w:adjustRightInd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pP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结合项目实际情况，根据建设方提供资料，评价建议项目区域防渗措施如下：</w:t>
            </w:r>
          </w:p>
          <w:p w14:paraId="67964D84">
            <w:pPr>
              <w:keepNext w:val="0"/>
              <w:keepLines w:val="0"/>
              <w:pageBreakBefore w:val="0"/>
              <w:widowControl w:val="0"/>
              <w:suppressLineNumbers w:val="0"/>
              <w:tabs>
                <w:tab w:val="left" w:pos="1081"/>
              </w:tabs>
              <w:kinsoku/>
              <w:wordWrap/>
              <w:overflowPunct/>
              <w:topLinePunct w:val="0"/>
              <w:autoSpaceDE/>
              <w:autoSpaceDN/>
              <w:bidi w:val="0"/>
              <w:adjustRightInd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pP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将全厂按物料或者污染物泄漏的途径和生产功能单元所处的位置划分为三类地下水污染防治区域：非污染防治区、一般污染防治区</w:t>
            </w:r>
            <w:r>
              <w:rPr>
                <w:rFonts w:hint="default" w:ascii="Times New Roman" w:hAnsi="Times New Roman" w:eastAsia="宋体" w:cs="Times New Roman"/>
                <w:color w:val="000000" w:themeColor="text1"/>
                <w:sz w:val="24"/>
                <w:szCs w:val="24"/>
                <w:highlight w:val="none"/>
                <w:u w:val="none" w:color="auto"/>
                <w:lang w:eastAsia="zh-CN"/>
                <w14:textFill>
                  <w14:solidFill>
                    <w14:schemeClr w14:val="tx1"/>
                  </w14:solidFill>
                </w14:textFill>
              </w:rPr>
              <w:t>（</w:t>
            </w:r>
            <w:r>
              <w:rPr>
                <w:rFonts w:hint="eastAsia" w:cs="Times New Roman"/>
                <w:color w:val="000000" w:themeColor="text1"/>
                <w:sz w:val="24"/>
                <w:szCs w:val="24"/>
                <w:highlight w:val="none"/>
                <w:u w:val="none" w:color="auto"/>
                <w:lang w:val="en-US" w:eastAsia="zh-CN"/>
                <w14:textFill>
                  <w14:solidFill>
                    <w14:schemeClr w14:val="tx1"/>
                  </w14:solidFill>
                </w14:textFill>
              </w:rPr>
              <w:t>生物质颗粒生产车间及仓库</w:t>
            </w:r>
            <w:r>
              <w:rPr>
                <w:rFonts w:hint="default" w:ascii="Times New Roman" w:hAnsi="Times New Roman" w:eastAsia="宋体" w:cs="Times New Roman"/>
                <w:color w:val="000000" w:themeColor="text1"/>
                <w:sz w:val="24"/>
                <w:szCs w:val="24"/>
                <w:highlight w:val="none"/>
                <w:u w:val="none" w:color="auto"/>
                <w:lang w:val="en-US" w:eastAsia="zh-CN"/>
                <w14:textFill>
                  <w14:solidFill>
                    <w14:schemeClr w14:val="tx1"/>
                  </w14:solidFill>
                </w14:textFill>
              </w:rPr>
              <w:t>、</w:t>
            </w:r>
            <w:r>
              <w:rPr>
                <w:rFonts w:hint="eastAsia" w:cs="Times New Roman"/>
                <w:color w:val="000000" w:themeColor="text1"/>
                <w:sz w:val="24"/>
                <w:szCs w:val="24"/>
                <w:highlight w:val="none"/>
                <w:u w:val="none" w:color="auto"/>
                <w:lang w:val="en-US" w:eastAsia="zh-CN"/>
                <w14:textFill>
                  <w14:solidFill>
                    <w14:schemeClr w14:val="tx1"/>
                  </w14:solidFill>
                </w14:textFill>
              </w:rPr>
              <w:t>机制炭生产车间</w:t>
            </w:r>
            <w:r>
              <w:rPr>
                <w:rFonts w:hint="default" w:ascii="Times New Roman" w:hAnsi="Times New Roman" w:eastAsia="宋体" w:cs="Times New Roman"/>
                <w:color w:val="000000" w:themeColor="text1"/>
                <w:sz w:val="24"/>
                <w:szCs w:val="24"/>
                <w:highlight w:val="none"/>
                <w:u w:val="none" w:color="auto"/>
                <w:lang w:val="en-US" w:eastAsia="zh-CN"/>
                <w14:textFill>
                  <w14:solidFill>
                    <w14:schemeClr w14:val="tx1"/>
                  </w14:solidFill>
                </w14:textFill>
              </w:rPr>
              <w:t>、</w:t>
            </w:r>
            <w:r>
              <w:rPr>
                <w:rFonts w:hint="eastAsia" w:cs="Times New Roman"/>
                <w:color w:val="000000" w:themeColor="text1"/>
                <w:sz w:val="24"/>
                <w:szCs w:val="24"/>
                <w:highlight w:val="none"/>
                <w:u w:val="none" w:color="auto"/>
                <w:lang w:val="en-US" w:eastAsia="zh-CN"/>
                <w14:textFill>
                  <w14:solidFill>
                    <w14:schemeClr w14:val="tx1"/>
                  </w14:solidFill>
                </w14:textFill>
              </w:rPr>
              <w:t>一般固废暂存间、化粪池等</w:t>
            </w:r>
            <w:r>
              <w:rPr>
                <w:rFonts w:hint="default" w:ascii="Times New Roman" w:hAnsi="Times New Roman" w:eastAsia="宋体" w:cs="Times New Roman"/>
                <w:color w:val="000000" w:themeColor="text1"/>
                <w:sz w:val="24"/>
                <w:szCs w:val="24"/>
                <w:highlight w:val="none"/>
                <w:u w:val="none" w:color="auto"/>
                <w:lang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和重点污染防治区（危废暂存间）。</w:t>
            </w:r>
          </w:p>
          <w:p w14:paraId="2DEB5A87">
            <w:pPr>
              <w:keepNext w:val="0"/>
              <w:keepLines w:val="0"/>
              <w:pageBreakBefore w:val="0"/>
              <w:widowControl w:val="0"/>
              <w:suppressLineNumbers w:val="0"/>
              <w:tabs>
                <w:tab w:val="left" w:pos="1081"/>
              </w:tabs>
              <w:kinsoku/>
              <w:wordWrap/>
              <w:overflowPunct/>
              <w:topLinePunct w:val="0"/>
              <w:autoSpaceDE/>
              <w:autoSpaceDN/>
              <w:bidi w:val="0"/>
              <w:adjustRightInd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pP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按照分区防渗的原则一般区域采用水泥硬化地面，重点污染防治区采取重点防腐防渗，重点防渗区严格按照《危险废物贮存污染控制标准》(GB18597-2023) 要求：防渗层为至少1m厚的粘土层(渗透系数≤10</w:t>
            </w:r>
            <w:r>
              <w:rPr>
                <w:rFonts w:hint="default" w:ascii="Times New Roman" w:hAnsi="Times New Roman" w:eastAsia="宋体" w:cs="Times New Roman"/>
                <w:color w:val="000000" w:themeColor="text1"/>
                <w:sz w:val="24"/>
                <w:szCs w:val="24"/>
                <w:highlight w:val="none"/>
                <w:u w:val="none" w:color="auto"/>
                <w:vertAlign w:val="superscript"/>
                <w14:textFill>
                  <w14:solidFill>
                    <w14:schemeClr w14:val="tx1"/>
                  </w14:solidFill>
                </w14:textFill>
              </w:rPr>
              <w:t>-7</w:t>
            </w: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cm/s )，或2mm厚高度密度聚乙烯，或至少2mm厚的其他人工材料，渗透系数≤10</w:t>
            </w:r>
            <w:r>
              <w:rPr>
                <w:rFonts w:hint="default" w:ascii="Times New Roman" w:hAnsi="Times New Roman" w:eastAsia="宋体" w:cs="Times New Roman"/>
                <w:color w:val="000000" w:themeColor="text1"/>
                <w:sz w:val="24"/>
                <w:szCs w:val="24"/>
                <w:highlight w:val="none"/>
                <w:u w:val="none" w:color="auto"/>
                <w:vertAlign w:val="superscript"/>
                <w14:textFill>
                  <w14:solidFill>
                    <w14:schemeClr w14:val="tx1"/>
                  </w14:solidFill>
                </w14:textFill>
              </w:rPr>
              <w:t>-10</w:t>
            </w: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cm/s，并控制生产过程中粪水的“跑、冒、滴、漏”。</w:t>
            </w:r>
          </w:p>
          <w:p w14:paraId="514858BE">
            <w:pPr>
              <w:keepNext w:val="0"/>
              <w:keepLines w:val="0"/>
              <w:pageBreakBefore w:val="0"/>
              <w:widowControl w:val="0"/>
              <w:suppressLineNumbers w:val="0"/>
              <w:tabs>
                <w:tab w:val="left" w:pos="1081"/>
              </w:tabs>
              <w:kinsoku/>
              <w:wordWrap/>
              <w:overflowPunct/>
              <w:topLinePunct w:val="0"/>
              <w:autoSpaceDE/>
              <w:autoSpaceDN/>
              <w:bidi w:val="0"/>
              <w:adjustRightInd w:val="0"/>
              <w:spacing w:before="0" w:beforeAutospacing="0" w:after="0" w:afterAutospacing="0" w:line="360" w:lineRule="auto"/>
              <w:ind w:left="0" w:right="0" w:firstLine="482" w:firstLineChars="200"/>
              <w:jc w:val="both"/>
              <w:textAlignment w:val="auto"/>
              <w:rPr>
                <w:rFonts w:hint="default" w:ascii="Times New Roman" w:hAnsi="Times New Roman" w:eastAsia="宋体" w:cs="Times New Roman"/>
                <w:b/>
                <w:bCs/>
                <w:color w:val="000000" w:themeColor="text1"/>
                <w:sz w:val="24"/>
                <w:szCs w:val="24"/>
                <w:highlight w:val="none"/>
                <w:u w:val="none" w:color="auto"/>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u w:val="none" w:color="auto"/>
                <w14:textFill>
                  <w14:solidFill>
                    <w14:schemeClr w14:val="tx1"/>
                  </w14:solidFill>
                </w14:textFill>
              </w:rPr>
              <w:t>6、土壤环境影响分析</w:t>
            </w:r>
          </w:p>
          <w:p w14:paraId="7F7CDFAF">
            <w:pPr>
              <w:keepNext w:val="0"/>
              <w:keepLines w:val="0"/>
              <w:pageBreakBefore w:val="0"/>
              <w:widowControl w:val="0"/>
              <w:suppressLineNumbers w:val="0"/>
              <w:tabs>
                <w:tab w:val="left" w:pos="1081"/>
              </w:tabs>
              <w:kinsoku/>
              <w:wordWrap/>
              <w:overflowPunct/>
              <w:topLinePunct w:val="0"/>
              <w:autoSpaceDE/>
              <w:autoSpaceDN/>
              <w:bidi w:val="0"/>
              <w:adjustRightInd w:val="0"/>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pP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根据《环境影响评价技术导则 土壤环境（试行）》（HJ964-2018），根据本项目污染物排放</w:t>
            </w:r>
            <w:r>
              <w:rPr>
                <w:rFonts w:hint="default" w:ascii="Times New Roman" w:hAnsi="Times New Roman" w:eastAsia="宋体" w:cs="Times New Roman"/>
                <w:color w:val="000000" w:themeColor="text1"/>
                <w:sz w:val="24"/>
                <w:szCs w:val="24"/>
                <w:highlight w:val="none"/>
                <w:u w:val="none" w:color="auto"/>
                <w:lang w:val="en-GB"/>
                <w14:textFill>
                  <w14:solidFill>
                    <w14:schemeClr w14:val="tx1"/>
                  </w14:solidFill>
                </w14:textFill>
              </w:rPr>
              <w:t>特征</w:t>
            </w: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及污染途径，仅定性说明项目对土壤环境产生的影响。</w:t>
            </w:r>
          </w:p>
          <w:p w14:paraId="2E13A39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eastAsia"/>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①</w:t>
            </w:r>
            <w:r>
              <w:rPr>
                <w:rFonts w:hint="eastAsia"/>
                <w:color w:val="000000" w:themeColor="text1"/>
                <w:sz w:val="24"/>
                <w:szCs w:val="24"/>
                <w14:textFill>
                  <w14:solidFill>
                    <w14:schemeClr w14:val="tx1"/>
                  </w14:solidFill>
                </w14:textFill>
              </w:rPr>
              <w:t>地下水、土壤环境污染途径分析</w:t>
            </w:r>
          </w:p>
          <w:p w14:paraId="535A227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eastAsia"/>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在正常状况下，本项目生活污水水质简单，</w:t>
            </w:r>
            <w:r>
              <w:rPr>
                <w:rFonts w:hint="eastAsia"/>
                <w:color w:val="000000" w:themeColor="text1"/>
                <w:sz w:val="24"/>
                <w:szCs w:val="24"/>
                <w:lang w:val="en-US" w:eastAsia="zh-CN"/>
                <w14:textFill>
                  <w14:solidFill>
                    <w14:schemeClr w14:val="tx1"/>
                  </w14:solidFill>
                </w14:textFill>
              </w:rPr>
              <w:t>经化粪池处理后</w:t>
            </w:r>
            <w:r>
              <w:rPr>
                <w:rFonts w:hint="eastAsia"/>
                <w:color w:val="000000" w:themeColor="text1"/>
                <w:sz w:val="24"/>
                <w:szCs w:val="24"/>
                <w14:textFill>
                  <w14:solidFill>
                    <w14:schemeClr w14:val="tx1"/>
                  </w14:solidFill>
                </w14:textFill>
              </w:rPr>
              <w:t>；冷却循环水循环使用，不外排；本项目冷凝后的粗木焦油、木醋液经收集池收集后，采用防渗防漏的专用容器盛装密封</w:t>
            </w:r>
            <w:r>
              <w:rPr>
                <w:rFonts w:hint="eastAsia"/>
                <w:color w:val="000000" w:themeColor="text1"/>
                <w:sz w:val="24"/>
                <w:szCs w:val="24"/>
                <w:lang w:eastAsia="zh-CN"/>
                <w14:textFill>
                  <w14:solidFill>
                    <w14:schemeClr w14:val="tx1"/>
                  </w14:solidFill>
                </w14:textFill>
              </w:rPr>
              <w:t>，</w:t>
            </w:r>
            <w:r>
              <w:rPr>
                <w:rFonts w:hint="eastAsia"/>
                <w:color w:val="000000" w:themeColor="text1"/>
                <w:sz w:val="24"/>
                <w:szCs w:val="24"/>
                <w:lang w:val="en-US" w:eastAsia="zh-CN"/>
                <w14:textFill>
                  <w14:solidFill>
                    <w14:schemeClr w14:val="tx1"/>
                  </w14:solidFill>
                </w14:textFill>
              </w:rPr>
              <w:t>暂存于危废暂存间</w:t>
            </w:r>
            <w:r>
              <w:rPr>
                <w:rFonts w:hint="eastAsia"/>
                <w:color w:val="000000" w:themeColor="text1"/>
                <w:sz w:val="24"/>
                <w:szCs w:val="24"/>
                <w14:textFill>
                  <w14:solidFill>
                    <w14:schemeClr w14:val="tx1"/>
                  </w14:solidFill>
                </w14:textFill>
              </w:rPr>
              <w:t>，作为副产品外售对地下水环境基本不会产生影响。</w:t>
            </w:r>
          </w:p>
          <w:p w14:paraId="587E5A0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eastAsia"/>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在非正常状况下，本项目地下水、土壤污染途径为：</w:t>
            </w:r>
          </w:p>
          <w:p w14:paraId="40AF7A1E">
            <w:pPr>
              <w:keepNext w:val="0"/>
              <w:keepLines w:val="0"/>
              <w:suppressLineNumbers w:val="0"/>
              <w:adjustRightInd w:val="0"/>
              <w:spacing w:before="0" w:beforeAutospacing="0" w:after="0" w:afterAutospacing="0" w:line="360" w:lineRule="auto"/>
              <w:ind w:left="0" w:right="0" w:firstLine="480" w:firstLineChars="200"/>
              <w:rPr>
                <w:rFonts w:hint="eastAsia"/>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1）厂区的废水可能渗漏，经地面漫流和垂直入渗，污染浅层水和土壤环境；</w:t>
            </w:r>
          </w:p>
          <w:p w14:paraId="321B12FA">
            <w:pPr>
              <w:keepNext w:val="0"/>
              <w:keepLines w:val="0"/>
              <w:suppressLineNumbers w:val="0"/>
              <w:adjustRightInd w:val="0"/>
              <w:spacing w:before="0" w:beforeAutospacing="0" w:after="0" w:afterAutospacing="0" w:line="360" w:lineRule="auto"/>
              <w:ind w:left="0" w:right="0" w:firstLine="480" w:firstLineChars="200"/>
              <w:rPr>
                <w:rFonts w:hint="eastAsia"/>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2）本项目粗木焦油、木醋液收集池破裂，经地面漫流和垂直入渗，从而对地下水、土壤环境产生一定影响。</w:t>
            </w:r>
          </w:p>
          <w:p w14:paraId="40216CF8">
            <w:pPr>
              <w:keepNext w:val="0"/>
              <w:keepLines w:val="0"/>
              <w:suppressLineNumbers w:val="0"/>
              <w:adjustRightInd w:val="0"/>
              <w:spacing w:before="0" w:beforeAutospacing="0" w:after="0" w:afterAutospacing="0" w:line="360" w:lineRule="auto"/>
              <w:ind w:left="0" w:right="0" w:firstLine="480" w:firstLineChars="200"/>
              <w:rPr>
                <w:rFonts w:hint="eastAsia"/>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3）本项目向大气排放的污染物可能由于重力沉降、雨水淋洗等作用而降落到地表，有可能被水携带渗入地下水、土壤环境中。</w:t>
            </w:r>
          </w:p>
          <w:p w14:paraId="649626C9">
            <w:pPr>
              <w:keepNext w:val="0"/>
              <w:keepLines w:val="0"/>
              <w:suppressLineNumbers w:val="0"/>
              <w:adjustRightInd w:val="0"/>
              <w:spacing w:before="0" w:beforeAutospacing="0" w:after="0" w:afterAutospacing="0" w:line="360" w:lineRule="auto"/>
              <w:ind w:left="0" w:right="0" w:firstLine="480" w:firstLineChars="200"/>
              <w:rPr>
                <w:rFonts w:hint="default"/>
                <w:color w:val="000000" w:themeColor="text1"/>
                <w:sz w:val="24"/>
                <w:szCs w:val="24"/>
                <w14:textFill>
                  <w14:solidFill>
                    <w14:schemeClr w14:val="tx1"/>
                  </w14:solidFill>
                </w14:textFill>
              </w:rPr>
            </w:pPr>
            <w:r>
              <w:rPr>
                <w:rFonts w:hint="eastAsia"/>
                <w:color w:val="000000" w:themeColor="text1"/>
                <w:sz w:val="24"/>
                <w:szCs w:val="24"/>
                <w:lang w:val="en-US" w:eastAsia="zh-CN"/>
                <w14:textFill>
                  <w14:solidFill>
                    <w14:schemeClr w14:val="tx1"/>
                  </w14:solidFill>
                </w14:textFill>
              </w:rPr>
              <w:t>②</w:t>
            </w:r>
            <w:r>
              <w:rPr>
                <w:rFonts w:hint="default"/>
                <w:color w:val="000000" w:themeColor="text1"/>
                <w:sz w:val="24"/>
                <w:szCs w:val="24"/>
                <w14:textFill>
                  <w14:solidFill>
                    <w14:schemeClr w14:val="tx1"/>
                  </w14:solidFill>
                </w14:textFill>
              </w:rPr>
              <w:t>防</w:t>
            </w:r>
            <w:r>
              <w:rPr>
                <w:rFonts w:hint="eastAsia"/>
                <w:color w:val="000000" w:themeColor="text1"/>
                <w:sz w:val="24"/>
                <w:szCs w:val="24"/>
                <w14:textFill>
                  <w14:solidFill>
                    <w14:schemeClr w14:val="tx1"/>
                  </w14:solidFill>
                </w14:textFill>
              </w:rPr>
              <w:t>控</w:t>
            </w:r>
            <w:r>
              <w:rPr>
                <w:rFonts w:hint="default"/>
                <w:color w:val="000000" w:themeColor="text1"/>
                <w:sz w:val="24"/>
                <w:szCs w:val="24"/>
                <w14:textFill>
                  <w14:solidFill>
                    <w14:schemeClr w14:val="tx1"/>
                  </w14:solidFill>
                </w14:textFill>
              </w:rPr>
              <w:t>措施</w:t>
            </w:r>
          </w:p>
          <w:p w14:paraId="6957E6E2">
            <w:pPr>
              <w:keepNext w:val="0"/>
              <w:keepLines w:val="0"/>
              <w:suppressLineNumbers w:val="0"/>
              <w:adjustRightInd w:val="0"/>
              <w:spacing w:before="0" w:beforeAutospacing="0" w:after="0" w:afterAutospacing="0" w:line="360" w:lineRule="auto"/>
              <w:ind w:left="0" w:right="0" w:firstLine="480" w:firstLineChars="200"/>
              <w:rPr>
                <w:rFonts w:hint="eastAsia"/>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为防止对地下水、土壤环境的影响，建设单位应采取严格的防渗措施和加强日常环境管理，建设单位应做到以下几点：</w:t>
            </w:r>
          </w:p>
          <w:p w14:paraId="2515F848">
            <w:pPr>
              <w:keepNext w:val="0"/>
              <w:keepLines w:val="0"/>
              <w:suppressLineNumbers w:val="0"/>
              <w:adjustRightInd w:val="0"/>
              <w:spacing w:before="0" w:beforeAutospacing="0" w:after="0" w:afterAutospacing="0" w:line="360" w:lineRule="auto"/>
              <w:ind w:left="0" w:right="0" w:firstLine="480" w:firstLineChars="200"/>
              <w:rPr>
                <w:rFonts w:hint="eastAsia"/>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1）加强绿化</w:t>
            </w:r>
          </w:p>
          <w:p w14:paraId="3D564EB1">
            <w:pPr>
              <w:keepNext w:val="0"/>
              <w:keepLines w:val="0"/>
              <w:suppressLineNumbers w:val="0"/>
              <w:adjustRightInd w:val="0"/>
              <w:spacing w:before="0" w:beforeAutospacing="0" w:after="0" w:afterAutospacing="0" w:line="360" w:lineRule="auto"/>
              <w:ind w:left="0" w:right="0" w:firstLine="480" w:firstLineChars="200"/>
              <w:rPr>
                <w:rFonts w:hint="eastAsia"/>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项目占地范围内应加强绿化，以种植具有较强吸附能力的植被为主。</w:t>
            </w:r>
          </w:p>
          <w:p w14:paraId="0949B701">
            <w:pPr>
              <w:keepNext w:val="0"/>
              <w:keepLines w:val="0"/>
              <w:suppressLineNumbers w:val="0"/>
              <w:adjustRightInd w:val="0"/>
              <w:spacing w:before="0" w:beforeAutospacing="0" w:after="0" w:afterAutospacing="0" w:line="360" w:lineRule="auto"/>
              <w:ind w:left="0" w:right="0" w:firstLine="480" w:firstLineChars="200"/>
              <w:rPr>
                <w:rFonts w:hint="eastAsia"/>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2）源头控制</w:t>
            </w:r>
          </w:p>
          <w:p w14:paraId="2F166B6F">
            <w:pPr>
              <w:keepNext w:val="0"/>
              <w:keepLines w:val="0"/>
              <w:suppressLineNumbers w:val="0"/>
              <w:adjustRightInd w:val="0"/>
              <w:spacing w:before="0" w:beforeAutospacing="0" w:after="0" w:afterAutospacing="0" w:line="360" w:lineRule="auto"/>
              <w:ind w:left="0" w:right="0" w:firstLine="480" w:firstLineChars="200"/>
              <w:rPr>
                <w:rFonts w:hint="eastAsia"/>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在建设期应加强厂内的防渗工作，将防渗区域分为重点防渗区、一般防渗区。本项目重点防渗区为主生产装置区、收集池、</w:t>
            </w:r>
            <w:r>
              <w:rPr>
                <w:rFonts w:hint="eastAsia"/>
                <w:color w:val="000000" w:themeColor="text1"/>
                <w:sz w:val="24"/>
                <w:szCs w:val="24"/>
                <w:lang w:val="en-US" w:eastAsia="zh-CN"/>
                <w14:textFill>
                  <w14:solidFill>
                    <w14:schemeClr w14:val="tx1"/>
                  </w14:solidFill>
                </w14:textFill>
              </w:rPr>
              <w:t>危废</w:t>
            </w:r>
            <w:r>
              <w:rPr>
                <w:rFonts w:hint="eastAsia"/>
                <w:color w:val="000000" w:themeColor="text1"/>
                <w:sz w:val="24"/>
                <w:szCs w:val="24"/>
                <w14:textFill>
                  <w14:solidFill>
                    <w14:schemeClr w14:val="tx1"/>
                  </w14:solidFill>
                </w14:textFill>
              </w:rPr>
              <w:t>暂存间；一般防渗区为库房、运输道路、其他辅助设施等；重点防渗区刚性防渗结构层渗透系数不宜大于</w:t>
            </w:r>
            <w:r>
              <w:rPr>
                <w:rFonts w:hint="default"/>
                <w:color w:val="000000" w:themeColor="text1"/>
                <w:sz w:val="24"/>
                <w:szCs w:val="24"/>
                <w14:textFill>
                  <w14:solidFill>
                    <w14:schemeClr w14:val="tx1"/>
                  </w14:solidFill>
                </w14:textFill>
              </w:rPr>
              <w:t>1.0×10</w:t>
            </w:r>
            <w:r>
              <w:rPr>
                <w:rFonts w:hint="default"/>
                <w:color w:val="000000" w:themeColor="text1"/>
                <w:sz w:val="24"/>
                <w:szCs w:val="24"/>
                <w:vertAlign w:val="superscript"/>
                <w14:textFill>
                  <w14:solidFill>
                    <w14:schemeClr w14:val="tx1"/>
                  </w14:solidFill>
                </w14:textFill>
              </w:rPr>
              <w:t>-7</w:t>
            </w:r>
            <w:r>
              <w:rPr>
                <w:rFonts w:hint="default"/>
                <w:color w:val="000000" w:themeColor="text1"/>
                <w:sz w:val="24"/>
                <w:szCs w:val="24"/>
                <w14:textFill>
                  <w14:solidFill>
                    <w14:schemeClr w14:val="tx1"/>
                  </w14:solidFill>
                </w14:textFill>
              </w:rPr>
              <w:t>cm/s</w:t>
            </w:r>
            <w:r>
              <w:rPr>
                <w:rFonts w:hint="eastAsia"/>
                <w:color w:val="000000" w:themeColor="text1"/>
                <w:sz w:val="24"/>
                <w:szCs w:val="24"/>
                <w14:textFill>
                  <w14:solidFill>
                    <w14:schemeClr w14:val="tx1"/>
                  </w14:solidFill>
                </w14:textFill>
              </w:rPr>
              <w:t>，等效粘土防渗层不小于</w:t>
            </w:r>
            <w:r>
              <w:rPr>
                <w:rFonts w:hint="default"/>
                <w:color w:val="000000" w:themeColor="text1"/>
                <w:sz w:val="24"/>
                <w:szCs w:val="24"/>
                <w14:textFill>
                  <w14:solidFill>
                    <w14:schemeClr w14:val="tx1"/>
                  </w14:solidFill>
                </w14:textFill>
              </w:rPr>
              <w:t>6m</w:t>
            </w:r>
            <w:r>
              <w:rPr>
                <w:rFonts w:hint="eastAsia"/>
                <w:color w:val="000000" w:themeColor="text1"/>
                <w:sz w:val="24"/>
                <w:szCs w:val="24"/>
                <w14:textFill>
                  <w14:solidFill>
                    <w14:schemeClr w14:val="tx1"/>
                  </w14:solidFill>
                </w14:textFill>
              </w:rPr>
              <w:t>；一般防渗区刚性防渗结构层渗透系数不宜大于</w:t>
            </w:r>
            <w:r>
              <w:rPr>
                <w:rFonts w:hint="default"/>
                <w:color w:val="000000" w:themeColor="text1"/>
                <w:sz w:val="24"/>
                <w:szCs w:val="24"/>
                <w14:textFill>
                  <w14:solidFill>
                    <w14:schemeClr w14:val="tx1"/>
                  </w14:solidFill>
                </w14:textFill>
              </w:rPr>
              <w:t>1.0×10</w:t>
            </w:r>
            <w:r>
              <w:rPr>
                <w:rFonts w:hint="default"/>
                <w:color w:val="000000" w:themeColor="text1"/>
                <w:sz w:val="24"/>
                <w:szCs w:val="24"/>
                <w:vertAlign w:val="superscript"/>
                <w14:textFill>
                  <w14:solidFill>
                    <w14:schemeClr w14:val="tx1"/>
                  </w14:solidFill>
                </w14:textFill>
              </w:rPr>
              <w:t>-7</w:t>
            </w:r>
            <w:r>
              <w:rPr>
                <w:rFonts w:hint="default"/>
                <w:color w:val="000000" w:themeColor="text1"/>
                <w:sz w:val="24"/>
                <w:szCs w:val="24"/>
                <w14:textFill>
                  <w14:solidFill>
                    <w14:schemeClr w14:val="tx1"/>
                  </w14:solidFill>
                </w14:textFill>
              </w:rPr>
              <w:t>cm/s</w:t>
            </w:r>
            <w:r>
              <w:rPr>
                <w:rFonts w:hint="eastAsia"/>
                <w:color w:val="000000" w:themeColor="text1"/>
                <w:sz w:val="24"/>
                <w:szCs w:val="24"/>
                <w14:textFill>
                  <w14:solidFill>
                    <w14:schemeClr w14:val="tx1"/>
                  </w14:solidFill>
                </w14:textFill>
              </w:rPr>
              <w:t>，等效粘土防渗层不小于</w:t>
            </w:r>
            <w:r>
              <w:rPr>
                <w:rFonts w:hint="default"/>
                <w:color w:val="000000" w:themeColor="text1"/>
                <w:sz w:val="24"/>
                <w:szCs w:val="24"/>
                <w14:textFill>
                  <w14:solidFill>
                    <w14:schemeClr w14:val="tx1"/>
                  </w14:solidFill>
                </w14:textFill>
              </w:rPr>
              <w:t>1.5m</w:t>
            </w:r>
            <w:r>
              <w:rPr>
                <w:rFonts w:hint="eastAsia"/>
                <w:color w:val="000000" w:themeColor="text1"/>
                <w:sz w:val="24"/>
                <w:szCs w:val="24"/>
                <w14:textFill>
                  <w14:solidFill>
                    <w14:schemeClr w14:val="tx1"/>
                  </w14:solidFill>
                </w14:textFill>
              </w:rPr>
              <w:t>。对产生的废物进行合理的回用和治理，以尽可能从源头上减少污染物排放；严格按照国家相关规范要求，对工艺、管道、设备采取相应的措施，以防止和降低污染物的跑、冒、滴、漏，将污染物泄漏的环境风险事故降低到最低程度。</w:t>
            </w:r>
          </w:p>
          <w:p w14:paraId="5324B330">
            <w:pPr>
              <w:keepNext w:val="0"/>
              <w:keepLines w:val="0"/>
              <w:suppressLineNumbers w:val="0"/>
              <w:adjustRightInd w:val="0"/>
              <w:spacing w:before="0" w:beforeAutospacing="0" w:after="0" w:afterAutospacing="0" w:line="360" w:lineRule="auto"/>
              <w:ind w:left="0" w:right="0" w:firstLine="480" w:firstLineChars="200"/>
              <w:rPr>
                <w:rFonts w:hint="eastAsia"/>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3）加强日常环境管理</w:t>
            </w:r>
          </w:p>
          <w:p w14:paraId="7D806A2A">
            <w:pPr>
              <w:keepNext w:val="0"/>
              <w:keepLines w:val="0"/>
              <w:suppressLineNumbers w:val="0"/>
              <w:adjustRightInd w:val="0"/>
              <w:spacing w:before="0" w:beforeAutospacing="0" w:after="0" w:afterAutospacing="0" w:line="360" w:lineRule="auto"/>
              <w:ind w:left="0" w:right="0" w:firstLine="480" w:firstLineChars="200"/>
              <w:rPr>
                <w:rFonts w:hint="eastAsia"/>
                <w:color w:val="000000" w:themeColor="text1"/>
                <w14:textFill>
                  <w14:solidFill>
                    <w14:schemeClr w14:val="tx1"/>
                  </w14:solidFill>
                </w14:textFill>
              </w:rPr>
            </w:pPr>
            <w:r>
              <w:rPr>
                <w:rFonts w:hint="eastAsia"/>
                <w:color w:val="000000" w:themeColor="text1"/>
                <w:sz w:val="24"/>
                <w:szCs w:val="24"/>
                <w14:textFill>
                  <w14:solidFill>
                    <w14:schemeClr w14:val="tx1"/>
                  </w14:solidFill>
                </w14:textFill>
              </w:rPr>
              <w:t>严格做好主生产装置区、</w:t>
            </w:r>
            <w:r>
              <w:rPr>
                <w:rFonts w:hint="eastAsia"/>
                <w:color w:val="000000" w:themeColor="text1"/>
                <w:sz w:val="24"/>
                <w:szCs w:val="24"/>
                <w:lang w:val="en-US" w:eastAsia="zh-CN"/>
                <w14:textFill>
                  <w14:solidFill>
                    <w14:schemeClr w14:val="tx1"/>
                  </w14:solidFill>
                </w14:textFill>
              </w:rPr>
              <w:t>危废</w:t>
            </w:r>
            <w:r>
              <w:rPr>
                <w:rFonts w:hint="eastAsia"/>
                <w:color w:val="000000" w:themeColor="text1"/>
                <w:sz w:val="24"/>
                <w:szCs w:val="24"/>
                <w14:textFill>
                  <w14:solidFill>
                    <w14:schemeClr w14:val="tx1"/>
                  </w14:solidFill>
                </w14:textFill>
              </w:rPr>
              <w:t>暂存间防渗以及收集、储存、处理设施防渗措施，确保主生产装置区、收集池、</w:t>
            </w:r>
            <w:r>
              <w:rPr>
                <w:rFonts w:hint="eastAsia"/>
                <w:color w:val="000000" w:themeColor="text1"/>
                <w:sz w:val="24"/>
                <w:szCs w:val="24"/>
                <w:lang w:eastAsia="zh-CN"/>
                <w14:textFill>
                  <w14:solidFill>
                    <w14:schemeClr w14:val="tx1"/>
                  </w14:solidFill>
                </w14:textFill>
              </w:rPr>
              <w:t>副产品暂存区</w:t>
            </w:r>
            <w:r>
              <w:rPr>
                <w:rFonts w:hint="eastAsia"/>
                <w:color w:val="000000" w:themeColor="text1"/>
                <w:sz w:val="24"/>
                <w:szCs w:val="24"/>
                <w14:textFill>
                  <w14:solidFill>
                    <w14:schemeClr w14:val="tx1"/>
                  </w14:solidFill>
                </w14:textFill>
              </w:rPr>
              <w:t>防渗设施完好，一旦出现破损，应立即采取有效补漏措施，避免渗漏污染地下水、土壤环境。</w:t>
            </w:r>
          </w:p>
          <w:p w14:paraId="25E8BBAD">
            <w:pPr>
              <w:keepNext w:val="0"/>
              <w:keepLines w:val="0"/>
              <w:suppressLineNumbers w:val="0"/>
              <w:adjustRightInd w:val="0"/>
              <w:spacing w:before="0" w:beforeAutospacing="0" w:after="0" w:afterAutospacing="0" w:line="360" w:lineRule="auto"/>
              <w:ind w:left="0" w:right="0" w:firstLine="480" w:firstLineChars="200"/>
              <w:rPr>
                <w:rFonts w:hint="default"/>
                <w:b w:val="0"/>
                <w:bCs w:val="0"/>
                <w:color w:val="000000" w:themeColor="text1"/>
                <w:sz w:val="24"/>
                <w:szCs w:val="24"/>
                <w14:textFill>
                  <w14:solidFill>
                    <w14:schemeClr w14:val="tx1"/>
                  </w14:solidFill>
                </w14:textFill>
              </w:rPr>
            </w:pPr>
            <w:r>
              <w:rPr>
                <w:rFonts w:hint="eastAsia"/>
                <w:b w:val="0"/>
                <w:bCs w:val="0"/>
                <w:color w:val="000000" w:themeColor="text1"/>
                <w:sz w:val="24"/>
                <w:szCs w:val="24"/>
                <w:lang w:val="en-US" w:eastAsia="zh-CN"/>
                <w14:textFill>
                  <w14:solidFill>
                    <w14:schemeClr w14:val="tx1"/>
                  </w14:solidFill>
                </w14:textFill>
              </w:rPr>
              <w:t>③</w:t>
            </w:r>
            <w:r>
              <w:rPr>
                <w:rFonts w:hint="eastAsia"/>
                <w:b w:val="0"/>
                <w:bCs w:val="0"/>
                <w:color w:val="000000" w:themeColor="text1"/>
                <w:sz w:val="24"/>
                <w:szCs w:val="24"/>
                <w14:textFill>
                  <w14:solidFill>
                    <w14:schemeClr w14:val="tx1"/>
                  </w14:solidFill>
                </w14:textFill>
              </w:rPr>
              <w:t>项目建成后地下水、土壤环境影响分析</w:t>
            </w:r>
          </w:p>
          <w:p w14:paraId="23A6C7B0">
            <w:pPr>
              <w:keepNext w:val="0"/>
              <w:keepLines w:val="0"/>
              <w:suppressLineNumbers w:val="0"/>
              <w:adjustRightInd w:val="0"/>
              <w:spacing w:before="0" w:beforeAutospacing="0" w:after="0" w:afterAutospacing="0" w:line="360" w:lineRule="auto"/>
              <w:ind w:left="0" w:right="0" w:firstLine="480" w:firstLineChars="200"/>
              <w:rPr>
                <w:rFonts w:hint="eastAsia"/>
                <w:b w:val="0"/>
                <w:bCs w:val="0"/>
                <w:color w:val="000000" w:themeColor="text1"/>
                <w:sz w:val="24"/>
                <w:szCs w:val="24"/>
                <w14:textFill>
                  <w14:solidFill>
                    <w14:schemeClr w14:val="tx1"/>
                  </w14:solidFill>
                </w14:textFill>
              </w:rPr>
            </w:pPr>
            <w:r>
              <w:rPr>
                <w:rFonts w:hint="eastAsia"/>
                <w:b w:val="0"/>
                <w:bCs w:val="0"/>
                <w:color w:val="000000" w:themeColor="text1"/>
                <w:sz w:val="24"/>
                <w:szCs w:val="24"/>
                <w14:textFill>
                  <w14:solidFill>
                    <w14:schemeClr w14:val="tx1"/>
                  </w14:solidFill>
                </w14:textFill>
              </w:rPr>
              <w:t>本项目冷却循环水循环使用，不外排；生活污水水质简单，经沉淀后用于厂区洒水抑尘；固体废物均得到妥善处置，不随意堆放。评价提出对项目场地内的主生产装置区、收集池、</w:t>
            </w:r>
            <w:r>
              <w:rPr>
                <w:rFonts w:hint="eastAsia"/>
                <w:b w:val="0"/>
                <w:bCs w:val="0"/>
                <w:color w:val="000000" w:themeColor="text1"/>
                <w:sz w:val="24"/>
                <w:szCs w:val="24"/>
                <w:lang w:eastAsia="zh-CN"/>
                <w14:textFill>
                  <w14:solidFill>
                    <w14:schemeClr w14:val="tx1"/>
                  </w14:solidFill>
                </w14:textFill>
              </w:rPr>
              <w:t>副产品暂存区</w:t>
            </w:r>
            <w:r>
              <w:rPr>
                <w:rFonts w:hint="eastAsia"/>
                <w:b w:val="0"/>
                <w:bCs w:val="0"/>
                <w:color w:val="000000" w:themeColor="text1"/>
                <w:sz w:val="24"/>
                <w:szCs w:val="24"/>
                <w14:textFill>
                  <w14:solidFill>
                    <w14:schemeClr w14:val="tx1"/>
                  </w14:solidFill>
                </w14:textFill>
              </w:rPr>
              <w:t>、库房、运输道路等进行分区防渗。</w:t>
            </w:r>
          </w:p>
          <w:p w14:paraId="3E1720E2">
            <w:pPr>
              <w:keepNext w:val="0"/>
              <w:keepLines w:val="0"/>
              <w:suppressLineNumbers w:val="0"/>
              <w:adjustRightInd w:val="0"/>
              <w:spacing w:before="0" w:beforeAutospacing="0" w:after="0" w:afterAutospacing="0" w:line="360" w:lineRule="auto"/>
              <w:ind w:left="0" w:right="0" w:firstLine="480" w:firstLineChars="200"/>
              <w:rPr>
                <w:rFonts w:hint="default"/>
                <w:b w:val="0"/>
                <w:bCs w:val="0"/>
                <w:color w:val="000000" w:themeColor="text1"/>
                <w:sz w:val="24"/>
                <w:szCs w:val="24"/>
                <w14:textFill>
                  <w14:solidFill>
                    <w14:schemeClr w14:val="tx1"/>
                  </w14:solidFill>
                </w14:textFill>
              </w:rPr>
            </w:pPr>
            <w:r>
              <w:rPr>
                <w:rFonts w:hint="eastAsia"/>
                <w:b w:val="0"/>
                <w:bCs w:val="0"/>
                <w:color w:val="000000" w:themeColor="text1"/>
                <w:sz w:val="24"/>
                <w:szCs w:val="24"/>
                <w14:textFill>
                  <w14:solidFill>
                    <w14:schemeClr w14:val="tx1"/>
                  </w14:solidFill>
                </w14:textFill>
              </w:rPr>
              <w:t>经过上述措施，本项目不会对周围地下水、土壤环境造成较大影响。</w:t>
            </w:r>
          </w:p>
          <w:p w14:paraId="559FD68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2" w:firstLineChars="200"/>
              <w:jc w:val="both"/>
              <w:textAlignment w:val="auto"/>
              <w:outlineLvl w:val="9"/>
              <w:rPr>
                <w:rFonts w:hint="default" w:ascii="Times New Roman" w:hAnsi="Times New Roman" w:eastAsia="宋体" w:cs="Times New Roman"/>
                <w:b/>
                <w:bCs/>
                <w:color w:val="000000" w:themeColor="text1"/>
                <w:sz w:val="24"/>
                <w:szCs w:val="24"/>
                <w:highlight w:val="none"/>
                <w:u w:val="none" w:color="auto"/>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u w:val="none" w:color="auto"/>
                <w14:textFill>
                  <w14:solidFill>
                    <w14:schemeClr w14:val="tx1"/>
                  </w14:solidFill>
                </w14:textFill>
              </w:rPr>
              <w:t>7、环境风险分析</w:t>
            </w:r>
          </w:p>
          <w:p w14:paraId="540BB375">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360" w:lineRule="auto"/>
              <w:ind w:left="0" w:right="0" w:firstLine="480" w:firstLineChars="200"/>
              <w:textAlignment w:val="auto"/>
              <w:rPr>
                <w:rFonts w:hint="default"/>
                <w:color w:val="000000" w:themeColor="text1"/>
                <w:sz w:val="24"/>
                <w:szCs w:val="24"/>
                <w14:textFill>
                  <w14:solidFill>
                    <w14:schemeClr w14:val="tx1"/>
                  </w14:solidFill>
                </w14:textFill>
              </w:rPr>
            </w:pPr>
            <w:r>
              <w:rPr>
                <w:rFonts w:hint="eastAsia"/>
                <w:color w:val="000000" w:themeColor="text1"/>
                <w:sz w:val="24"/>
                <w:szCs w:val="24"/>
                <w:lang w:val="en-US" w:eastAsia="zh-CN"/>
                <w14:textFill>
                  <w14:solidFill>
                    <w14:schemeClr w14:val="tx1"/>
                  </w14:solidFill>
                </w14:textFill>
              </w:rPr>
              <w:t>7.1</w:t>
            </w:r>
            <w:r>
              <w:rPr>
                <w:rFonts w:hint="eastAsia"/>
                <w:color w:val="000000" w:themeColor="text1"/>
                <w:sz w:val="24"/>
                <w:szCs w:val="24"/>
                <w14:textFill>
                  <w14:solidFill>
                    <w14:schemeClr w14:val="tx1"/>
                  </w14:solidFill>
                </w14:textFill>
              </w:rPr>
              <w:t>风险调查</w:t>
            </w:r>
          </w:p>
          <w:p w14:paraId="4F0E7BCB">
            <w:pPr>
              <w:keepNext w:val="0"/>
              <w:keepLines w:val="0"/>
              <w:suppressLineNumbers w:val="0"/>
              <w:adjustRightInd w:val="0"/>
              <w:spacing w:before="0" w:beforeAutospacing="0" w:after="0" w:afterAutospacing="0" w:line="360" w:lineRule="auto"/>
              <w:ind w:left="0" w:right="0" w:firstLine="480" w:firstLineChars="200"/>
              <w:rPr>
                <w:rFonts w:hint="default" w:ascii="Times New Roman" w:hAnsi="Times New Roman" w:eastAsia="宋体" w:cs="Times New Roman"/>
                <w:color w:val="000000" w:themeColor="text1"/>
                <w:sz w:val="24"/>
                <w:szCs w:val="24"/>
                <w:highlight w:val="none"/>
                <w:u w:val="none" w:color="auto"/>
                <w:lang w:val="en-US" w:eastAsia="zh-CN"/>
                <w14:textFill>
                  <w14:solidFill>
                    <w14:schemeClr w14:val="tx1"/>
                  </w14:solidFill>
                </w14:textFill>
              </w:rPr>
            </w:pPr>
            <w:r>
              <w:rPr>
                <w:rFonts w:hint="eastAsia" w:cs="Times New Roman"/>
                <w:color w:val="000000" w:themeColor="text1"/>
                <w:sz w:val="24"/>
                <w:szCs w:val="24"/>
                <w:highlight w:val="none"/>
                <w:u w:val="none" w:color="auto"/>
                <w:lang w:eastAsia="zh-CN"/>
                <w14:textFill>
                  <w14:solidFill>
                    <w14:schemeClr w14:val="tx1"/>
                  </w14:solidFill>
                </w14:textFill>
              </w:rPr>
              <w:t>（</w:t>
            </w:r>
            <w:r>
              <w:rPr>
                <w:rFonts w:hint="eastAsia" w:cs="Times New Roman"/>
                <w:color w:val="000000" w:themeColor="text1"/>
                <w:sz w:val="24"/>
                <w:szCs w:val="24"/>
                <w:highlight w:val="none"/>
                <w:u w:val="none" w:color="auto"/>
                <w:lang w:val="en-US" w:eastAsia="zh-CN"/>
                <w14:textFill>
                  <w14:solidFill>
                    <w14:schemeClr w14:val="tx1"/>
                  </w14:solidFill>
                </w14:textFill>
              </w:rPr>
              <w:t>1</w:t>
            </w:r>
            <w:r>
              <w:rPr>
                <w:rFonts w:hint="eastAsia" w:cs="Times New Roman"/>
                <w:color w:val="000000" w:themeColor="text1"/>
                <w:sz w:val="24"/>
                <w:szCs w:val="24"/>
                <w:highlight w:val="none"/>
                <w:u w:val="none" w:color="auto"/>
                <w:lang w:eastAsia="zh-CN"/>
                <w14:textFill>
                  <w14:solidFill>
                    <w14:schemeClr w14:val="tx1"/>
                  </w14:solidFill>
                </w14:textFill>
              </w:rPr>
              <w:t>）</w:t>
            </w:r>
            <w:r>
              <w:rPr>
                <w:rFonts w:hint="eastAsia" w:cs="Times New Roman"/>
                <w:color w:val="000000" w:themeColor="text1"/>
                <w:sz w:val="24"/>
                <w:szCs w:val="24"/>
                <w:highlight w:val="none"/>
                <w:u w:val="none" w:color="auto"/>
                <w:lang w:val="en-US" w:eastAsia="zh-CN"/>
                <w14:textFill>
                  <w14:solidFill>
                    <w14:schemeClr w14:val="tx1"/>
                  </w14:solidFill>
                </w14:textFill>
              </w:rPr>
              <w:t>风险调查</w:t>
            </w:r>
          </w:p>
          <w:p w14:paraId="76761F39">
            <w:pPr>
              <w:keepNext w:val="0"/>
              <w:keepLines w:val="0"/>
              <w:suppressLineNumbers w:val="0"/>
              <w:adjustRightInd w:val="0"/>
              <w:spacing w:before="0" w:beforeAutospacing="0" w:after="0" w:afterAutospacing="0" w:line="360" w:lineRule="auto"/>
              <w:ind w:left="0" w:right="0" w:firstLine="480" w:firstLineChars="200"/>
              <w:rPr>
                <w:rFonts w:hint="default"/>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根据《建设项目环境风险评价技术导则》（HJ169-2018）附录B中表B.1中突然环境事件风险物质名录表和《危险化学品名录》（2015版），对项目营运过程中使用的原料进行调查，确定本项目生产过程中所涉及的风险物质为</w:t>
            </w:r>
            <w:r>
              <w:rPr>
                <w:rFonts w:hint="eastAsia"/>
                <w:color w:val="000000" w:themeColor="text1"/>
                <w:sz w:val="24"/>
                <w:szCs w:val="24"/>
                <w14:textFill>
                  <w14:solidFill>
                    <w14:schemeClr w14:val="tx1"/>
                  </w14:solidFill>
                </w14:textFill>
              </w:rPr>
              <w:t>木煤气、木焦油、木醋液。</w:t>
            </w:r>
          </w:p>
          <w:p w14:paraId="69EA534B">
            <w:pPr>
              <w:keepNext w:val="0"/>
              <w:keepLines w:val="0"/>
              <w:suppressLineNumbers w:val="0"/>
              <w:spacing w:before="0" w:beforeAutospacing="0" w:after="0" w:afterAutospacing="0" w:line="360" w:lineRule="auto"/>
              <w:ind w:left="0" w:right="0" w:firstLine="480" w:firstLineChars="200"/>
              <w:rPr>
                <w:rFonts w:hint="default"/>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本项目具有危险特性的原辅材料见下表：</w:t>
            </w:r>
          </w:p>
          <w:p w14:paraId="69F28C6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jc w:val="center"/>
              <w:textAlignment w:val="auto"/>
              <w:rPr>
                <w:rFonts w:hint="default" w:ascii="Times New Roman" w:hAnsi="Times New Roman" w:eastAsia="宋体" w:cs="Times New Roman"/>
                <w:b/>
                <w:color w:val="000000" w:themeColor="text1"/>
                <w:kern w:val="2"/>
                <w:sz w:val="24"/>
                <w:szCs w:val="24"/>
                <w:highlight w:val="none"/>
                <w:u w:val="none" w:color="auto"/>
                <w:lang w:val="en-US" w:eastAsia="zh-CN" w:bidi="ar-SA"/>
                <w14:textFill>
                  <w14:solidFill>
                    <w14:schemeClr w14:val="tx1"/>
                  </w14:solidFill>
                </w14:textFill>
              </w:rPr>
            </w:pPr>
            <w:r>
              <w:rPr>
                <w:rFonts w:hint="eastAsia" w:ascii="Times New Roman" w:hAnsi="Times New Roman" w:eastAsia="宋体" w:cs="Times New Roman"/>
                <w:b/>
                <w:color w:val="000000" w:themeColor="text1"/>
                <w:kern w:val="2"/>
                <w:sz w:val="24"/>
                <w:szCs w:val="24"/>
                <w:highlight w:val="none"/>
                <w:u w:val="none" w:color="auto"/>
                <w:lang w:val="en-US" w:eastAsia="zh-CN" w:bidi="ar-SA"/>
                <w14:textFill>
                  <w14:solidFill>
                    <w14:schemeClr w14:val="tx1"/>
                  </w14:solidFill>
                </w14:textFill>
              </w:rPr>
              <w:t>表4</w:t>
            </w:r>
            <w:r>
              <w:rPr>
                <w:rFonts w:hint="default" w:ascii="Times New Roman" w:hAnsi="Times New Roman" w:eastAsia="宋体" w:cs="Times New Roman"/>
                <w:b/>
                <w:color w:val="000000" w:themeColor="text1"/>
                <w:kern w:val="2"/>
                <w:sz w:val="24"/>
                <w:szCs w:val="24"/>
                <w:highlight w:val="none"/>
                <w:u w:val="none" w:color="auto"/>
                <w:lang w:val="en-US" w:eastAsia="zh-CN" w:bidi="ar-SA"/>
                <w14:textFill>
                  <w14:solidFill>
                    <w14:schemeClr w14:val="tx1"/>
                  </w14:solidFill>
                </w14:textFill>
              </w:rPr>
              <w:t>-</w:t>
            </w:r>
            <w:r>
              <w:rPr>
                <w:rFonts w:hint="eastAsia" w:ascii="Times New Roman" w:hAnsi="Times New Roman" w:eastAsia="宋体" w:cs="Times New Roman"/>
                <w:b/>
                <w:color w:val="000000" w:themeColor="text1"/>
                <w:kern w:val="2"/>
                <w:sz w:val="24"/>
                <w:szCs w:val="24"/>
                <w:highlight w:val="none"/>
                <w:u w:val="none" w:color="auto"/>
                <w:lang w:val="en-US" w:eastAsia="zh-CN" w:bidi="ar-SA"/>
                <w14:textFill>
                  <w14:solidFill>
                    <w14:schemeClr w14:val="tx1"/>
                  </w14:solidFill>
                </w14:textFill>
              </w:rPr>
              <w:t>24   主要原辅材料危险特性</w:t>
            </w:r>
          </w:p>
          <w:tbl>
            <w:tblPr>
              <w:tblStyle w:val="29"/>
              <w:tblW w:w="4997"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533"/>
              <w:gridCol w:w="992"/>
              <w:gridCol w:w="2817"/>
              <w:gridCol w:w="5115"/>
            </w:tblGrid>
            <w:tr w14:paraId="1633A01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82" w:type="pct"/>
                  <w:tcBorders>
                    <w:top w:val="single" w:color="auto" w:sz="4" w:space="0"/>
                    <w:left w:val="single" w:color="auto" w:sz="0" w:space="0"/>
                    <w:bottom w:val="single" w:color="auto" w:sz="4" w:space="0"/>
                    <w:right w:val="single" w:color="auto" w:sz="4" w:space="0"/>
                  </w:tcBorders>
                  <w:noWrap w:val="0"/>
                  <w:vAlign w:val="center"/>
                </w:tcPr>
                <w:p w14:paraId="08D4A6B2">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snapToGrid w:val="0"/>
                      <w:color w:val="000000" w:themeColor="text1"/>
                      <w:kern w:val="0"/>
                      <w:sz w:val="21"/>
                      <w:szCs w:val="21"/>
                      <w14:textFill>
                        <w14:solidFill>
                          <w14:schemeClr w14:val="tx1"/>
                        </w14:solidFill>
                      </w14:textFill>
                    </w:rPr>
                  </w:pPr>
                  <w:r>
                    <w:rPr>
                      <w:rFonts w:hint="default" w:ascii="Times New Roman" w:hAnsi="Times New Roman" w:cs="Times New Roman"/>
                      <w:bCs/>
                      <w:snapToGrid w:val="0"/>
                      <w:color w:val="000000" w:themeColor="text1"/>
                      <w:kern w:val="0"/>
                      <w:sz w:val="21"/>
                      <w:szCs w:val="21"/>
                      <w14:textFill>
                        <w14:solidFill>
                          <w14:schemeClr w14:val="tx1"/>
                        </w14:solidFill>
                      </w14:textFill>
                    </w:rPr>
                    <w:t>序号</w:t>
                  </w:r>
                </w:p>
              </w:tc>
              <w:tc>
                <w:tcPr>
                  <w:tcW w:w="524" w:type="pct"/>
                  <w:tcBorders>
                    <w:top w:val="single" w:color="auto" w:sz="4" w:space="0"/>
                    <w:left w:val="single" w:color="auto" w:sz="4" w:space="0"/>
                    <w:bottom w:val="single" w:color="auto" w:sz="4" w:space="0"/>
                    <w:right w:val="single" w:color="auto" w:sz="4" w:space="0"/>
                  </w:tcBorders>
                  <w:noWrap w:val="0"/>
                  <w:vAlign w:val="center"/>
                </w:tcPr>
                <w:p w14:paraId="7AB35629">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snapToGrid w:val="0"/>
                      <w:color w:val="000000" w:themeColor="text1"/>
                      <w:kern w:val="0"/>
                      <w:sz w:val="21"/>
                      <w:szCs w:val="21"/>
                      <w14:textFill>
                        <w14:solidFill>
                          <w14:schemeClr w14:val="tx1"/>
                        </w14:solidFill>
                      </w14:textFill>
                    </w:rPr>
                  </w:pPr>
                  <w:r>
                    <w:rPr>
                      <w:rFonts w:hint="default" w:ascii="Times New Roman" w:hAnsi="Times New Roman" w:cs="Times New Roman"/>
                      <w:bCs/>
                      <w:snapToGrid w:val="0"/>
                      <w:color w:val="000000" w:themeColor="text1"/>
                      <w:kern w:val="0"/>
                      <w:sz w:val="21"/>
                      <w:szCs w:val="21"/>
                      <w14:textFill>
                        <w14:solidFill>
                          <w14:schemeClr w14:val="tx1"/>
                        </w14:solidFill>
                      </w14:textFill>
                    </w:rPr>
                    <w:t>物质</w:t>
                  </w:r>
                </w:p>
                <w:p w14:paraId="3F1565CA">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snapToGrid w:val="0"/>
                      <w:color w:val="000000" w:themeColor="text1"/>
                      <w:kern w:val="0"/>
                      <w:sz w:val="21"/>
                      <w:szCs w:val="21"/>
                      <w14:textFill>
                        <w14:solidFill>
                          <w14:schemeClr w14:val="tx1"/>
                        </w14:solidFill>
                      </w14:textFill>
                    </w:rPr>
                  </w:pPr>
                  <w:r>
                    <w:rPr>
                      <w:rFonts w:hint="default" w:ascii="Times New Roman" w:hAnsi="Times New Roman" w:cs="Times New Roman"/>
                      <w:bCs/>
                      <w:snapToGrid w:val="0"/>
                      <w:color w:val="000000" w:themeColor="text1"/>
                      <w:kern w:val="0"/>
                      <w:sz w:val="21"/>
                      <w:szCs w:val="21"/>
                      <w14:textFill>
                        <w14:solidFill>
                          <w14:schemeClr w14:val="tx1"/>
                        </w14:solidFill>
                      </w14:textFill>
                    </w:rPr>
                    <w:t>名称</w:t>
                  </w:r>
                </w:p>
              </w:tc>
              <w:tc>
                <w:tcPr>
                  <w:tcW w:w="1489" w:type="pct"/>
                  <w:tcBorders>
                    <w:top w:val="single" w:color="auto" w:sz="4" w:space="0"/>
                    <w:left w:val="single" w:color="auto" w:sz="4" w:space="0"/>
                    <w:bottom w:val="single" w:color="auto" w:sz="4" w:space="0"/>
                    <w:right w:val="single" w:color="auto" w:sz="4" w:space="0"/>
                  </w:tcBorders>
                  <w:noWrap w:val="0"/>
                  <w:vAlign w:val="center"/>
                </w:tcPr>
                <w:p w14:paraId="26A6A698">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snapToGrid w:val="0"/>
                      <w:color w:val="000000" w:themeColor="text1"/>
                      <w:kern w:val="0"/>
                      <w:sz w:val="21"/>
                      <w:szCs w:val="21"/>
                      <w14:textFill>
                        <w14:solidFill>
                          <w14:schemeClr w14:val="tx1"/>
                        </w14:solidFill>
                      </w14:textFill>
                    </w:rPr>
                  </w:pPr>
                  <w:r>
                    <w:rPr>
                      <w:rFonts w:hint="default" w:ascii="Times New Roman" w:hAnsi="Times New Roman" w:cs="Times New Roman"/>
                      <w:bCs/>
                      <w:snapToGrid w:val="0"/>
                      <w:color w:val="000000" w:themeColor="text1"/>
                      <w:kern w:val="0"/>
                      <w:sz w:val="21"/>
                      <w:szCs w:val="21"/>
                      <w14:textFill>
                        <w14:solidFill>
                          <w14:schemeClr w14:val="tx1"/>
                        </w14:solidFill>
                      </w14:textFill>
                    </w:rPr>
                    <w:t>物化性质</w:t>
                  </w:r>
                </w:p>
              </w:tc>
              <w:tc>
                <w:tcPr>
                  <w:tcW w:w="2703" w:type="pct"/>
                  <w:tcBorders>
                    <w:top w:val="single" w:color="auto" w:sz="4" w:space="0"/>
                    <w:left w:val="single" w:color="auto" w:sz="4" w:space="0"/>
                    <w:bottom w:val="single" w:color="auto" w:sz="4" w:space="0"/>
                    <w:right w:val="single" w:color="auto" w:sz="4" w:space="0"/>
                  </w:tcBorders>
                  <w:noWrap w:val="0"/>
                  <w:vAlign w:val="center"/>
                </w:tcPr>
                <w:p w14:paraId="40B1ED4B">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snapToGrid w:val="0"/>
                      <w:color w:val="000000" w:themeColor="text1"/>
                      <w:kern w:val="0"/>
                      <w:sz w:val="21"/>
                      <w:szCs w:val="21"/>
                      <w14:textFill>
                        <w14:solidFill>
                          <w14:schemeClr w14:val="tx1"/>
                        </w14:solidFill>
                      </w14:textFill>
                    </w:rPr>
                  </w:pPr>
                  <w:r>
                    <w:rPr>
                      <w:rFonts w:hint="default" w:ascii="Times New Roman" w:hAnsi="Times New Roman" w:cs="Times New Roman"/>
                      <w:bCs/>
                      <w:snapToGrid w:val="0"/>
                      <w:color w:val="000000" w:themeColor="text1"/>
                      <w:kern w:val="0"/>
                      <w:sz w:val="21"/>
                      <w:szCs w:val="21"/>
                      <w14:textFill>
                        <w14:solidFill>
                          <w14:schemeClr w14:val="tx1"/>
                        </w14:solidFill>
                      </w14:textFill>
                    </w:rPr>
                    <w:t>危险特性</w:t>
                  </w:r>
                </w:p>
              </w:tc>
            </w:tr>
            <w:tr w14:paraId="1641043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82" w:type="pct"/>
                  <w:tcBorders>
                    <w:top w:val="single" w:color="auto" w:sz="4" w:space="0"/>
                    <w:left w:val="single" w:color="auto" w:sz="4" w:space="0"/>
                    <w:bottom w:val="single" w:color="auto" w:sz="4" w:space="0"/>
                    <w:right w:val="single" w:color="auto" w:sz="4" w:space="0"/>
                  </w:tcBorders>
                  <w:noWrap w:val="0"/>
                  <w:vAlign w:val="center"/>
                </w:tcPr>
                <w:p w14:paraId="663855BF">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snapToGrid w:val="0"/>
                      <w:color w:val="000000" w:themeColor="text1"/>
                      <w:kern w:val="0"/>
                      <w:sz w:val="21"/>
                      <w:szCs w:val="21"/>
                      <w14:textFill>
                        <w14:solidFill>
                          <w14:schemeClr w14:val="tx1"/>
                        </w14:solidFill>
                      </w14:textFill>
                    </w:rPr>
                  </w:pPr>
                  <w:r>
                    <w:rPr>
                      <w:rFonts w:hint="default" w:ascii="Times New Roman" w:hAnsi="Times New Roman" w:cs="Times New Roman"/>
                      <w:bCs/>
                      <w:snapToGrid w:val="0"/>
                      <w:color w:val="000000" w:themeColor="text1"/>
                      <w:kern w:val="0"/>
                      <w:sz w:val="21"/>
                      <w:szCs w:val="21"/>
                      <w14:textFill>
                        <w14:solidFill>
                          <w14:schemeClr w14:val="tx1"/>
                        </w14:solidFill>
                      </w14:textFill>
                    </w:rPr>
                    <w:t>1</w:t>
                  </w:r>
                </w:p>
              </w:tc>
              <w:tc>
                <w:tcPr>
                  <w:tcW w:w="524" w:type="pct"/>
                  <w:tcBorders>
                    <w:top w:val="single" w:color="auto" w:sz="4" w:space="0"/>
                    <w:left w:val="single" w:color="auto" w:sz="4" w:space="0"/>
                    <w:bottom w:val="single" w:color="auto" w:sz="4" w:space="0"/>
                    <w:right w:val="single" w:color="auto" w:sz="4" w:space="0"/>
                  </w:tcBorders>
                  <w:noWrap w:val="0"/>
                  <w:vAlign w:val="center"/>
                </w:tcPr>
                <w:p w14:paraId="2FFE1EBC">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snapToGrid w:val="0"/>
                      <w:color w:val="000000" w:themeColor="text1"/>
                      <w:kern w:val="0"/>
                      <w:sz w:val="21"/>
                      <w:szCs w:val="21"/>
                      <w14:textFill>
                        <w14:solidFill>
                          <w14:schemeClr w14:val="tx1"/>
                        </w14:solidFill>
                      </w14:textFill>
                    </w:rPr>
                  </w:pPr>
                  <w:r>
                    <w:rPr>
                      <w:rFonts w:hint="default" w:ascii="Times New Roman" w:hAnsi="Times New Roman" w:cs="Times New Roman"/>
                      <w:bCs/>
                      <w:snapToGrid w:val="0"/>
                      <w:color w:val="000000" w:themeColor="text1"/>
                      <w:kern w:val="0"/>
                      <w:sz w:val="21"/>
                      <w:szCs w:val="21"/>
                      <w14:textFill>
                        <w14:solidFill>
                          <w14:schemeClr w14:val="tx1"/>
                        </w14:solidFill>
                      </w14:textFill>
                    </w:rPr>
                    <w:t>木煤气</w:t>
                  </w:r>
                </w:p>
              </w:tc>
              <w:tc>
                <w:tcPr>
                  <w:tcW w:w="1489" w:type="pct"/>
                  <w:tcBorders>
                    <w:top w:val="single" w:color="auto" w:sz="4" w:space="0"/>
                    <w:left w:val="single" w:color="auto" w:sz="4" w:space="0"/>
                    <w:bottom w:val="single" w:color="auto" w:sz="4" w:space="0"/>
                    <w:right w:val="single" w:color="auto" w:sz="4" w:space="0"/>
                  </w:tcBorders>
                  <w:noWrap w:val="0"/>
                  <w:vAlign w:val="center"/>
                </w:tcPr>
                <w:p w14:paraId="39E28EE1">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snapToGrid w:val="0"/>
                      <w:color w:val="000000" w:themeColor="text1"/>
                      <w:kern w:val="0"/>
                      <w:sz w:val="21"/>
                      <w:szCs w:val="21"/>
                      <w14:textFill>
                        <w14:solidFill>
                          <w14:schemeClr w14:val="tx1"/>
                        </w14:solidFill>
                      </w14:textFill>
                    </w:rPr>
                  </w:pPr>
                  <w:r>
                    <w:rPr>
                      <w:rFonts w:hint="default" w:ascii="Times New Roman" w:hAnsi="Times New Roman" w:cs="Times New Roman"/>
                      <w:bCs/>
                      <w:snapToGrid w:val="0"/>
                      <w:color w:val="000000" w:themeColor="text1"/>
                      <w:kern w:val="0"/>
                      <w:sz w:val="21"/>
                      <w:szCs w:val="21"/>
                      <w14:textFill>
                        <w14:solidFill>
                          <w14:schemeClr w14:val="tx1"/>
                        </w14:solidFill>
                      </w14:textFill>
                    </w:rPr>
                    <w:t>气体，一氧化碳、二氧化碳、甲院、乙烯、氢气等混合气。危险货物编号23030</w:t>
                  </w:r>
                </w:p>
              </w:tc>
              <w:tc>
                <w:tcPr>
                  <w:tcW w:w="2703" w:type="pct"/>
                  <w:tcBorders>
                    <w:top w:val="single" w:color="auto" w:sz="4" w:space="0"/>
                    <w:left w:val="single" w:color="auto" w:sz="4" w:space="0"/>
                    <w:bottom w:val="single" w:color="auto" w:sz="4" w:space="0"/>
                    <w:right w:val="single" w:color="auto" w:sz="4" w:space="0"/>
                  </w:tcBorders>
                  <w:noWrap w:val="0"/>
                  <w:vAlign w:val="center"/>
                </w:tcPr>
                <w:p w14:paraId="0F61E0A5">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snapToGrid w:val="0"/>
                      <w:color w:val="000000" w:themeColor="text1"/>
                      <w:kern w:val="0"/>
                      <w:sz w:val="21"/>
                      <w:szCs w:val="21"/>
                      <w14:textFill>
                        <w14:solidFill>
                          <w14:schemeClr w14:val="tx1"/>
                        </w14:solidFill>
                      </w14:textFill>
                    </w:rPr>
                  </w:pPr>
                  <w:r>
                    <w:rPr>
                      <w:rFonts w:hint="default" w:ascii="Times New Roman" w:hAnsi="Times New Roman" w:cs="Times New Roman"/>
                      <w:bCs/>
                      <w:snapToGrid w:val="0"/>
                      <w:color w:val="000000" w:themeColor="text1"/>
                      <w:kern w:val="0"/>
                      <w:sz w:val="21"/>
                      <w:szCs w:val="21"/>
                      <w14:textFill>
                        <w14:solidFill>
                          <w14:schemeClr w14:val="tx1"/>
                        </w14:solidFill>
                      </w14:textFill>
                    </w:rPr>
                    <w:t>易燃易爆；健康危害：在血液中与血红蛋白结合，俗称煤气中毒。急性中毒：轻度中毒者出现头痛、头晕、耳鸣、心悸、恶心、无力，血液碳氧血红蛋白浓度可高于10%；中度中毒者除上述症状外，还有皮肤黏膜呈樱红色、脉快、烦躁、步态不稳、浅至中度昏迷，血液碳氧血红蛋白浓度可高于30%；重度患者深度昏迷、瞳孔缩小、肌张力增强、频繁抽搐、大小便失禁、休克、肺水肿、严重心肌损害等，血液碳氧血红蛋白可高于50%。</w:t>
                  </w:r>
                </w:p>
              </w:tc>
            </w:tr>
            <w:tr w14:paraId="05754BC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82" w:type="pct"/>
                  <w:tcBorders>
                    <w:top w:val="single" w:color="auto" w:sz="4" w:space="0"/>
                    <w:left w:val="single" w:color="auto" w:sz="4" w:space="0"/>
                    <w:bottom w:val="single" w:color="auto" w:sz="4" w:space="0"/>
                    <w:right w:val="single" w:color="auto" w:sz="4" w:space="0"/>
                  </w:tcBorders>
                  <w:noWrap w:val="0"/>
                  <w:vAlign w:val="center"/>
                </w:tcPr>
                <w:p w14:paraId="2F61F85E">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snapToGrid w:val="0"/>
                      <w:color w:val="000000" w:themeColor="text1"/>
                      <w:kern w:val="0"/>
                      <w:sz w:val="21"/>
                      <w:szCs w:val="21"/>
                      <w14:textFill>
                        <w14:solidFill>
                          <w14:schemeClr w14:val="tx1"/>
                        </w14:solidFill>
                      </w14:textFill>
                    </w:rPr>
                  </w:pPr>
                  <w:r>
                    <w:rPr>
                      <w:rFonts w:hint="default" w:ascii="Times New Roman" w:hAnsi="Times New Roman" w:cs="Times New Roman"/>
                      <w:bCs/>
                      <w:snapToGrid w:val="0"/>
                      <w:color w:val="000000" w:themeColor="text1"/>
                      <w:kern w:val="0"/>
                      <w:sz w:val="21"/>
                      <w:szCs w:val="21"/>
                      <w14:textFill>
                        <w14:solidFill>
                          <w14:schemeClr w14:val="tx1"/>
                        </w14:solidFill>
                      </w14:textFill>
                    </w:rPr>
                    <w:t>2</w:t>
                  </w:r>
                </w:p>
              </w:tc>
              <w:tc>
                <w:tcPr>
                  <w:tcW w:w="524" w:type="pct"/>
                  <w:tcBorders>
                    <w:top w:val="single" w:color="auto" w:sz="4" w:space="0"/>
                    <w:left w:val="single" w:color="auto" w:sz="4" w:space="0"/>
                    <w:bottom w:val="single" w:color="auto" w:sz="4" w:space="0"/>
                    <w:right w:val="single" w:color="auto" w:sz="4" w:space="0"/>
                  </w:tcBorders>
                  <w:noWrap w:val="0"/>
                  <w:vAlign w:val="center"/>
                </w:tcPr>
                <w:p w14:paraId="7411C2AF">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snapToGrid w:val="0"/>
                      <w:color w:val="000000" w:themeColor="text1"/>
                      <w:kern w:val="0"/>
                      <w:sz w:val="21"/>
                      <w:szCs w:val="21"/>
                      <w14:textFill>
                        <w14:solidFill>
                          <w14:schemeClr w14:val="tx1"/>
                        </w14:solidFill>
                      </w14:textFill>
                    </w:rPr>
                  </w:pPr>
                  <w:r>
                    <w:rPr>
                      <w:rFonts w:hint="default" w:ascii="Times New Roman" w:hAnsi="Times New Roman" w:cs="Times New Roman"/>
                      <w:bCs/>
                      <w:snapToGrid w:val="0"/>
                      <w:color w:val="000000" w:themeColor="text1"/>
                      <w:kern w:val="0"/>
                      <w:sz w:val="21"/>
                      <w:szCs w:val="21"/>
                      <w14:textFill>
                        <w14:solidFill>
                          <w14:schemeClr w14:val="tx1"/>
                        </w14:solidFill>
                      </w14:textFill>
                    </w:rPr>
                    <w:t>木焦油</w:t>
                  </w:r>
                </w:p>
              </w:tc>
              <w:tc>
                <w:tcPr>
                  <w:tcW w:w="1489" w:type="pct"/>
                  <w:tcBorders>
                    <w:top w:val="single" w:color="auto" w:sz="4" w:space="0"/>
                    <w:left w:val="single" w:color="auto" w:sz="4" w:space="0"/>
                    <w:bottom w:val="single" w:color="auto" w:sz="4" w:space="0"/>
                    <w:right w:val="single" w:color="auto" w:sz="4" w:space="0"/>
                  </w:tcBorders>
                  <w:noWrap w:val="0"/>
                  <w:vAlign w:val="center"/>
                </w:tcPr>
                <w:p w14:paraId="0B7213F0">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snapToGrid w:val="0"/>
                      <w:color w:val="000000" w:themeColor="text1"/>
                      <w:kern w:val="0"/>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木焦油主要成分为烃类、酚类、酸类等化合物。为无色至红棕色液体，微溶于水，能溶于乙醇、乙醚、氯仿；相对密度（水=1）0.862~0.872，沸点203~220℃，燃点84~86℃，木杂酚油是木焦油的主要成分，有烟味和腐蚀性</w:t>
                  </w:r>
                </w:p>
              </w:tc>
              <w:tc>
                <w:tcPr>
                  <w:tcW w:w="2703" w:type="pct"/>
                  <w:tcBorders>
                    <w:top w:val="single" w:color="auto" w:sz="4" w:space="0"/>
                    <w:left w:val="single" w:color="auto" w:sz="4" w:space="0"/>
                    <w:bottom w:val="single" w:color="auto" w:sz="4" w:space="0"/>
                    <w:right w:val="single" w:color="auto" w:sz="4" w:space="0"/>
                  </w:tcBorders>
                  <w:noWrap w:val="0"/>
                  <w:vAlign w:val="center"/>
                </w:tcPr>
                <w:p w14:paraId="5B5C781A">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snapToGrid w:val="0"/>
                      <w:color w:val="000000" w:themeColor="text1"/>
                      <w:kern w:val="0"/>
                      <w:sz w:val="21"/>
                      <w:szCs w:val="21"/>
                      <w14:textFill>
                        <w14:solidFill>
                          <w14:schemeClr w14:val="tx1"/>
                        </w14:solidFill>
                      </w14:textFill>
                    </w:rPr>
                  </w:pPr>
                  <w:r>
                    <w:rPr>
                      <w:rFonts w:hint="default" w:ascii="Times New Roman" w:hAnsi="Times New Roman" w:cs="Times New Roman"/>
                      <w:bCs/>
                      <w:snapToGrid w:val="0"/>
                      <w:color w:val="000000" w:themeColor="text1"/>
                      <w:kern w:val="0"/>
                      <w:sz w:val="21"/>
                      <w:szCs w:val="21"/>
                      <w14:textFill>
                        <w14:solidFill>
                          <w14:schemeClr w14:val="tx1"/>
                        </w14:solidFill>
                      </w14:textFill>
                    </w:rPr>
                    <w:t>木焦油毒性：大鼠急性口服LD</w:t>
                  </w:r>
                  <w:r>
                    <w:rPr>
                      <w:rFonts w:hint="default" w:ascii="Times New Roman" w:hAnsi="Times New Roman" w:cs="Times New Roman"/>
                      <w:bCs/>
                      <w:snapToGrid w:val="0"/>
                      <w:color w:val="000000" w:themeColor="text1"/>
                      <w:kern w:val="0"/>
                      <w:sz w:val="21"/>
                      <w:szCs w:val="21"/>
                      <w:vertAlign w:val="subscript"/>
                      <w14:textFill>
                        <w14:solidFill>
                          <w14:schemeClr w14:val="tx1"/>
                        </w14:solidFill>
                      </w14:textFill>
                    </w:rPr>
                    <w:t>50</w:t>
                  </w:r>
                  <w:r>
                    <w:rPr>
                      <w:rFonts w:hint="default" w:ascii="Times New Roman" w:hAnsi="Times New Roman" w:cs="Times New Roman"/>
                      <w:bCs/>
                      <w:snapToGrid w:val="0"/>
                      <w:color w:val="000000" w:themeColor="text1"/>
                      <w:kern w:val="0"/>
                      <w:sz w:val="21"/>
                      <w:szCs w:val="21"/>
                      <w14:textFill>
                        <w14:solidFill>
                          <w14:schemeClr w14:val="tx1"/>
                        </w14:solidFill>
                      </w14:textFill>
                    </w:rPr>
                    <w:t>及兔子急性皮肤LD</w:t>
                  </w:r>
                  <w:r>
                    <w:rPr>
                      <w:rFonts w:hint="default" w:ascii="Times New Roman" w:hAnsi="Times New Roman" w:cs="Times New Roman"/>
                      <w:bCs/>
                      <w:snapToGrid w:val="0"/>
                      <w:color w:val="000000" w:themeColor="text1"/>
                      <w:kern w:val="0"/>
                      <w:sz w:val="21"/>
                      <w:szCs w:val="21"/>
                      <w:vertAlign w:val="subscript"/>
                      <w14:textFill>
                        <w14:solidFill>
                          <w14:schemeClr w14:val="tx1"/>
                        </w14:solidFill>
                      </w14:textFill>
                    </w:rPr>
                    <w:t>50</w:t>
                  </w:r>
                  <w:r>
                    <w:rPr>
                      <w:rFonts w:hint="default" w:ascii="Times New Roman" w:hAnsi="Times New Roman" w:cs="Times New Roman"/>
                      <w:bCs/>
                      <w:snapToGrid w:val="0"/>
                      <w:color w:val="000000" w:themeColor="text1"/>
                      <w:kern w:val="0"/>
                      <w:sz w:val="21"/>
                      <w:szCs w:val="21"/>
                      <w14:textFill>
                        <w14:solidFill>
                          <w14:schemeClr w14:val="tx1"/>
                        </w14:solidFill>
                      </w14:textFill>
                    </w:rPr>
                    <w:t>均＞5g，危险特性：受热、遇硝酸等强氧化剂有燃烧危险，健康危害：有腐蚀性，对身体有害。</w:t>
                  </w:r>
                </w:p>
              </w:tc>
            </w:tr>
            <w:tr w14:paraId="5B677FA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282" w:type="pct"/>
                  <w:tcBorders>
                    <w:top w:val="single" w:color="auto" w:sz="4" w:space="0"/>
                    <w:left w:val="single" w:color="auto" w:sz="4" w:space="0"/>
                    <w:bottom w:val="single" w:color="auto" w:sz="4" w:space="0"/>
                    <w:right w:val="single" w:color="auto" w:sz="4" w:space="0"/>
                  </w:tcBorders>
                  <w:noWrap w:val="0"/>
                  <w:vAlign w:val="center"/>
                </w:tcPr>
                <w:p w14:paraId="7D0BAE30">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snapToGrid w:val="0"/>
                      <w:color w:val="000000" w:themeColor="text1"/>
                      <w:kern w:val="0"/>
                      <w:sz w:val="21"/>
                      <w:szCs w:val="21"/>
                      <w14:textFill>
                        <w14:solidFill>
                          <w14:schemeClr w14:val="tx1"/>
                        </w14:solidFill>
                      </w14:textFill>
                    </w:rPr>
                  </w:pPr>
                  <w:r>
                    <w:rPr>
                      <w:rFonts w:hint="default" w:ascii="Times New Roman" w:hAnsi="Times New Roman" w:cs="Times New Roman"/>
                      <w:bCs/>
                      <w:snapToGrid w:val="0"/>
                      <w:color w:val="000000" w:themeColor="text1"/>
                      <w:kern w:val="0"/>
                      <w:sz w:val="21"/>
                      <w:szCs w:val="21"/>
                      <w14:textFill>
                        <w14:solidFill>
                          <w14:schemeClr w14:val="tx1"/>
                        </w14:solidFill>
                      </w14:textFill>
                    </w:rPr>
                    <w:t>3</w:t>
                  </w:r>
                </w:p>
              </w:tc>
              <w:tc>
                <w:tcPr>
                  <w:tcW w:w="524" w:type="pct"/>
                  <w:tcBorders>
                    <w:top w:val="single" w:color="auto" w:sz="4" w:space="0"/>
                    <w:left w:val="single" w:color="auto" w:sz="4" w:space="0"/>
                    <w:bottom w:val="single" w:color="auto" w:sz="4" w:space="0"/>
                    <w:right w:val="single" w:color="auto" w:sz="4" w:space="0"/>
                  </w:tcBorders>
                  <w:noWrap w:val="0"/>
                  <w:vAlign w:val="center"/>
                </w:tcPr>
                <w:p w14:paraId="2746E2DD">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snapToGrid w:val="0"/>
                      <w:color w:val="000000" w:themeColor="text1"/>
                      <w:kern w:val="0"/>
                      <w:sz w:val="21"/>
                      <w:szCs w:val="21"/>
                      <w14:textFill>
                        <w14:solidFill>
                          <w14:schemeClr w14:val="tx1"/>
                        </w14:solidFill>
                      </w14:textFill>
                    </w:rPr>
                  </w:pPr>
                  <w:r>
                    <w:rPr>
                      <w:rFonts w:hint="default" w:ascii="Times New Roman" w:hAnsi="Times New Roman" w:cs="Times New Roman"/>
                      <w:bCs/>
                      <w:snapToGrid w:val="0"/>
                      <w:color w:val="000000" w:themeColor="text1"/>
                      <w:kern w:val="0"/>
                      <w:sz w:val="21"/>
                      <w:szCs w:val="21"/>
                      <w14:textFill>
                        <w14:solidFill>
                          <w14:schemeClr w14:val="tx1"/>
                        </w14:solidFill>
                      </w14:textFill>
                    </w:rPr>
                    <w:t>木醋液</w:t>
                  </w:r>
                </w:p>
              </w:tc>
              <w:tc>
                <w:tcPr>
                  <w:tcW w:w="1489" w:type="pct"/>
                  <w:tcBorders>
                    <w:top w:val="single" w:color="auto" w:sz="4" w:space="0"/>
                    <w:left w:val="single" w:color="auto" w:sz="4" w:space="0"/>
                    <w:bottom w:val="single" w:color="auto" w:sz="4" w:space="0"/>
                    <w:right w:val="single" w:color="auto" w:sz="4" w:space="0"/>
                  </w:tcBorders>
                  <w:noWrap w:val="0"/>
                  <w:vAlign w:val="center"/>
                </w:tcPr>
                <w:p w14:paraId="516CFC82">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液体，主要成分为水、乙酸、酚类、酮类等化合物。其中水分含量90%左右。</w:t>
                  </w:r>
                </w:p>
              </w:tc>
              <w:tc>
                <w:tcPr>
                  <w:tcW w:w="2703" w:type="pct"/>
                  <w:tcBorders>
                    <w:top w:val="single" w:color="auto" w:sz="4" w:space="0"/>
                    <w:left w:val="single" w:color="auto" w:sz="4" w:space="0"/>
                    <w:bottom w:val="single" w:color="auto" w:sz="4" w:space="0"/>
                    <w:right w:val="single" w:color="auto" w:sz="4" w:space="0"/>
                  </w:tcBorders>
                  <w:noWrap w:val="0"/>
                  <w:vAlign w:val="center"/>
                </w:tcPr>
                <w:p w14:paraId="1B3E7A84">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snapToGrid w:val="0"/>
                      <w:color w:val="000000" w:themeColor="text1"/>
                      <w:kern w:val="0"/>
                      <w:sz w:val="21"/>
                      <w:szCs w:val="21"/>
                      <w14:textFill>
                        <w14:solidFill>
                          <w14:schemeClr w14:val="tx1"/>
                        </w14:solidFill>
                      </w14:textFill>
                    </w:rPr>
                  </w:pPr>
                  <w:r>
                    <w:rPr>
                      <w:rFonts w:hint="default" w:ascii="Times New Roman" w:hAnsi="Times New Roman" w:cs="Times New Roman"/>
                      <w:bCs/>
                      <w:snapToGrid w:val="0"/>
                      <w:color w:val="000000" w:themeColor="text1"/>
                      <w:kern w:val="0"/>
                      <w:sz w:val="21"/>
                      <w:szCs w:val="21"/>
                      <w14:textFill>
                        <w14:solidFill>
                          <w14:schemeClr w14:val="tx1"/>
                        </w14:solidFill>
                      </w14:textFill>
                    </w:rPr>
                    <w:t>无相关危险性资料，由于其中含乙酸、酚类、酮类等化合物，使其具有一定的腐蚀性和毒性。</w:t>
                  </w:r>
                </w:p>
              </w:tc>
            </w:tr>
          </w:tbl>
          <w:p w14:paraId="1CEDAD92">
            <w:pPr>
              <w:keepNext w:val="0"/>
              <w:keepLines w:val="0"/>
              <w:pageBreakBefore w:val="0"/>
              <w:widowControl w:val="0"/>
              <w:suppressLineNumbers w:val="0"/>
              <w:tabs>
                <w:tab w:val="left" w:pos="1081"/>
              </w:tabs>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outlineLvl w:val="9"/>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pP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（2）风险潜势初判</w:t>
            </w:r>
          </w:p>
          <w:p w14:paraId="31E39D38">
            <w:pPr>
              <w:keepNext w:val="0"/>
              <w:keepLines w:val="0"/>
              <w:pageBreakBefore w:val="0"/>
              <w:widowControl w:val="0"/>
              <w:suppressLineNumbers w:val="0"/>
              <w:tabs>
                <w:tab w:val="left" w:pos="1081"/>
              </w:tabs>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outlineLvl w:val="9"/>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pP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根据</w:t>
            </w:r>
            <w:r>
              <w:rPr>
                <w:rFonts w:hint="default" w:ascii="Times New Roman" w:hAnsi="Times New Roman" w:eastAsia="宋体" w:cs="Times New Roman"/>
                <w:color w:val="000000" w:themeColor="text1"/>
                <w:sz w:val="24"/>
                <w:szCs w:val="24"/>
                <w:highlight w:val="none"/>
                <w:u w:val="none" w:color="auto"/>
                <w:lang w:val="en-GB"/>
                <w14:textFill>
                  <w14:solidFill>
                    <w14:schemeClr w14:val="tx1"/>
                  </w14:solidFill>
                </w14:textFill>
              </w:rPr>
              <w:t>《建设项目环境风险评价技术导则》</w:t>
            </w: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（HJ169-2018）附录C中规定，危险物质数量与临界量比值Q即厂界内物质的最大存在总量与其在附录B中对应的临界量的比值。</w:t>
            </w:r>
          </w:p>
          <w:p w14:paraId="70208148">
            <w:pPr>
              <w:keepNext w:val="0"/>
              <w:keepLines w:val="0"/>
              <w:pageBreakBefore w:val="0"/>
              <w:widowControl w:val="0"/>
              <w:suppressLineNumbers w:val="0"/>
              <w:tabs>
                <w:tab w:val="left" w:pos="1081"/>
              </w:tabs>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outlineLvl w:val="9"/>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pP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当只涉及一种</w:t>
            </w:r>
            <w:r>
              <w:rPr>
                <w:rFonts w:hint="default" w:ascii="Times New Roman" w:hAnsi="Times New Roman" w:eastAsia="宋体" w:cs="Times New Roman"/>
                <w:color w:val="000000" w:themeColor="text1"/>
                <w:sz w:val="24"/>
                <w:szCs w:val="24"/>
                <w:highlight w:val="none"/>
                <w:u w:val="none" w:color="auto"/>
                <w:lang w:val="en-GB"/>
                <w14:textFill>
                  <w14:solidFill>
                    <w14:schemeClr w14:val="tx1"/>
                  </w14:solidFill>
                </w14:textFill>
              </w:rPr>
              <w:t>危险</w:t>
            </w: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物质时，计算该物质的总量预期临界量比值，即为Q；</w:t>
            </w:r>
          </w:p>
          <w:p w14:paraId="0C701C1B">
            <w:pPr>
              <w:keepNext w:val="0"/>
              <w:keepLines w:val="0"/>
              <w:pageBreakBefore w:val="0"/>
              <w:widowControl w:val="0"/>
              <w:suppressLineNumbers w:val="0"/>
              <w:tabs>
                <w:tab w:val="left" w:pos="1081"/>
              </w:tabs>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outlineLvl w:val="9"/>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pP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当存在多种危险物质时，则按下式计算物质总量与其临界量比值（Q）：</w:t>
            </w:r>
          </w:p>
          <w:p w14:paraId="28FE170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center"/>
              <w:textAlignment w:val="auto"/>
              <w:outlineLvl w:val="9"/>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pP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drawing>
                <wp:inline distT="0" distB="0" distL="114300" distR="114300">
                  <wp:extent cx="1939925" cy="437515"/>
                  <wp:effectExtent l="0" t="0" r="3175" b="635"/>
                  <wp:docPr id="5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3"/>
                          <pic:cNvPicPr>
                            <a:picLocks noChangeAspect="1"/>
                          </pic:cNvPicPr>
                        </pic:nvPicPr>
                        <pic:blipFill>
                          <a:blip r:embed="rId26"/>
                          <a:stretch>
                            <a:fillRect/>
                          </a:stretch>
                        </pic:blipFill>
                        <pic:spPr>
                          <a:xfrm>
                            <a:off x="0" y="0"/>
                            <a:ext cx="1939925" cy="437515"/>
                          </a:xfrm>
                          <a:prstGeom prst="rect">
                            <a:avLst/>
                          </a:prstGeom>
                          <a:noFill/>
                          <a:ln>
                            <a:noFill/>
                          </a:ln>
                        </pic:spPr>
                      </pic:pic>
                    </a:graphicData>
                  </a:graphic>
                </wp:inline>
              </w:drawing>
            </w:r>
          </w:p>
          <w:p w14:paraId="6963D099">
            <w:pPr>
              <w:keepNext w:val="0"/>
              <w:keepLines w:val="0"/>
              <w:pageBreakBefore w:val="0"/>
              <w:widowControl w:val="0"/>
              <w:suppressLineNumbers w:val="0"/>
              <w:tabs>
                <w:tab w:val="left" w:pos="1081"/>
              </w:tabs>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outlineLvl w:val="9"/>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pP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式中：q</w:t>
            </w:r>
            <w:r>
              <w:rPr>
                <w:rFonts w:hint="default" w:ascii="Times New Roman" w:hAnsi="Times New Roman" w:eastAsia="宋体" w:cs="Times New Roman"/>
                <w:color w:val="000000" w:themeColor="text1"/>
                <w:sz w:val="24"/>
                <w:szCs w:val="24"/>
                <w:highlight w:val="none"/>
                <w:u w:val="none" w:color="auto"/>
                <w:vertAlign w:val="subscript"/>
                <w14:textFill>
                  <w14:solidFill>
                    <w14:schemeClr w14:val="tx1"/>
                  </w14:solidFill>
                </w14:textFill>
              </w:rPr>
              <w:t>1</w:t>
            </w: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，q</w:t>
            </w:r>
            <w:r>
              <w:rPr>
                <w:rFonts w:hint="default" w:ascii="Times New Roman" w:hAnsi="Times New Roman" w:eastAsia="宋体" w:cs="Times New Roman"/>
                <w:color w:val="000000" w:themeColor="text1"/>
                <w:sz w:val="24"/>
                <w:szCs w:val="24"/>
                <w:highlight w:val="none"/>
                <w:u w:val="none" w:color="auto"/>
                <w:vertAlign w:val="subscript"/>
                <w14:textFill>
                  <w14:solidFill>
                    <w14:schemeClr w14:val="tx1"/>
                  </w14:solidFill>
                </w14:textFill>
              </w:rPr>
              <w:t>2</w:t>
            </w: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 , q</w:t>
            </w:r>
            <w:r>
              <w:rPr>
                <w:rFonts w:hint="default" w:ascii="Times New Roman" w:hAnsi="Times New Roman" w:eastAsia="宋体" w:cs="Times New Roman"/>
                <w:color w:val="000000" w:themeColor="text1"/>
                <w:sz w:val="24"/>
                <w:szCs w:val="24"/>
                <w:highlight w:val="none"/>
                <w:u w:val="none" w:color="auto"/>
                <w:vertAlign w:val="subscript"/>
                <w14:textFill>
                  <w14:solidFill>
                    <w14:schemeClr w14:val="tx1"/>
                  </w14:solidFill>
                </w14:textFill>
              </w:rPr>
              <w:t>n</w:t>
            </w: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—每种物质的最大存在总量，t；</w:t>
            </w:r>
          </w:p>
          <w:p w14:paraId="384EC10F">
            <w:pPr>
              <w:keepNext w:val="0"/>
              <w:keepLines w:val="0"/>
              <w:pageBreakBefore w:val="0"/>
              <w:widowControl w:val="0"/>
              <w:suppressLineNumbers w:val="0"/>
              <w:tabs>
                <w:tab w:val="left" w:pos="1081"/>
              </w:tabs>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outlineLvl w:val="9"/>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pP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Q</w:t>
            </w:r>
            <w:r>
              <w:rPr>
                <w:rFonts w:hint="default" w:ascii="Times New Roman" w:hAnsi="Times New Roman" w:eastAsia="宋体" w:cs="Times New Roman"/>
                <w:color w:val="000000" w:themeColor="text1"/>
                <w:sz w:val="24"/>
                <w:szCs w:val="24"/>
                <w:highlight w:val="none"/>
                <w:u w:val="none" w:color="auto"/>
                <w:vertAlign w:val="subscript"/>
                <w14:textFill>
                  <w14:solidFill>
                    <w14:schemeClr w14:val="tx1"/>
                  </w14:solidFill>
                </w14:textFill>
              </w:rPr>
              <w:t>1</w:t>
            </w: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，Q</w:t>
            </w:r>
            <w:r>
              <w:rPr>
                <w:rFonts w:hint="default" w:ascii="Times New Roman" w:hAnsi="Times New Roman" w:eastAsia="宋体" w:cs="Times New Roman"/>
                <w:color w:val="000000" w:themeColor="text1"/>
                <w:sz w:val="24"/>
                <w:szCs w:val="24"/>
                <w:highlight w:val="none"/>
                <w:u w:val="none" w:color="auto"/>
                <w:vertAlign w:val="subscript"/>
                <w14:textFill>
                  <w14:solidFill>
                    <w14:schemeClr w14:val="tx1"/>
                  </w14:solidFill>
                </w14:textFill>
              </w:rPr>
              <w:t>2</w:t>
            </w: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 xml:space="preserve">，… , </w:t>
            </w:r>
            <w:r>
              <w:rPr>
                <w:rFonts w:hint="default" w:ascii="Times New Roman" w:hAnsi="Times New Roman" w:eastAsia="宋体" w:cs="Times New Roman"/>
                <w:color w:val="000000" w:themeColor="text1"/>
                <w:sz w:val="24"/>
                <w:szCs w:val="24"/>
                <w:highlight w:val="none"/>
                <w:u w:val="none" w:color="auto"/>
                <w:lang w:val="en-GB"/>
                <w14:textFill>
                  <w14:solidFill>
                    <w14:schemeClr w14:val="tx1"/>
                  </w14:solidFill>
                </w14:textFill>
              </w:rPr>
              <w:t>Qn</w:t>
            </w: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—每种物质的临界量，t</w:t>
            </w:r>
          </w:p>
          <w:p w14:paraId="33648909">
            <w:pPr>
              <w:keepNext w:val="0"/>
              <w:keepLines w:val="0"/>
              <w:pageBreakBefore w:val="0"/>
              <w:widowControl w:val="0"/>
              <w:suppressLineNumbers w:val="0"/>
              <w:tabs>
                <w:tab w:val="left" w:pos="1081"/>
              </w:tabs>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outlineLvl w:val="9"/>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pP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当Q＜1时，该项目环境风险潜势为Ⅰ。</w:t>
            </w:r>
          </w:p>
          <w:p w14:paraId="787D5CD7">
            <w:pPr>
              <w:keepNext w:val="0"/>
              <w:keepLines w:val="0"/>
              <w:pageBreakBefore w:val="0"/>
              <w:widowControl w:val="0"/>
              <w:suppressLineNumbers w:val="0"/>
              <w:tabs>
                <w:tab w:val="left" w:pos="1081"/>
              </w:tabs>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outlineLvl w:val="9"/>
              <w:rPr>
                <w:rFonts w:hint="eastAsia" w:ascii="Times New Roman" w:hAnsi="Times New Roman" w:eastAsia="宋体" w:cs="Times New Roman"/>
                <w:color w:val="000000" w:themeColor="text1"/>
                <w:sz w:val="24"/>
                <w:szCs w:val="24"/>
                <w:highlight w:val="none"/>
                <w:u w:val="none" w:color="auto"/>
                <w:lang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根据《建设项目环境风险评价技术导则》（HJ169-2018）附录B表B.1及《危险化学品重大危险源辨识》（GB18218-2009）中附表2、表3中各物质及化学品有关的临界量，计算风险物质在厂界内的最大存在量与临界量的比值Q</w:t>
            </w:r>
            <w:r>
              <w:rPr>
                <w:rFonts w:hint="eastAsia" w:ascii="Times New Roman" w:hAnsi="Times New Roman" w:eastAsia="宋体" w:cs="Times New Roman"/>
                <w:color w:val="000000" w:themeColor="text1"/>
                <w:sz w:val="24"/>
                <w:szCs w:val="24"/>
                <w:highlight w:val="none"/>
                <w:u w:val="none" w:color="auto"/>
                <w:lang w:eastAsia="zh-CN"/>
                <w14:textFill>
                  <w14:solidFill>
                    <w14:schemeClr w14:val="tx1"/>
                  </w14:solidFill>
                </w14:textFill>
              </w:rPr>
              <w:t>。</w:t>
            </w:r>
          </w:p>
          <w:p w14:paraId="05D58F8C">
            <w:pPr>
              <w:keepNext w:val="0"/>
              <w:keepLines w:val="0"/>
              <w:pageBreakBefore w:val="0"/>
              <w:widowControl w:val="0"/>
              <w:suppressLineNumbers w:val="0"/>
              <w:tabs>
                <w:tab w:val="left" w:pos="1081"/>
              </w:tabs>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outlineLvl w:val="9"/>
              <w:rPr>
                <w:rFonts w:hint="default" w:ascii="Times New Roman" w:hAnsi="Times New Roman" w:eastAsia="宋体" w:cs="Times New Roman"/>
                <w:b/>
                <w:color w:val="000000" w:themeColor="text1"/>
                <w:kern w:val="2"/>
                <w:sz w:val="24"/>
                <w:szCs w:val="24"/>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4"/>
                <w:szCs w:val="24"/>
                <w:highlight w:val="none"/>
                <w:u w:val="none" w:color="auto"/>
                <w:lang w:val="en-US" w:eastAsia="zh-CN"/>
                <w14:textFill>
                  <w14:solidFill>
                    <w14:schemeClr w14:val="tx1"/>
                  </w14:solidFill>
                </w14:textFill>
              </w:rPr>
              <w:t>根据上文项目主要原辅材料及能源消耗一览表以及项目危险废物产生及处置情况一览表，</w:t>
            </w: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本项目危险物质数量与临界量比值见下表。</w:t>
            </w:r>
          </w:p>
          <w:p w14:paraId="090C717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jc w:val="center"/>
              <w:textAlignment w:val="auto"/>
              <w:rPr>
                <w:rFonts w:hint="default" w:ascii="Times New Roman" w:hAnsi="Times New Roman" w:eastAsia="宋体" w:cs="Times New Roman"/>
                <w:b/>
                <w:color w:val="000000" w:themeColor="text1"/>
                <w:kern w:val="2"/>
                <w:sz w:val="24"/>
                <w:szCs w:val="24"/>
                <w:highlight w:val="none"/>
                <w:u w:val="none" w:color="auto"/>
                <w:lang w:val="en-US" w:eastAsia="zh-CN" w:bidi="ar-SA"/>
                <w14:textFill>
                  <w14:solidFill>
                    <w14:schemeClr w14:val="tx1"/>
                  </w14:solidFill>
                </w14:textFill>
              </w:rPr>
            </w:pPr>
            <w:r>
              <w:rPr>
                <w:rFonts w:hint="default" w:ascii="Times New Roman" w:hAnsi="Times New Roman" w:eastAsia="宋体" w:cs="Times New Roman"/>
                <w:b/>
                <w:color w:val="000000" w:themeColor="text1"/>
                <w:kern w:val="2"/>
                <w:sz w:val="24"/>
                <w:szCs w:val="24"/>
                <w:highlight w:val="none"/>
                <w:u w:val="none" w:color="auto"/>
                <w:lang w:val="en-US" w:eastAsia="zh-CN" w:bidi="ar-SA"/>
                <w14:textFill>
                  <w14:solidFill>
                    <w14:schemeClr w14:val="tx1"/>
                  </w14:solidFill>
                </w14:textFill>
              </w:rPr>
              <w:t>表4-</w:t>
            </w:r>
            <w:r>
              <w:rPr>
                <w:rFonts w:hint="eastAsia" w:ascii="Times New Roman" w:hAnsi="Times New Roman" w:eastAsia="宋体" w:cs="Times New Roman"/>
                <w:b/>
                <w:color w:val="000000" w:themeColor="text1"/>
                <w:kern w:val="2"/>
                <w:sz w:val="24"/>
                <w:szCs w:val="24"/>
                <w:highlight w:val="none"/>
                <w:u w:val="none" w:color="auto"/>
                <w:lang w:val="en-US" w:eastAsia="zh-CN" w:bidi="ar-SA"/>
                <w14:textFill>
                  <w14:solidFill>
                    <w14:schemeClr w14:val="tx1"/>
                  </w14:solidFill>
                </w14:textFill>
              </w:rPr>
              <w:t>25</w:t>
            </w:r>
            <w:r>
              <w:rPr>
                <w:rFonts w:hint="eastAsia" w:cs="Times New Roman"/>
                <w:b/>
                <w:color w:val="000000" w:themeColor="text1"/>
                <w:kern w:val="2"/>
                <w:sz w:val="24"/>
                <w:szCs w:val="24"/>
                <w:highlight w:val="none"/>
                <w:u w:val="none" w:color="auto"/>
                <w:lang w:val="en-US" w:eastAsia="zh-CN" w:bidi="ar-SA"/>
                <w14:textFill>
                  <w14:solidFill>
                    <w14:schemeClr w14:val="tx1"/>
                  </w14:solidFill>
                </w14:textFill>
              </w:rPr>
              <w:t xml:space="preserve"> </w:t>
            </w:r>
            <w:r>
              <w:rPr>
                <w:rFonts w:hint="default" w:ascii="Times New Roman" w:hAnsi="Times New Roman" w:eastAsia="宋体" w:cs="Times New Roman"/>
                <w:b/>
                <w:color w:val="000000" w:themeColor="text1"/>
                <w:kern w:val="2"/>
                <w:sz w:val="24"/>
                <w:szCs w:val="24"/>
                <w:highlight w:val="none"/>
                <w:u w:val="none" w:color="auto"/>
                <w:lang w:val="en-US" w:eastAsia="zh-CN" w:bidi="ar-SA"/>
                <w14:textFill>
                  <w14:solidFill>
                    <w14:schemeClr w14:val="tx1"/>
                  </w14:solidFill>
                </w14:textFill>
              </w:rPr>
              <w:t xml:space="preserve"> 项目危险物质与临界量比值表</w:t>
            </w:r>
          </w:p>
          <w:tbl>
            <w:tblPr>
              <w:tblStyle w:val="2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59"/>
              <w:gridCol w:w="972"/>
              <w:gridCol w:w="2010"/>
              <w:gridCol w:w="1976"/>
              <w:gridCol w:w="1046"/>
              <w:gridCol w:w="2390"/>
            </w:tblGrid>
            <w:tr w14:paraId="280EEB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60" w:type="pct"/>
                  <w:tcBorders>
                    <w:top w:val="single" w:color="auto" w:sz="4" w:space="0"/>
                    <w:left w:val="single" w:color="auto" w:sz="4" w:space="0"/>
                    <w:bottom w:val="single" w:color="auto" w:sz="4" w:space="0"/>
                    <w:right w:val="single" w:color="auto" w:sz="4" w:space="0"/>
                  </w:tcBorders>
                  <w:noWrap w:val="0"/>
                  <w:vAlign w:val="center"/>
                </w:tcPr>
                <w:p w14:paraId="09CB53DA">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危险单元名称</w:t>
                  </w:r>
                </w:p>
              </w:tc>
              <w:tc>
                <w:tcPr>
                  <w:tcW w:w="1577" w:type="pct"/>
                  <w:gridSpan w:val="2"/>
                  <w:tcBorders>
                    <w:top w:val="single" w:color="auto" w:sz="4" w:space="0"/>
                    <w:left w:val="nil"/>
                    <w:bottom w:val="single" w:color="auto" w:sz="4" w:space="0"/>
                    <w:right w:val="single" w:color="auto" w:sz="4" w:space="0"/>
                  </w:tcBorders>
                  <w:noWrap w:val="0"/>
                  <w:vAlign w:val="center"/>
                </w:tcPr>
                <w:p w14:paraId="5426B76A">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风险物质</w:t>
                  </w:r>
                </w:p>
              </w:tc>
              <w:tc>
                <w:tcPr>
                  <w:tcW w:w="1045" w:type="pct"/>
                  <w:tcBorders>
                    <w:top w:val="single" w:color="auto" w:sz="4" w:space="0"/>
                    <w:left w:val="nil"/>
                    <w:bottom w:val="single" w:color="auto" w:sz="4" w:space="0"/>
                    <w:right w:val="single" w:color="auto" w:sz="4" w:space="0"/>
                  </w:tcBorders>
                  <w:noWrap w:val="0"/>
                  <w:vAlign w:val="center"/>
                </w:tcPr>
                <w:p w14:paraId="414669E3">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实际最大存在量</w:t>
                  </w:r>
                </w:p>
              </w:tc>
              <w:tc>
                <w:tcPr>
                  <w:tcW w:w="551" w:type="pct"/>
                  <w:tcBorders>
                    <w:top w:val="single" w:color="auto" w:sz="4" w:space="0"/>
                    <w:left w:val="nil"/>
                    <w:bottom w:val="single" w:color="auto" w:sz="4" w:space="0"/>
                    <w:right w:val="single" w:color="auto" w:sz="4" w:space="0"/>
                  </w:tcBorders>
                  <w:noWrap w:val="0"/>
                  <w:vAlign w:val="center"/>
                </w:tcPr>
                <w:p w14:paraId="1271580B">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临界量t</w:t>
                  </w:r>
                </w:p>
              </w:tc>
              <w:tc>
                <w:tcPr>
                  <w:tcW w:w="1264" w:type="pct"/>
                  <w:tcBorders>
                    <w:top w:val="single" w:color="auto" w:sz="4" w:space="0"/>
                    <w:left w:val="nil"/>
                    <w:bottom w:val="single" w:color="auto" w:sz="4" w:space="0"/>
                    <w:right w:val="single" w:color="auto" w:sz="4" w:space="0"/>
                  </w:tcBorders>
                  <w:noWrap w:val="0"/>
                  <w:vAlign w:val="center"/>
                </w:tcPr>
                <w:p w14:paraId="413E9C3A">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危险物质数量与临界量比值（Q）</w:t>
                  </w:r>
                </w:p>
              </w:tc>
            </w:tr>
            <w:tr w14:paraId="291DC9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60" w:type="pct"/>
                  <w:vMerge w:val="restart"/>
                  <w:tcBorders>
                    <w:top w:val="nil"/>
                    <w:left w:val="single" w:color="auto" w:sz="4" w:space="0"/>
                    <w:right w:val="single" w:color="auto" w:sz="4" w:space="0"/>
                  </w:tcBorders>
                  <w:noWrap w:val="0"/>
                  <w:vAlign w:val="center"/>
                </w:tcPr>
                <w:p w14:paraId="485DE97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机制炭生产车间</w:t>
                  </w:r>
                </w:p>
              </w:tc>
              <w:tc>
                <w:tcPr>
                  <w:tcW w:w="514" w:type="pct"/>
                  <w:vMerge w:val="restart"/>
                  <w:tcBorders>
                    <w:top w:val="single" w:color="auto" w:sz="4" w:space="0"/>
                    <w:left w:val="nil"/>
                    <w:right w:val="single" w:color="auto" w:sz="4" w:space="0"/>
                  </w:tcBorders>
                  <w:noWrap w:val="0"/>
                  <w:vAlign w:val="center"/>
                </w:tcPr>
                <w:p w14:paraId="3045959C">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木煤气最大量9.585t</w:t>
                  </w:r>
                </w:p>
              </w:tc>
              <w:tc>
                <w:tcPr>
                  <w:tcW w:w="1063" w:type="pct"/>
                  <w:tcBorders>
                    <w:top w:val="single" w:color="auto" w:sz="4" w:space="0"/>
                    <w:left w:val="nil"/>
                    <w:right w:val="single" w:color="auto" w:sz="4" w:space="0"/>
                  </w:tcBorders>
                  <w:shd w:val="clear" w:color="auto" w:fill="auto"/>
                  <w:noWrap w:val="0"/>
                  <w:vAlign w:val="center"/>
                </w:tcPr>
                <w:p w14:paraId="0C6F6AED">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Cs/>
                      <w:snapToGrid w:val="0"/>
                      <w:color w:val="000000" w:themeColor="text1"/>
                      <w:kern w:val="0"/>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CO（25%）</w:t>
                  </w:r>
                </w:p>
              </w:tc>
              <w:tc>
                <w:tcPr>
                  <w:tcW w:w="1045" w:type="pct"/>
                  <w:tcBorders>
                    <w:top w:val="single" w:color="auto" w:sz="4" w:space="0"/>
                    <w:left w:val="nil"/>
                    <w:right w:val="single" w:color="auto" w:sz="4" w:space="0"/>
                  </w:tcBorders>
                  <w:noWrap w:val="0"/>
                  <w:vAlign w:val="center"/>
                </w:tcPr>
                <w:p w14:paraId="51EA94AF">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2.396</w:t>
                  </w:r>
                </w:p>
              </w:tc>
              <w:tc>
                <w:tcPr>
                  <w:tcW w:w="551" w:type="pct"/>
                  <w:tcBorders>
                    <w:top w:val="single" w:color="auto" w:sz="4" w:space="0"/>
                    <w:left w:val="nil"/>
                    <w:right w:val="single" w:color="auto" w:sz="4" w:space="0"/>
                  </w:tcBorders>
                  <w:shd w:val="clear" w:color="auto" w:fill="auto"/>
                  <w:noWrap w:val="0"/>
                  <w:vAlign w:val="center"/>
                </w:tcPr>
                <w:p w14:paraId="1CC4846A">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7.5</w:t>
                  </w:r>
                </w:p>
              </w:tc>
              <w:tc>
                <w:tcPr>
                  <w:tcW w:w="1264" w:type="pct"/>
                  <w:tcBorders>
                    <w:top w:val="single" w:color="auto" w:sz="4" w:space="0"/>
                    <w:left w:val="nil"/>
                    <w:right w:val="single" w:color="auto" w:sz="4" w:space="0"/>
                  </w:tcBorders>
                  <w:noWrap w:val="0"/>
                  <w:vAlign w:val="center"/>
                </w:tcPr>
                <w:p w14:paraId="6D453C99">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0.31947</w:t>
                  </w:r>
                </w:p>
              </w:tc>
            </w:tr>
            <w:tr w14:paraId="4F9048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60" w:type="pct"/>
                  <w:vMerge w:val="continue"/>
                  <w:tcBorders>
                    <w:left w:val="single" w:color="auto" w:sz="4" w:space="0"/>
                    <w:right w:val="single" w:color="auto" w:sz="4" w:space="0"/>
                  </w:tcBorders>
                  <w:noWrap w:val="0"/>
                  <w:vAlign w:val="center"/>
                </w:tcPr>
                <w:p w14:paraId="6EF5AE4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514" w:type="pct"/>
                  <w:vMerge w:val="continue"/>
                  <w:tcBorders>
                    <w:left w:val="nil"/>
                    <w:right w:val="single" w:color="auto" w:sz="4" w:space="0"/>
                  </w:tcBorders>
                  <w:noWrap w:val="0"/>
                  <w:vAlign w:val="center"/>
                </w:tcPr>
                <w:p w14:paraId="09177DEC">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p>
              </w:tc>
              <w:tc>
                <w:tcPr>
                  <w:tcW w:w="1063" w:type="pct"/>
                  <w:tcBorders>
                    <w:top w:val="single" w:color="auto" w:sz="4" w:space="0"/>
                    <w:left w:val="nil"/>
                    <w:right w:val="single" w:color="auto" w:sz="4" w:space="0"/>
                  </w:tcBorders>
                  <w:shd w:val="clear" w:color="auto" w:fill="auto"/>
                  <w:noWrap w:val="0"/>
                  <w:vAlign w:val="center"/>
                </w:tcPr>
                <w:p w14:paraId="36114270">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Cs/>
                      <w:snapToGrid w:val="0"/>
                      <w:color w:val="000000" w:themeColor="text1"/>
                      <w:kern w:val="0"/>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CH</w:t>
                  </w:r>
                  <w:r>
                    <w:rPr>
                      <w:rFonts w:hint="default" w:ascii="Times New Roman" w:hAnsi="Times New Roman" w:cs="Times New Roman"/>
                      <w:color w:val="000000" w:themeColor="text1"/>
                      <w:sz w:val="21"/>
                      <w:szCs w:val="21"/>
                      <w:vertAlign w:val="subscript"/>
                      <w14:textFill>
                        <w14:solidFill>
                          <w14:schemeClr w14:val="tx1"/>
                        </w14:solidFill>
                      </w14:textFill>
                    </w:rPr>
                    <w:t>4</w:t>
                  </w:r>
                  <w:r>
                    <w:rPr>
                      <w:rFonts w:hint="default" w:ascii="Times New Roman" w:hAnsi="Times New Roman" w:cs="Times New Roman"/>
                      <w:color w:val="000000" w:themeColor="text1"/>
                      <w:sz w:val="21"/>
                      <w:szCs w:val="21"/>
                      <w14:textFill>
                        <w14:solidFill>
                          <w14:schemeClr w14:val="tx1"/>
                        </w14:solidFill>
                      </w14:textFill>
                    </w:rPr>
                    <w:t>（9%）</w:t>
                  </w:r>
                </w:p>
              </w:tc>
              <w:tc>
                <w:tcPr>
                  <w:tcW w:w="1045" w:type="pct"/>
                  <w:tcBorders>
                    <w:top w:val="single" w:color="auto" w:sz="4" w:space="0"/>
                    <w:left w:val="nil"/>
                    <w:right w:val="single" w:color="auto" w:sz="4" w:space="0"/>
                  </w:tcBorders>
                  <w:noWrap w:val="0"/>
                  <w:vAlign w:val="center"/>
                </w:tcPr>
                <w:p w14:paraId="110FAEC2">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0.863</w:t>
                  </w:r>
                </w:p>
              </w:tc>
              <w:tc>
                <w:tcPr>
                  <w:tcW w:w="551" w:type="pct"/>
                  <w:tcBorders>
                    <w:top w:val="single" w:color="auto" w:sz="4" w:space="0"/>
                    <w:left w:val="nil"/>
                    <w:right w:val="single" w:color="auto" w:sz="4" w:space="0"/>
                  </w:tcBorders>
                  <w:shd w:val="clear" w:color="auto" w:fill="auto"/>
                  <w:noWrap w:val="0"/>
                  <w:vAlign w:val="center"/>
                </w:tcPr>
                <w:p w14:paraId="3F526C9B">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10</w:t>
                  </w:r>
                </w:p>
              </w:tc>
              <w:tc>
                <w:tcPr>
                  <w:tcW w:w="1264" w:type="pct"/>
                  <w:tcBorders>
                    <w:top w:val="single" w:color="auto" w:sz="4" w:space="0"/>
                    <w:left w:val="nil"/>
                    <w:right w:val="single" w:color="auto" w:sz="4" w:space="0"/>
                  </w:tcBorders>
                  <w:noWrap w:val="0"/>
                  <w:vAlign w:val="center"/>
                </w:tcPr>
                <w:p w14:paraId="00BFD8C8">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0.0863</w:t>
                  </w:r>
                </w:p>
              </w:tc>
            </w:tr>
            <w:tr w14:paraId="0D9373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60" w:type="pct"/>
                  <w:vMerge w:val="continue"/>
                  <w:tcBorders>
                    <w:left w:val="single" w:color="auto" w:sz="4" w:space="0"/>
                    <w:right w:val="single" w:color="auto" w:sz="4" w:space="0"/>
                  </w:tcBorders>
                  <w:noWrap w:val="0"/>
                  <w:vAlign w:val="center"/>
                </w:tcPr>
                <w:p w14:paraId="56588E5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514" w:type="pct"/>
                  <w:vMerge w:val="continue"/>
                  <w:tcBorders>
                    <w:left w:val="nil"/>
                    <w:right w:val="single" w:color="auto" w:sz="4" w:space="0"/>
                  </w:tcBorders>
                  <w:noWrap w:val="0"/>
                  <w:vAlign w:val="center"/>
                </w:tcPr>
                <w:p w14:paraId="26370D37">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p>
              </w:tc>
              <w:tc>
                <w:tcPr>
                  <w:tcW w:w="1063" w:type="pct"/>
                  <w:tcBorders>
                    <w:top w:val="single" w:color="auto" w:sz="4" w:space="0"/>
                    <w:left w:val="nil"/>
                    <w:right w:val="single" w:color="auto" w:sz="4" w:space="0"/>
                  </w:tcBorders>
                  <w:shd w:val="clear" w:color="auto" w:fill="auto"/>
                  <w:noWrap w:val="0"/>
                  <w:vAlign w:val="center"/>
                </w:tcPr>
                <w:p w14:paraId="49CF3985">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Cs/>
                      <w:snapToGrid w:val="0"/>
                      <w:color w:val="000000" w:themeColor="text1"/>
                      <w:kern w:val="0"/>
                      <w:sz w:val="21"/>
                      <w:szCs w:val="21"/>
                      <w:lang w:val="en-US" w:eastAsia="zh-CN" w:bidi="ar-SA"/>
                      <w14:textFill>
                        <w14:solidFill>
                          <w14:schemeClr w14:val="tx1"/>
                        </w14:solidFill>
                      </w14:textFill>
                    </w:rPr>
                  </w:pPr>
                  <w:r>
                    <w:rPr>
                      <w:rFonts w:hint="default" w:ascii="Times New Roman" w:hAnsi="Times New Roman" w:cs="Times New Roman"/>
                      <w:bCs/>
                      <w:snapToGrid w:val="0"/>
                      <w:color w:val="000000" w:themeColor="text1"/>
                      <w:kern w:val="0"/>
                      <w:sz w:val="21"/>
                      <w:szCs w:val="21"/>
                      <w14:textFill>
                        <w14:solidFill>
                          <w14:schemeClr w14:val="tx1"/>
                        </w14:solidFill>
                      </w14:textFill>
                    </w:rPr>
                    <w:t>乙烯（</w:t>
                  </w:r>
                  <w:r>
                    <w:rPr>
                      <w:rFonts w:hint="default" w:ascii="Times New Roman" w:hAnsi="Times New Roman" w:cs="Times New Roman"/>
                      <w:color w:val="000000" w:themeColor="text1"/>
                      <w:sz w:val="21"/>
                      <w:szCs w:val="21"/>
                      <w14:textFill>
                        <w14:solidFill>
                          <w14:schemeClr w14:val="tx1"/>
                        </w14:solidFill>
                      </w14:textFill>
                    </w:rPr>
                    <w:t>1.5%</w:t>
                  </w:r>
                  <w:r>
                    <w:rPr>
                      <w:rFonts w:hint="default" w:ascii="Times New Roman" w:hAnsi="Times New Roman" w:cs="Times New Roman"/>
                      <w:bCs/>
                      <w:snapToGrid w:val="0"/>
                      <w:color w:val="000000" w:themeColor="text1"/>
                      <w:kern w:val="0"/>
                      <w:sz w:val="21"/>
                      <w:szCs w:val="21"/>
                      <w14:textFill>
                        <w14:solidFill>
                          <w14:schemeClr w14:val="tx1"/>
                        </w14:solidFill>
                      </w14:textFill>
                    </w:rPr>
                    <w:t>）</w:t>
                  </w:r>
                </w:p>
              </w:tc>
              <w:tc>
                <w:tcPr>
                  <w:tcW w:w="1045" w:type="pct"/>
                  <w:tcBorders>
                    <w:top w:val="single" w:color="auto" w:sz="4" w:space="0"/>
                    <w:left w:val="nil"/>
                    <w:right w:val="single" w:color="auto" w:sz="4" w:space="0"/>
                  </w:tcBorders>
                  <w:noWrap w:val="0"/>
                  <w:vAlign w:val="center"/>
                </w:tcPr>
                <w:p w14:paraId="3AA7E698">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0.144</w:t>
                  </w:r>
                </w:p>
              </w:tc>
              <w:tc>
                <w:tcPr>
                  <w:tcW w:w="551" w:type="pct"/>
                  <w:tcBorders>
                    <w:top w:val="single" w:color="auto" w:sz="4" w:space="0"/>
                    <w:left w:val="nil"/>
                    <w:right w:val="single" w:color="auto" w:sz="4" w:space="0"/>
                  </w:tcBorders>
                  <w:shd w:val="clear" w:color="auto" w:fill="auto"/>
                  <w:noWrap w:val="0"/>
                  <w:vAlign w:val="center"/>
                </w:tcPr>
                <w:p w14:paraId="28844BDF">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10</w:t>
                  </w:r>
                </w:p>
              </w:tc>
              <w:tc>
                <w:tcPr>
                  <w:tcW w:w="1264" w:type="pct"/>
                  <w:tcBorders>
                    <w:top w:val="single" w:color="auto" w:sz="4" w:space="0"/>
                    <w:left w:val="nil"/>
                    <w:right w:val="single" w:color="auto" w:sz="4" w:space="0"/>
                  </w:tcBorders>
                  <w:noWrap w:val="0"/>
                  <w:vAlign w:val="center"/>
                </w:tcPr>
                <w:p w14:paraId="3DC8D3AC">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0.0144</w:t>
                  </w:r>
                </w:p>
              </w:tc>
            </w:tr>
            <w:tr w14:paraId="362B0E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60" w:type="pct"/>
                  <w:vMerge w:val="continue"/>
                  <w:tcBorders>
                    <w:left w:val="single" w:color="auto" w:sz="4" w:space="0"/>
                    <w:right w:val="single" w:color="auto" w:sz="4" w:space="0"/>
                  </w:tcBorders>
                  <w:noWrap w:val="0"/>
                  <w:vAlign w:val="center"/>
                </w:tcPr>
                <w:p w14:paraId="3D5F39F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514" w:type="pct"/>
                  <w:vMerge w:val="continue"/>
                  <w:tcBorders>
                    <w:left w:val="nil"/>
                    <w:right w:val="single" w:color="auto" w:sz="4" w:space="0"/>
                  </w:tcBorders>
                  <w:noWrap w:val="0"/>
                  <w:vAlign w:val="center"/>
                </w:tcPr>
                <w:p w14:paraId="6036B374">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p>
              </w:tc>
              <w:tc>
                <w:tcPr>
                  <w:tcW w:w="1063" w:type="pct"/>
                  <w:tcBorders>
                    <w:top w:val="single" w:color="auto" w:sz="4" w:space="0"/>
                    <w:left w:val="nil"/>
                    <w:right w:val="single" w:color="auto" w:sz="4" w:space="0"/>
                  </w:tcBorders>
                  <w:shd w:val="clear" w:color="auto" w:fill="auto"/>
                  <w:noWrap w:val="0"/>
                  <w:vAlign w:val="center"/>
                </w:tcPr>
                <w:p w14:paraId="1724A6F5">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bCs/>
                      <w:snapToGrid w:val="0"/>
                      <w:color w:val="000000" w:themeColor="text1"/>
                      <w:kern w:val="0"/>
                      <w:sz w:val="21"/>
                      <w:szCs w:val="21"/>
                      <w14:textFill>
                        <w14:solidFill>
                          <w14:schemeClr w14:val="tx1"/>
                        </w14:solidFill>
                      </w14:textFill>
                    </w:rPr>
                    <w:t>H</w:t>
                  </w:r>
                  <w:r>
                    <w:rPr>
                      <w:rFonts w:hint="default" w:ascii="Times New Roman" w:hAnsi="Times New Roman" w:cs="Times New Roman"/>
                      <w:bCs/>
                      <w:snapToGrid w:val="0"/>
                      <w:color w:val="000000" w:themeColor="text1"/>
                      <w:kern w:val="0"/>
                      <w:sz w:val="21"/>
                      <w:szCs w:val="21"/>
                      <w:vertAlign w:val="subscript"/>
                      <w14:textFill>
                        <w14:solidFill>
                          <w14:schemeClr w14:val="tx1"/>
                        </w14:solidFill>
                      </w14:textFill>
                    </w:rPr>
                    <w:t>2</w:t>
                  </w:r>
                  <w:r>
                    <w:rPr>
                      <w:rFonts w:hint="default" w:ascii="Times New Roman" w:hAnsi="Times New Roman" w:cs="Times New Roman"/>
                      <w:bCs/>
                      <w:snapToGrid w:val="0"/>
                      <w:color w:val="000000" w:themeColor="text1"/>
                      <w:kern w:val="0"/>
                      <w:sz w:val="21"/>
                      <w:szCs w:val="21"/>
                      <w14:textFill>
                        <w14:solidFill>
                          <w14:schemeClr w14:val="tx1"/>
                        </w14:solidFill>
                      </w14:textFill>
                    </w:rPr>
                    <w:t>（</w:t>
                  </w:r>
                  <w:r>
                    <w:rPr>
                      <w:rFonts w:hint="default" w:ascii="Times New Roman" w:hAnsi="Times New Roman" w:cs="Times New Roman"/>
                      <w:color w:val="000000" w:themeColor="text1"/>
                      <w:sz w:val="21"/>
                      <w:szCs w:val="21"/>
                      <w14:textFill>
                        <w14:solidFill>
                          <w14:schemeClr w14:val="tx1"/>
                        </w14:solidFill>
                      </w14:textFill>
                    </w:rPr>
                    <w:t>1.5%</w:t>
                  </w:r>
                  <w:r>
                    <w:rPr>
                      <w:rFonts w:hint="default" w:ascii="Times New Roman" w:hAnsi="Times New Roman" w:cs="Times New Roman"/>
                      <w:bCs/>
                      <w:snapToGrid w:val="0"/>
                      <w:color w:val="000000" w:themeColor="text1"/>
                      <w:kern w:val="0"/>
                      <w:sz w:val="21"/>
                      <w:szCs w:val="21"/>
                      <w14:textFill>
                        <w14:solidFill>
                          <w14:schemeClr w14:val="tx1"/>
                        </w14:solidFill>
                      </w14:textFill>
                    </w:rPr>
                    <w:t>）</w:t>
                  </w:r>
                </w:p>
              </w:tc>
              <w:tc>
                <w:tcPr>
                  <w:tcW w:w="1045" w:type="pct"/>
                  <w:tcBorders>
                    <w:top w:val="single" w:color="auto" w:sz="4" w:space="0"/>
                    <w:left w:val="nil"/>
                    <w:right w:val="single" w:color="auto" w:sz="4" w:space="0"/>
                  </w:tcBorders>
                  <w:noWrap w:val="0"/>
                  <w:vAlign w:val="center"/>
                </w:tcPr>
                <w:p w14:paraId="04DA2BA5">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0.144</w:t>
                  </w:r>
                </w:p>
              </w:tc>
              <w:tc>
                <w:tcPr>
                  <w:tcW w:w="551" w:type="pct"/>
                  <w:tcBorders>
                    <w:top w:val="single" w:color="auto" w:sz="4" w:space="0"/>
                    <w:left w:val="nil"/>
                    <w:right w:val="single" w:color="auto" w:sz="4" w:space="0"/>
                  </w:tcBorders>
                  <w:shd w:val="clear" w:color="auto" w:fill="auto"/>
                  <w:noWrap w:val="0"/>
                  <w:vAlign w:val="center"/>
                </w:tcPr>
                <w:p w14:paraId="204764E8">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w:t>
                  </w:r>
                </w:p>
              </w:tc>
              <w:tc>
                <w:tcPr>
                  <w:tcW w:w="1264" w:type="pct"/>
                  <w:tcBorders>
                    <w:top w:val="single" w:color="auto" w:sz="4" w:space="0"/>
                    <w:left w:val="nil"/>
                    <w:right w:val="single" w:color="auto" w:sz="4" w:space="0"/>
                  </w:tcBorders>
                  <w:noWrap w:val="0"/>
                  <w:vAlign w:val="center"/>
                </w:tcPr>
                <w:p w14:paraId="02AC7B1C">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w:t>
                  </w:r>
                </w:p>
              </w:tc>
            </w:tr>
            <w:tr w14:paraId="5A1267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60" w:type="pct"/>
                  <w:vMerge w:val="continue"/>
                  <w:tcBorders>
                    <w:left w:val="single" w:color="auto" w:sz="4" w:space="0"/>
                    <w:right w:val="single" w:color="auto" w:sz="4" w:space="0"/>
                  </w:tcBorders>
                  <w:noWrap w:val="0"/>
                  <w:vAlign w:val="center"/>
                </w:tcPr>
                <w:p w14:paraId="25734C0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514" w:type="pct"/>
                  <w:vMerge w:val="continue"/>
                  <w:tcBorders>
                    <w:left w:val="nil"/>
                    <w:right w:val="single" w:color="auto" w:sz="4" w:space="0"/>
                  </w:tcBorders>
                  <w:noWrap w:val="0"/>
                  <w:vAlign w:val="center"/>
                </w:tcPr>
                <w:p w14:paraId="044B4EBF">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p>
              </w:tc>
              <w:tc>
                <w:tcPr>
                  <w:tcW w:w="1063" w:type="pct"/>
                  <w:tcBorders>
                    <w:top w:val="single" w:color="auto" w:sz="4" w:space="0"/>
                    <w:left w:val="nil"/>
                    <w:right w:val="single" w:color="auto" w:sz="4" w:space="0"/>
                  </w:tcBorders>
                  <w:shd w:val="clear" w:color="auto" w:fill="auto"/>
                  <w:noWrap w:val="0"/>
                  <w:vAlign w:val="center"/>
                </w:tcPr>
                <w:p w14:paraId="530E2E80">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snapToGrid w:val="0"/>
                      <w:color w:val="000000" w:themeColor="text1"/>
                      <w:kern w:val="0"/>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CO</w:t>
                  </w:r>
                  <w:r>
                    <w:rPr>
                      <w:rFonts w:hint="default" w:ascii="Times New Roman" w:hAnsi="Times New Roman" w:cs="Times New Roman"/>
                      <w:color w:val="000000" w:themeColor="text1"/>
                      <w:sz w:val="21"/>
                      <w:szCs w:val="21"/>
                      <w:vertAlign w:val="subscript"/>
                      <w14:textFill>
                        <w14:solidFill>
                          <w14:schemeClr w14:val="tx1"/>
                        </w14:solidFill>
                      </w14:textFill>
                    </w:rPr>
                    <w:t>2</w:t>
                  </w:r>
                  <w:r>
                    <w:rPr>
                      <w:rFonts w:hint="default" w:ascii="Times New Roman" w:hAnsi="Times New Roman" w:cs="Times New Roman"/>
                      <w:color w:val="000000" w:themeColor="text1"/>
                      <w:sz w:val="21"/>
                      <w:szCs w:val="21"/>
                      <w14:textFill>
                        <w14:solidFill>
                          <w14:schemeClr w14:val="tx1"/>
                        </w14:solidFill>
                      </w14:textFill>
                    </w:rPr>
                    <w:t>（57%）</w:t>
                  </w:r>
                </w:p>
              </w:tc>
              <w:tc>
                <w:tcPr>
                  <w:tcW w:w="1045" w:type="pct"/>
                  <w:tcBorders>
                    <w:top w:val="single" w:color="auto" w:sz="4" w:space="0"/>
                    <w:left w:val="nil"/>
                    <w:right w:val="single" w:color="auto" w:sz="4" w:space="0"/>
                  </w:tcBorders>
                  <w:noWrap w:val="0"/>
                  <w:vAlign w:val="center"/>
                </w:tcPr>
                <w:p w14:paraId="6BA0A597">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5.463</w:t>
                  </w:r>
                </w:p>
              </w:tc>
              <w:tc>
                <w:tcPr>
                  <w:tcW w:w="551" w:type="pct"/>
                  <w:tcBorders>
                    <w:top w:val="single" w:color="auto" w:sz="4" w:space="0"/>
                    <w:left w:val="nil"/>
                    <w:right w:val="single" w:color="auto" w:sz="4" w:space="0"/>
                  </w:tcBorders>
                  <w:shd w:val="clear" w:color="auto" w:fill="auto"/>
                  <w:noWrap w:val="0"/>
                  <w:vAlign w:val="center"/>
                </w:tcPr>
                <w:p w14:paraId="70F50EA2">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w:t>
                  </w:r>
                </w:p>
              </w:tc>
              <w:tc>
                <w:tcPr>
                  <w:tcW w:w="1264" w:type="pct"/>
                  <w:tcBorders>
                    <w:top w:val="single" w:color="auto" w:sz="4" w:space="0"/>
                    <w:left w:val="nil"/>
                    <w:right w:val="single" w:color="auto" w:sz="4" w:space="0"/>
                  </w:tcBorders>
                  <w:noWrap w:val="0"/>
                  <w:vAlign w:val="center"/>
                </w:tcPr>
                <w:p w14:paraId="1D472F44">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w:t>
                  </w:r>
                </w:p>
              </w:tc>
            </w:tr>
            <w:tr w14:paraId="1126F6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60" w:type="pct"/>
                  <w:vMerge w:val="continue"/>
                  <w:tcBorders>
                    <w:left w:val="single" w:color="auto" w:sz="4" w:space="0"/>
                    <w:right w:val="single" w:color="auto" w:sz="4" w:space="0"/>
                  </w:tcBorders>
                  <w:noWrap w:val="0"/>
                  <w:vAlign w:val="center"/>
                </w:tcPr>
                <w:p w14:paraId="4DF6490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7030A0"/>
                      <w:sz w:val="21"/>
                      <w:szCs w:val="21"/>
                      <w:highlight w:val="none"/>
                      <w:u w:val="none" w:color="auto"/>
                    </w:rPr>
                  </w:pPr>
                </w:p>
              </w:tc>
              <w:tc>
                <w:tcPr>
                  <w:tcW w:w="1577" w:type="pct"/>
                  <w:gridSpan w:val="2"/>
                  <w:tcBorders>
                    <w:top w:val="single" w:color="auto" w:sz="4" w:space="0"/>
                    <w:left w:val="nil"/>
                    <w:right w:val="single" w:color="auto" w:sz="4" w:space="0"/>
                  </w:tcBorders>
                  <w:noWrap w:val="0"/>
                  <w:vAlign w:val="center"/>
                </w:tcPr>
                <w:p w14:paraId="66370CFA">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木焦油、木醋液</w:t>
                  </w:r>
                </w:p>
              </w:tc>
              <w:tc>
                <w:tcPr>
                  <w:tcW w:w="1045" w:type="pct"/>
                  <w:tcBorders>
                    <w:top w:val="single" w:color="auto" w:sz="4" w:space="0"/>
                    <w:left w:val="nil"/>
                    <w:right w:val="single" w:color="auto" w:sz="4" w:space="0"/>
                  </w:tcBorders>
                  <w:shd w:val="clear" w:color="auto" w:fill="auto"/>
                  <w:noWrap w:val="0"/>
                  <w:vAlign w:val="center"/>
                </w:tcPr>
                <w:p w14:paraId="6D04F6A3">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snapToGrid w:val="0"/>
                      <w:color w:val="000000" w:themeColor="text1"/>
                      <w:kern w:val="0"/>
                      <w:sz w:val="21"/>
                      <w:szCs w:val="21"/>
                      <w:lang w:val="en-US" w:eastAsia="zh-CN" w:bidi="ar-SA"/>
                      <w14:textFill>
                        <w14:solidFill>
                          <w14:schemeClr w14:val="tx1"/>
                        </w14:solidFill>
                      </w14:textFill>
                    </w:rPr>
                  </w:pPr>
                  <w:r>
                    <w:rPr>
                      <w:rFonts w:hint="default" w:ascii="Times New Roman" w:hAnsi="Times New Roman" w:cs="Times New Roman"/>
                      <w:bCs/>
                      <w:snapToGrid w:val="0"/>
                      <w:color w:val="000000" w:themeColor="text1"/>
                      <w:kern w:val="0"/>
                      <w:sz w:val="21"/>
                      <w:szCs w:val="21"/>
                      <w:lang w:val="en-US" w:eastAsia="zh-CN" w:bidi="ar-SA"/>
                      <w14:textFill>
                        <w14:solidFill>
                          <w14:schemeClr w14:val="tx1"/>
                        </w14:solidFill>
                      </w14:textFill>
                    </w:rPr>
                    <w:t>132.496</w:t>
                  </w:r>
                </w:p>
              </w:tc>
              <w:tc>
                <w:tcPr>
                  <w:tcW w:w="551" w:type="pct"/>
                  <w:tcBorders>
                    <w:top w:val="single" w:color="auto" w:sz="4" w:space="0"/>
                    <w:left w:val="nil"/>
                    <w:right w:val="single" w:color="auto" w:sz="4" w:space="0"/>
                  </w:tcBorders>
                  <w:noWrap w:val="0"/>
                  <w:vAlign w:val="center"/>
                </w:tcPr>
                <w:p w14:paraId="0306D11C">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2500</w:t>
                  </w:r>
                </w:p>
              </w:tc>
              <w:tc>
                <w:tcPr>
                  <w:tcW w:w="1264" w:type="pct"/>
                  <w:tcBorders>
                    <w:top w:val="single" w:color="auto" w:sz="4" w:space="0"/>
                    <w:left w:val="nil"/>
                    <w:right w:val="single" w:color="auto" w:sz="4" w:space="0"/>
                  </w:tcBorders>
                  <w:noWrap w:val="0"/>
                  <w:vAlign w:val="center"/>
                </w:tcPr>
                <w:p w14:paraId="54A3EB3F">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0.0529984</w:t>
                  </w:r>
                </w:p>
              </w:tc>
            </w:tr>
            <w:tr w14:paraId="3EE426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60" w:type="pct"/>
                  <w:vMerge w:val="continue"/>
                  <w:tcBorders>
                    <w:left w:val="single" w:color="auto" w:sz="4" w:space="0"/>
                    <w:right w:val="single" w:color="auto" w:sz="4" w:space="0"/>
                  </w:tcBorders>
                  <w:noWrap w:val="0"/>
                  <w:vAlign w:val="center"/>
                </w:tcPr>
                <w:p w14:paraId="4EFF73D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7030A0"/>
                      <w:sz w:val="21"/>
                      <w:szCs w:val="21"/>
                      <w:highlight w:val="none"/>
                      <w:u w:val="none" w:color="auto"/>
                    </w:rPr>
                  </w:pPr>
                </w:p>
              </w:tc>
              <w:tc>
                <w:tcPr>
                  <w:tcW w:w="1577" w:type="pct"/>
                  <w:gridSpan w:val="2"/>
                  <w:tcBorders>
                    <w:top w:val="single" w:color="auto" w:sz="4" w:space="0"/>
                    <w:left w:val="nil"/>
                    <w:right w:val="single" w:color="auto" w:sz="4" w:space="0"/>
                  </w:tcBorders>
                  <w:noWrap w:val="0"/>
                  <w:vAlign w:val="center"/>
                </w:tcPr>
                <w:p w14:paraId="795F05CD">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润滑油</w:t>
                  </w:r>
                </w:p>
              </w:tc>
              <w:tc>
                <w:tcPr>
                  <w:tcW w:w="1045" w:type="pct"/>
                  <w:tcBorders>
                    <w:top w:val="single" w:color="auto" w:sz="4" w:space="0"/>
                    <w:left w:val="nil"/>
                    <w:right w:val="single" w:color="auto" w:sz="4" w:space="0"/>
                  </w:tcBorders>
                  <w:shd w:val="clear" w:color="auto" w:fill="auto"/>
                  <w:noWrap w:val="0"/>
                  <w:vAlign w:val="center"/>
                </w:tcPr>
                <w:p w14:paraId="4FA68236">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Cs/>
                      <w:snapToGrid w:val="0"/>
                      <w:color w:val="000000" w:themeColor="text1"/>
                      <w:kern w:val="0"/>
                      <w:sz w:val="21"/>
                      <w:szCs w:val="21"/>
                      <w:lang w:val="en-US" w:eastAsia="zh-CN" w:bidi="ar-SA"/>
                      <w14:textFill>
                        <w14:solidFill>
                          <w14:schemeClr w14:val="tx1"/>
                        </w14:solidFill>
                      </w14:textFill>
                    </w:rPr>
                  </w:pPr>
                  <w:r>
                    <w:rPr>
                      <w:rFonts w:hint="default" w:ascii="Times New Roman" w:hAnsi="Times New Roman" w:cs="Times New Roman"/>
                      <w:bCs/>
                      <w:snapToGrid w:val="0"/>
                      <w:color w:val="000000" w:themeColor="text1"/>
                      <w:kern w:val="0"/>
                      <w:sz w:val="21"/>
                      <w:szCs w:val="21"/>
                      <w:lang w:val="en-US" w:eastAsia="zh-CN" w:bidi="ar-SA"/>
                      <w14:textFill>
                        <w14:solidFill>
                          <w14:schemeClr w14:val="tx1"/>
                        </w14:solidFill>
                      </w14:textFill>
                    </w:rPr>
                    <w:t>0.04</w:t>
                  </w:r>
                </w:p>
              </w:tc>
              <w:tc>
                <w:tcPr>
                  <w:tcW w:w="551" w:type="pct"/>
                  <w:tcBorders>
                    <w:top w:val="single" w:color="auto" w:sz="4" w:space="0"/>
                    <w:left w:val="nil"/>
                    <w:right w:val="single" w:color="auto" w:sz="4" w:space="0"/>
                  </w:tcBorders>
                  <w:noWrap w:val="0"/>
                  <w:vAlign w:val="center"/>
                </w:tcPr>
                <w:p w14:paraId="05C2845F">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2500</w:t>
                  </w:r>
                </w:p>
              </w:tc>
              <w:tc>
                <w:tcPr>
                  <w:tcW w:w="1264" w:type="pct"/>
                  <w:tcBorders>
                    <w:top w:val="single" w:color="auto" w:sz="4" w:space="0"/>
                    <w:left w:val="nil"/>
                    <w:right w:val="single" w:color="auto" w:sz="4" w:space="0"/>
                  </w:tcBorders>
                  <w:noWrap w:val="0"/>
                  <w:vAlign w:val="center"/>
                </w:tcPr>
                <w:p w14:paraId="5F97AC77">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0.000016</w:t>
                  </w:r>
                </w:p>
              </w:tc>
            </w:tr>
            <w:tr w14:paraId="6E784A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35" w:type="pct"/>
                  <w:gridSpan w:val="5"/>
                  <w:tcBorders>
                    <w:top w:val="single" w:color="auto" w:sz="4" w:space="0"/>
                    <w:left w:val="single" w:color="auto" w:sz="4" w:space="0"/>
                    <w:bottom w:val="single" w:color="auto" w:sz="4" w:space="0"/>
                    <w:right w:val="single" w:color="auto" w:sz="4" w:space="0"/>
                  </w:tcBorders>
                  <w:noWrap w:val="0"/>
                  <w:vAlign w:val="center"/>
                </w:tcPr>
                <w:p w14:paraId="432B3A96">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合计</w:t>
                  </w:r>
                </w:p>
              </w:tc>
              <w:tc>
                <w:tcPr>
                  <w:tcW w:w="1264" w:type="pct"/>
                  <w:tcBorders>
                    <w:top w:val="single" w:color="auto" w:sz="4" w:space="0"/>
                    <w:left w:val="nil"/>
                    <w:bottom w:val="single" w:color="auto" w:sz="4" w:space="0"/>
                    <w:right w:val="single" w:color="auto" w:sz="4" w:space="0"/>
                  </w:tcBorders>
                  <w:shd w:val="clear" w:color="auto" w:fill="auto"/>
                  <w:noWrap w:val="0"/>
                  <w:vAlign w:val="center"/>
                </w:tcPr>
                <w:p w14:paraId="1D15EA8E">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0.4731844</w:t>
                  </w:r>
                </w:p>
              </w:tc>
            </w:tr>
          </w:tbl>
          <w:p w14:paraId="1DA8F363">
            <w:pPr>
              <w:keepNext w:val="0"/>
              <w:keepLines w:val="0"/>
              <w:pageBreakBefore w:val="0"/>
              <w:widowControl w:val="0"/>
              <w:suppressLineNumbers w:val="0"/>
              <w:tabs>
                <w:tab w:val="left" w:pos="1081"/>
              </w:tabs>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pP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根据计算结果，Q＜1，因此本项目的环境风险潜势为Ⅰ。</w:t>
            </w:r>
          </w:p>
          <w:p w14:paraId="23647680">
            <w:pPr>
              <w:keepNext w:val="0"/>
              <w:keepLines w:val="0"/>
              <w:pageBreakBefore w:val="0"/>
              <w:widowControl w:val="0"/>
              <w:suppressLineNumbers w:val="0"/>
              <w:tabs>
                <w:tab w:val="left" w:pos="1081"/>
              </w:tabs>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pP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（3）评价等级</w:t>
            </w:r>
          </w:p>
          <w:p w14:paraId="411AC5B1">
            <w:pPr>
              <w:keepNext w:val="0"/>
              <w:keepLines w:val="0"/>
              <w:pageBreakBefore w:val="0"/>
              <w:widowControl w:val="0"/>
              <w:suppressLineNumbers w:val="0"/>
              <w:tabs>
                <w:tab w:val="left" w:pos="1081"/>
              </w:tabs>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pP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根据</w:t>
            </w:r>
            <w:r>
              <w:rPr>
                <w:rFonts w:hint="default" w:ascii="Times New Roman" w:hAnsi="Times New Roman" w:eastAsia="宋体" w:cs="Times New Roman"/>
                <w:color w:val="000000" w:themeColor="text1"/>
                <w:sz w:val="24"/>
                <w:szCs w:val="24"/>
                <w:highlight w:val="none"/>
                <w:u w:val="none" w:color="auto"/>
                <w:lang w:val="en-GB"/>
                <w14:textFill>
                  <w14:solidFill>
                    <w14:schemeClr w14:val="tx1"/>
                  </w14:solidFill>
                </w14:textFill>
              </w:rPr>
              <w:t>《建设项目环境风险评价技术导则》</w:t>
            </w: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（HJ169-2018）规定，环境风险评价工作等级划分见下表。</w:t>
            </w:r>
          </w:p>
          <w:p w14:paraId="308C0BA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jc w:val="center"/>
              <w:textAlignment w:val="auto"/>
              <w:rPr>
                <w:rFonts w:hint="default" w:ascii="Times New Roman" w:hAnsi="Times New Roman" w:eastAsia="宋体" w:cs="Times New Roman"/>
                <w:b/>
                <w:color w:val="000000" w:themeColor="text1"/>
                <w:kern w:val="2"/>
                <w:sz w:val="24"/>
                <w:szCs w:val="24"/>
                <w:highlight w:val="none"/>
                <w:u w:val="none" w:color="auto"/>
                <w:lang w:val="en-US" w:eastAsia="zh-CN" w:bidi="ar-SA"/>
                <w14:textFill>
                  <w14:solidFill>
                    <w14:schemeClr w14:val="tx1"/>
                  </w14:solidFill>
                </w14:textFill>
              </w:rPr>
            </w:pPr>
            <w:r>
              <w:rPr>
                <w:rFonts w:hint="default" w:ascii="Times New Roman" w:hAnsi="Times New Roman" w:eastAsia="宋体" w:cs="Times New Roman"/>
                <w:b/>
                <w:color w:val="000000" w:themeColor="text1"/>
                <w:kern w:val="2"/>
                <w:sz w:val="24"/>
                <w:szCs w:val="24"/>
                <w:highlight w:val="none"/>
                <w:u w:val="none" w:color="auto"/>
                <w:lang w:val="en-US" w:eastAsia="zh-CN" w:bidi="ar-SA"/>
                <w14:textFill>
                  <w14:solidFill>
                    <w14:schemeClr w14:val="tx1"/>
                  </w14:solidFill>
                </w14:textFill>
              </w:rPr>
              <w:t>表4-</w:t>
            </w:r>
            <w:r>
              <w:rPr>
                <w:rFonts w:hint="eastAsia" w:ascii="Times New Roman" w:hAnsi="Times New Roman" w:eastAsia="宋体" w:cs="Times New Roman"/>
                <w:b/>
                <w:color w:val="000000" w:themeColor="text1"/>
                <w:kern w:val="2"/>
                <w:sz w:val="24"/>
                <w:szCs w:val="24"/>
                <w:highlight w:val="none"/>
                <w:u w:val="none" w:color="auto"/>
                <w:lang w:val="en-US" w:eastAsia="zh-CN" w:bidi="ar-SA"/>
                <w14:textFill>
                  <w14:solidFill>
                    <w14:schemeClr w14:val="tx1"/>
                  </w14:solidFill>
                </w14:textFill>
              </w:rPr>
              <w:t>26</w:t>
            </w:r>
            <w:r>
              <w:rPr>
                <w:rFonts w:hint="default" w:ascii="Times New Roman" w:hAnsi="Times New Roman" w:eastAsia="宋体" w:cs="Times New Roman"/>
                <w:b/>
                <w:color w:val="000000" w:themeColor="text1"/>
                <w:kern w:val="2"/>
                <w:sz w:val="24"/>
                <w:szCs w:val="24"/>
                <w:highlight w:val="none"/>
                <w:u w:val="none" w:color="auto"/>
                <w:lang w:val="en-US" w:eastAsia="zh-CN" w:bidi="ar-SA"/>
                <w14:textFill>
                  <w14:solidFill>
                    <w14:schemeClr w14:val="tx1"/>
                  </w14:solidFill>
                </w14:textFill>
              </w:rPr>
              <w:t xml:space="preserve">   评价工作等级划分表</w:t>
            </w:r>
          </w:p>
          <w:tbl>
            <w:tblPr>
              <w:tblStyle w:val="2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46"/>
              <w:gridCol w:w="1979"/>
              <w:gridCol w:w="1649"/>
              <w:gridCol w:w="1582"/>
              <w:gridCol w:w="2097"/>
            </w:tblGrid>
            <w:tr w14:paraId="17CFBB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35" w:type="pct"/>
                  <w:noWrap w:val="0"/>
                  <w:vAlign w:val="center"/>
                </w:tcPr>
                <w:p w14:paraId="02BD9E3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环境风险潜势</w:t>
                  </w:r>
                </w:p>
              </w:tc>
              <w:tc>
                <w:tcPr>
                  <w:tcW w:w="1047" w:type="pct"/>
                  <w:noWrap w:val="0"/>
                  <w:vAlign w:val="center"/>
                </w:tcPr>
                <w:p w14:paraId="03B61E0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Ⅳ、Ⅳ</w:t>
                  </w:r>
                  <w:r>
                    <w:rPr>
                      <w:rFonts w:hint="default" w:ascii="Times New Roman" w:hAnsi="Times New Roman" w:eastAsia="宋体" w:cs="Times New Roman"/>
                      <w:color w:val="000000" w:themeColor="text1"/>
                      <w:sz w:val="21"/>
                      <w:szCs w:val="21"/>
                      <w:highlight w:val="none"/>
                      <w:u w:val="none" w:color="auto"/>
                      <w:vertAlign w:val="superscript"/>
                      <w14:textFill>
                        <w14:solidFill>
                          <w14:schemeClr w14:val="tx1"/>
                        </w14:solidFill>
                      </w14:textFill>
                    </w:rPr>
                    <w:t>+</w:t>
                  </w:r>
                </w:p>
              </w:tc>
              <w:tc>
                <w:tcPr>
                  <w:tcW w:w="872" w:type="pct"/>
                  <w:noWrap w:val="0"/>
                  <w:vAlign w:val="center"/>
                </w:tcPr>
                <w:p w14:paraId="1DCC193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Ⅲ</w:t>
                  </w:r>
                </w:p>
              </w:tc>
              <w:tc>
                <w:tcPr>
                  <w:tcW w:w="837" w:type="pct"/>
                  <w:noWrap w:val="0"/>
                  <w:vAlign w:val="center"/>
                </w:tcPr>
                <w:p w14:paraId="0D60E39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Ⅱ</w:t>
                  </w:r>
                </w:p>
              </w:tc>
              <w:tc>
                <w:tcPr>
                  <w:tcW w:w="1105" w:type="pct"/>
                  <w:noWrap w:val="0"/>
                  <w:vAlign w:val="center"/>
                </w:tcPr>
                <w:p w14:paraId="503489F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Ⅰ</w:t>
                  </w:r>
                </w:p>
              </w:tc>
            </w:tr>
            <w:tr w14:paraId="6E8375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35" w:type="pct"/>
                  <w:noWrap w:val="0"/>
                  <w:vAlign w:val="center"/>
                </w:tcPr>
                <w:p w14:paraId="3EF2C88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评级工作等级</w:t>
                  </w:r>
                </w:p>
              </w:tc>
              <w:tc>
                <w:tcPr>
                  <w:tcW w:w="1047" w:type="pct"/>
                  <w:noWrap w:val="0"/>
                  <w:vAlign w:val="center"/>
                </w:tcPr>
                <w:p w14:paraId="5A5D91C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一</w:t>
                  </w:r>
                </w:p>
              </w:tc>
              <w:tc>
                <w:tcPr>
                  <w:tcW w:w="872" w:type="pct"/>
                  <w:noWrap w:val="0"/>
                  <w:vAlign w:val="center"/>
                </w:tcPr>
                <w:p w14:paraId="7801CC3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二</w:t>
                  </w:r>
                </w:p>
              </w:tc>
              <w:tc>
                <w:tcPr>
                  <w:tcW w:w="837" w:type="pct"/>
                  <w:noWrap w:val="0"/>
                  <w:vAlign w:val="center"/>
                </w:tcPr>
                <w:p w14:paraId="06F9EC3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三</w:t>
                  </w:r>
                </w:p>
              </w:tc>
              <w:tc>
                <w:tcPr>
                  <w:tcW w:w="1105" w:type="pct"/>
                  <w:noWrap w:val="0"/>
                  <w:vAlign w:val="center"/>
                </w:tcPr>
                <w:p w14:paraId="1EF5922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简单分析</w:t>
                  </w:r>
                  <w:r>
                    <w:rPr>
                      <w:rFonts w:hint="default" w:ascii="Times New Roman" w:hAnsi="Times New Roman" w:eastAsia="宋体" w:cs="Times New Roman"/>
                      <w:color w:val="000000" w:themeColor="text1"/>
                      <w:sz w:val="21"/>
                      <w:szCs w:val="21"/>
                      <w:highlight w:val="none"/>
                      <w:u w:val="none" w:color="auto"/>
                      <w:vertAlign w:val="superscript"/>
                      <w14:textFill>
                        <w14:solidFill>
                          <w14:schemeClr w14:val="tx1"/>
                        </w14:solidFill>
                      </w14:textFill>
                    </w:rPr>
                    <w:t>a</w:t>
                  </w:r>
                </w:p>
              </w:tc>
            </w:tr>
            <w:tr w14:paraId="21A888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00" w:type="pct"/>
                  <w:gridSpan w:val="5"/>
                  <w:noWrap w:val="0"/>
                  <w:vAlign w:val="center"/>
                </w:tcPr>
                <w:p w14:paraId="220B639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a 是相对于详细评价工作内容而言，在描述危险物质、环境影响途径、环境危害后果、风险防范措施等方面给出定性的说明。</w:t>
                  </w:r>
                </w:p>
              </w:tc>
            </w:tr>
          </w:tbl>
          <w:p w14:paraId="7A918FF6">
            <w:pPr>
              <w:keepNext w:val="0"/>
              <w:keepLines w:val="0"/>
              <w:pageBreakBefore w:val="0"/>
              <w:widowControl w:val="0"/>
              <w:suppressLineNumbers w:val="0"/>
              <w:tabs>
                <w:tab w:val="left" w:pos="1081"/>
              </w:tabs>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pP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由于本项目环境风险潜势为Ⅰ，根据上表可知，本次仅需对项目环境风险进行简单分析。</w:t>
            </w:r>
          </w:p>
          <w:p w14:paraId="57184002">
            <w:pPr>
              <w:keepNext w:val="0"/>
              <w:keepLines w:val="0"/>
              <w:pageBreakBefore w:val="0"/>
              <w:widowControl w:val="0"/>
              <w:suppressLineNumbers w:val="0"/>
              <w:tabs>
                <w:tab w:val="left" w:pos="1081"/>
              </w:tabs>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pP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7.2环境敏感目标概况</w:t>
            </w:r>
          </w:p>
          <w:p w14:paraId="33B5CFB7">
            <w:pPr>
              <w:keepNext w:val="0"/>
              <w:keepLines w:val="0"/>
              <w:pageBreakBefore w:val="0"/>
              <w:widowControl w:val="0"/>
              <w:suppressLineNumbers w:val="0"/>
              <w:tabs>
                <w:tab w:val="left" w:pos="1081"/>
              </w:tabs>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000000" w:themeColor="text1"/>
                <w:sz w:val="24"/>
                <w:szCs w:val="24"/>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经现场调查，本项目周围主要环境敏感目标</w:t>
            </w:r>
            <w:r>
              <w:rPr>
                <w:rFonts w:hint="eastAsia" w:ascii="Times New Roman" w:hAnsi="Times New Roman" w:eastAsia="宋体" w:cs="Times New Roman"/>
                <w:color w:val="000000" w:themeColor="text1"/>
                <w:sz w:val="24"/>
                <w:szCs w:val="24"/>
                <w:highlight w:val="none"/>
                <w:u w:val="none" w:color="auto"/>
                <w:lang w:val="en-US" w:eastAsia="zh-CN"/>
                <w14:textFill>
                  <w14:solidFill>
                    <w14:schemeClr w14:val="tx1"/>
                  </w14:solidFill>
                </w14:textFill>
              </w:rPr>
              <w:t>见下</w:t>
            </w:r>
            <w:r>
              <w:rPr>
                <w:rFonts w:hint="default" w:ascii="Times New Roman" w:hAnsi="Times New Roman" w:eastAsia="宋体" w:cs="Times New Roman"/>
                <w:color w:val="000000" w:themeColor="text1"/>
                <w:sz w:val="24"/>
                <w:szCs w:val="24"/>
                <w:highlight w:val="none"/>
                <w:u w:val="none" w:color="auto"/>
                <w:lang w:val="en-US" w:eastAsia="zh-CN"/>
                <w14:textFill>
                  <w14:solidFill>
                    <w14:schemeClr w14:val="tx1"/>
                  </w14:solidFill>
                </w14:textFill>
              </w:rPr>
              <w:t>表</w:t>
            </w:r>
            <w:r>
              <w:rPr>
                <w:rFonts w:hint="eastAsia" w:ascii="Times New Roman" w:hAnsi="Times New Roman" w:eastAsia="宋体" w:cs="Times New Roman"/>
                <w:color w:val="000000" w:themeColor="text1"/>
                <w:sz w:val="24"/>
                <w:szCs w:val="24"/>
                <w:highlight w:val="none"/>
                <w:u w:val="none" w:color="auto"/>
                <w:lang w:val="en-US" w:eastAsia="zh-CN"/>
                <w14:textFill>
                  <w14:solidFill>
                    <w14:schemeClr w14:val="tx1"/>
                  </w14:solidFill>
                </w14:textFill>
              </w:rPr>
              <w:t>。</w:t>
            </w:r>
          </w:p>
          <w:p w14:paraId="7032B1A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jc w:val="center"/>
              <w:textAlignment w:val="auto"/>
              <w:rPr>
                <w:rFonts w:hint="default" w:ascii="Times New Roman" w:hAnsi="Times New Roman" w:eastAsia="宋体" w:cs="Times New Roman"/>
                <w:b/>
                <w:color w:val="000000" w:themeColor="text1"/>
                <w:kern w:val="2"/>
                <w:sz w:val="24"/>
                <w:szCs w:val="24"/>
                <w:highlight w:val="none"/>
                <w:u w:val="none" w:color="auto"/>
                <w:lang w:val="en-US" w:eastAsia="zh-CN" w:bidi="ar-SA"/>
                <w14:textFill>
                  <w14:solidFill>
                    <w14:schemeClr w14:val="tx1"/>
                  </w14:solidFill>
                </w14:textFill>
              </w:rPr>
            </w:pPr>
            <w:r>
              <w:rPr>
                <w:rFonts w:hint="default" w:ascii="Times New Roman" w:hAnsi="Times New Roman" w:eastAsia="宋体" w:cs="Times New Roman"/>
                <w:b/>
                <w:color w:val="000000" w:themeColor="text1"/>
                <w:kern w:val="2"/>
                <w:sz w:val="24"/>
                <w:szCs w:val="24"/>
                <w:highlight w:val="none"/>
                <w:u w:val="none" w:color="auto"/>
                <w:lang w:val="en-US" w:eastAsia="zh-CN" w:bidi="ar-SA"/>
                <w14:textFill>
                  <w14:solidFill>
                    <w14:schemeClr w14:val="tx1"/>
                  </w14:solidFill>
                </w14:textFill>
              </w:rPr>
              <w:t>表</w:t>
            </w:r>
            <w:r>
              <w:rPr>
                <w:rFonts w:hint="eastAsia" w:ascii="Times New Roman" w:hAnsi="Times New Roman" w:eastAsia="宋体" w:cs="Times New Roman"/>
                <w:b/>
                <w:color w:val="000000" w:themeColor="text1"/>
                <w:kern w:val="2"/>
                <w:sz w:val="24"/>
                <w:szCs w:val="24"/>
                <w:highlight w:val="none"/>
                <w:u w:val="none" w:color="auto"/>
                <w:lang w:val="en-US" w:eastAsia="zh-CN" w:bidi="ar-SA"/>
                <w14:textFill>
                  <w14:solidFill>
                    <w14:schemeClr w14:val="tx1"/>
                  </w14:solidFill>
                </w14:textFill>
              </w:rPr>
              <w:t>4</w:t>
            </w:r>
            <w:r>
              <w:rPr>
                <w:rFonts w:hint="default" w:ascii="Times New Roman" w:hAnsi="Times New Roman" w:eastAsia="宋体" w:cs="Times New Roman"/>
                <w:b/>
                <w:color w:val="000000" w:themeColor="text1"/>
                <w:kern w:val="2"/>
                <w:sz w:val="24"/>
                <w:szCs w:val="24"/>
                <w:highlight w:val="none"/>
                <w:u w:val="none" w:color="auto"/>
                <w:lang w:val="en-US" w:eastAsia="zh-CN" w:bidi="ar-SA"/>
                <w14:textFill>
                  <w14:solidFill>
                    <w14:schemeClr w14:val="tx1"/>
                  </w14:solidFill>
                </w14:textFill>
              </w:rPr>
              <w:t>-</w:t>
            </w:r>
            <w:r>
              <w:rPr>
                <w:rFonts w:hint="eastAsia" w:cs="Times New Roman"/>
                <w:b/>
                <w:color w:val="000000" w:themeColor="text1"/>
                <w:kern w:val="2"/>
                <w:sz w:val="24"/>
                <w:szCs w:val="24"/>
                <w:highlight w:val="none"/>
                <w:u w:val="none" w:color="auto"/>
                <w:lang w:val="en-US" w:eastAsia="zh-CN" w:bidi="ar-SA"/>
                <w14:textFill>
                  <w14:solidFill>
                    <w14:schemeClr w14:val="tx1"/>
                  </w14:solidFill>
                </w14:textFill>
              </w:rPr>
              <w:t>27</w:t>
            </w:r>
            <w:r>
              <w:rPr>
                <w:rFonts w:hint="eastAsia" w:ascii="Times New Roman" w:hAnsi="Times New Roman" w:eastAsia="宋体" w:cs="Times New Roman"/>
                <w:b/>
                <w:color w:val="000000" w:themeColor="text1"/>
                <w:kern w:val="2"/>
                <w:sz w:val="24"/>
                <w:szCs w:val="24"/>
                <w:highlight w:val="none"/>
                <w:u w:val="none" w:color="auto"/>
                <w:lang w:val="en-US" w:eastAsia="zh-CN" w:bidi="ar-SA"/>
                <w14:textFill>
                  <w14:solidFill>
                    <w14:schemeClr w14:val="tx1"/>
                  </w14:solidFill>
                </w14:textFill>
              </w:rPr>
              <w:t xml:space="preserve">   </w:t>
            </w:r>
            <w:r>
              <w:rPr>
                <w:rFonts w:hint="default" w:ascii="Times New Roman" w:hAnsi="Times New Roman" w:eastAsia="宋体" w:cs="Times New Roman"/>
                <w:b/>
                <w:color w:val="000000" w:themeColor="text1"/>
                <w:kern w:val="2"/>
                <w:sz w:val="24"/>
                <w:szCs w:val="24"/>
                <w:highlight w:val="none"/>
                <w:u w:val="none" w:color="auto"/>
                <w:lang w:val="en-US" w:eastAsia="zh-CN" w:bidi="ar-SA"/>
                <w14:textFill>
                  <w14:solidFill>
                    <w14:schemeClr w14:val="tx1"/>
                  </w14:solidFill>
                </w14:textFill>
              </w:rPr>
              <w:t>主要环境保护目标</w:t>
            </w:r>
          </w:p>
          <w:tbl>
            <w:tblPr>
              <w:tblStyle w:val="29"/>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30"/>
              <w:gridCol w:w="1793"/>
              <w:gridCol w:w="1020"/>
              <w:gridCol w:w="1234"/>
              <w:gridCol w:w="3868"/>
            </w:tblGrid>
            <w:tr w14:paraId="445378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10" w:type="pct"/>
                  <w:noWrap w:val="0"/>
                  <w:vAlign w:val="center"/>
                </w:tcPr>
                <w:p w14:paraId="1491D5F2">
                  <w:pPr>
                    <w:jc w:val="center"/>
                    <w:rPr>
                      <w:szCs w:val="21"/>
                    </w:rPr>
                  </w:pPr>
                  <w:r>
                    <w:rPr>
                      <w:szCs w:val="21"/>
                    </w:rPr>
                    <w:t>环境要素</w:t>
                  </w:r>
                </w:p>
              </w:tc>
              <w:tc>
                <w:tcPr>
                  <w:tcW w:w="949" w:type="pct"/>
                  <w:noWrap w:val="0"/>
                  <w:vAlign w:val="center"/>
                </w:tcPr>
                <w:p w14:paraId="65A6CA44">
                  <w:pPr>
                    <w:jc w:val="center"/>
                    <w:rPr>
                      <w:szCs w:val="21"/>
                    </w:rPr>
                  </w:pPr>
                  <w:r>
                    <w:rPr>
                      <w:szCs w:val="21"/>
                    </w:rPr>
                    <w:t>保护目标</w:t>
                  </w:r>
                </w:p>
              </w:tc>
              <w:tc>
                <w:tcPr>
                  <w:tcW w:w="540" w:type="pct"/>
                  <w:noWrap w:val="0"/>
                  <w:vAlign w:val="center"/>
                </w:tcPr>
                <w:p w14:paraId="359C6362">
                  <w:pPr>
                    <w:jc w:val="center"/>
                    <w:rPr>
                      <w:szCs w:val="21"/>
                    </w:rPr>
                  </w:pPr>
                  <w:r>
                    <w:rPr>
                      <w:szCs w:val="21"/>
                    </w:rPr>
                    <w:t>方位</w:t>
                  </w:r>
                </w:p>
              </w:tc>
              <w:tc>
                <w:tcPr>
                  <w:tcW w:w="653" w:type="pct"/>
                  <w:noWrap w:val="0"/>
                  <w:vAlign w:val="center"/>
                </w:tcPr>
                <w:p w14:paraId="4922D903">
                  <w:pPr>
                    <w:jc w:val="center"/>
                    <w:rPr>
                      <w:szCs w:val="21"/>
                    </w:rPr>
                  </w:pPr>
                  <w:r>
                    <w:rPr>
                      <w:szCs w:val="21"/>
                    </w:rPr>
                    <w:t>距离</w:t>
                  </w:r>
                </w:p>
              </w:tc>
              <w:tc>
                <w:tcPr>
                  <w:tcW w:w="2046" w:type="pct"/>
                  <w:noWrap w:val="0"/>
                  <w:vAlign w:val="center"/>
                </w:tcPr>
                <w:p w14:paraId="183A90D7">
                  <w:pPr>
                    <w:jc w:val="center"/>
                    <w:rPr>
                      <w:szCs w:val="21"/>
                    </w:rPr>
                  </w:pPr>
                  <w:r>
                    <w:rPr>
                      <w:szCs w:val="21"/>
                    </w:rPr>
                    <w:t>保护级别</w:t>
                  </w:r>
                </w:p>
              </w:tc>
            </w:tr>
            <w:tr w14:paraId="0C115E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10" w:type="pct"/>
                  <w:vMerge w:val="restart"/>
                  <w:noWrap w:val="0"/>
                  <w:vAlign w:val="center"/>
                </w:tcPr>
                <w:p w14:paraId="54FC257F">
                  <w:pPr>
                    <w:jc w:val="center"/>
                    <w:rPr>
                      <w:szCs w:val="21"/>
                    </w:rPr>
                  </w:pPr>
                  <w:r>
                    <w:rPr>
                      <w:szCs w:val="21"/>
                    </w:rPr>
                    <w:t>大气环境</w:t>
                  </w:r>
                </w:p>
              </w:tc>
              <w:tc>
                <w:tcPr>
                  <w:tcW w:w="949" w:type="pct"/>
                  <w:noWrap w:val="0"/>
                  <w:vAlign w:val="center"/>
                </w:tcPr>
                <w:p w14:paraId="70AA28C9">
                  <w:pPr>
                    <w:jc w:val="center"/>
                    <w:rPr>
                      <w:szCs w:val="21"/>
                    </w:rPr>
                  </w:pPr>
                  <w:r>
                    <w:rPr>
                      <w:rFonts w:hint="eastAsia"/>
                      <w:szCs w:val="21"/>
                      <w:lang w:val="en-US" w:eastAsia="zh-CN"/>
                    </w:rPr>
                    <w:t>小店村</w:t>
                  </w:r>
                </w:p>
              </w:tc>
              <w:tc>
                <w:tcPr>
                  <w:tcW w:w="540" w:type="pct"/>
                  <w:noWrap w:val="0"/>
                  <w:vAlign w:val="center"/>
                </w:tcPr>
                <w:p w14:paraId="48B58ACE">
                  <w:pPr>
                    <w:jc w:val="center"/>
                    <w:rPr>
                      <w:szCs w:val="21"/>
                    </w:rPr>
                  </w:pPr>
                  <w:r>
                    <w:rPr>
                      <w:rFonts w:hint="eastAsia"/>
                      <w:szCs w:val="21"/>
                    </w:rPr>
                    <w:t>NW</w:t>
                  </w:r>
                </w:p>
              </w:tc>
              <w:tc>
                <w:tcPr>
                  <w:tcW w:w="653" w:type="pct"/>
                  <w:noWrap w:val="0"/>
                  <w:vAlign w:val="center"/>
                </w:tcPr>
                <w:p w14:paraId="64A3C200">
                  <w:pPr>
                    <w:jc w:val="center"/>
                    <w:rPr>
                      <w:szCs w:val="21"/>
                    </w:rPr>
                  </w:pPr>
                  <w:r>
                    <w:rPr>
                      <w:rFonts w:hint="eastAsia"/>
                      <w:szCs w:val="21"/>
                    </w:rPr>
                    <w:t>2</w:t>
                  </w:r>
                  <w:r>
                    <w:rPr>
                      <w:rFonts w:hint="eastAsia"/>
                      <w:szCs w:val="21"/>
                      <w:lang w:val="en-US" w:eastAsia="zh-CN"/>
                    </w:rPr>
                    <w:t>09</w:t>
                  </w:r>
                  <w:r>
                    <w:rPr>
                      <w:szCs w:val="21"/>
                    </w:rPr>
                    <w:t>m</w:t>
                  </w:r>
                </w:p>
              </w:tc>
              <w:tc>
                <w:tcPr>
                  <w:tcW w:w="2046" w:type="pct"/>
                  <w:vMerge w:val="restart"/>
                  <w:noWrap w:val="0"/>
                  <w:vAlign w:val="center"/>
                </w:tcPr>
                <w:p w14:paraId="662EC505">
                  <w:pPr>
                    <w:jc w:val="center"/>
                    <w:rPr>
                      <w:color w:val="000000"/>
                      <w:szCs w:val="21"/>
                    </w:rPr>
                  </w:pPr>
                  <w:r>
                    <w:rPr>
                      <w:color w:val="000000"/>
                      <w:szCs w:val="21"/>
                    </w:rPr>
                    <w:t>《环境空气质量标准》</w:t>
                  </w:r>
                </w:p>
                <w:p w14:paraId="4E6CE405">
                  <w:pPr>
                    <w:tabs>
                      <w:tab w:val="left" w:pos="0"/>
                    </w:tabs>
                    <w:adjustRightInd w:val="0"/>
                    <w:snapToGrid w:val="0"/>
                    <w:jc w:val="center"/>
                    <w:rPr>
                      <w:szCs w:val="21"/>
                    </w:rPr>
                  </w:pPr>
                  <w:r>
                    <w:rPr>
                      <w:color w:val="000000"/>
                      <w:szCs w:val="21"/>
                    </w:rPr>
                    <w:t>（GB3095-2012）二级标准</w:t>
                  </w:r>
                </w:p>
              </w:tc>
            </w:tr>
            <w:tr w14:paraId="5438E2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10" w:type="pct"/>
                  <w:vMerge w:val="continue"/>
                  <w:noWrap w:val="0"/>
                  <w:vAlign w:val="center"/>
                </w:tcPr>
                <w:p w14:paraId="2671691E">
                  <w:pPr>
                    <w:jc w:val="center"/>
                    <w:rPr>
                      <w:szCs w:val="21"/>
                    </w:rPr>
                  </w:pPr>
                </w:p>
              </w:tc>
              <w:tc>
                <w:tcPr>
                  <w:tcW w:w="949" w:type="pct"/>
                  <w:noWrap w:val="0"/>
                  <w:vAlign w:val="center"/>
                </w:tcPr>
                <w:p w14:paraId="558F6AD7">
                  <w:pPr>
                    <w:jc w:val="center"/>
                    <w:rPr>
                      <w:szCs w:val="21"/>
                    </w:rPr>
                  </w:pPr>
                  <w:r>
                    <w:rPr>
                      <w:rFonts w:hint="eastAsia" w:cs="Times New Roman"/>
                      <w:color w:val="000000" w:themeColor="text1"/>
                      <w:sz w:val="24"/>
                      <w:szCs w:val="24"/>
                      <w:highlight w:val="none"/>
                      <w:u w:val="none" w:color="auto"/>
                      <w:lang w:val="en-US" w:eastAsia="zh-CN"/>
                      <w14:textFill>
                        <w14:solidFill>
                          <w14:schemeClr w14:val="tx1"/>
                        </w14:solidFill>
                      </w14:textFill>
                    </w:rPr>
                    <w:t>何家庄</w:t>
                  </w:r>
                </w:p>
              </w:tc>
              <w:tc>
                <w:tcPr>
                  <w:tcW w:w="540" w:type="pct"/>
                  <w:noWrap w:val="0"/>
                  <w:vAlign w:val="center"/>
                </w:tcPr>
                <w:p w14:paraId="0E017AFE">
                  <w:pPr>
                    <w:jc w:val="center"/>
                    <w:rPr>
                      <w:szCs w:val="21"/>
                    </w:rPr>
                  </w:pPr>
                  <w:r>
                    <w:rPr>
                      <w:szCs w:val="21"/>
                    </w:rPr>
                    <w:t>S</w:t>
                  </w:r>
                </w:p>
              </w:tc>
              <w:tc>
                <w:tcPr>
                  <w:tcW w:w="653" w:type="pct"/>
                  <w:noWrap w:val="0"/>
                  <w:vAlign w:val="center"/>
                </w:tcPr>
                <w:p w14:paraId="04F98494">
                  <w:pPr>
                    <w:jc w:val="center"/>
                    <w:rPr>
                      <w:szCs w:val="21"/>
                    </w:rPr>
                  </w:pPr>
                  <w:r>
                    <w:rPr>
                      <w:rFonts w:hint="eastAsia"/>
                      <w:szCs w:val="21"/>
                      <w:lang w:val="en-US" w:eastAsia="zh-CN"/>
                    </w:rPr>
                    <w:t>230</w:t>
                  </w:r>
                  <w:r>
                    <w:rPr>
                      <w:rFonts w:hint="eastAsia"/>
                      <w:szCs w:val="21"/>
                    </w:rPr>
                    <w:t>m</w:t>
                  </w:r>
                </w:p>
              </w:tc>
              <w:tc>
                <w:tcPr>
                  <w:tcW w:w="2046" w:type="pct"/>
                  <w:vMerge w:val="continue"/>
                  <w:noWrap w:val="0"/>
                  <w:vAlign w:val="center"/>
                </w:tcPr>
                <w:p w14:paraId="6D66C608">
                  <w:pPr>
                    <w:tabs>
                      <w:tab w:val="left" w:pos="0"/>
                    </w:tabs>
                    <w:adjustRightInd w:val="0"/>
                    <w:snapToGrid w:val="0"/>
                    <w:jc w:val="center"/>
                    <w:rPr>
                      <w:color w:val="000000"/>
                      <w:szCs w:val="21"/>
                    </w:rPr>
                  </w:pPr>
                </w:p>
              </w:tc>
            </w:tr>
            <w:tr w14:paraId="4A13E1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10" w:type="pct"/>
                  <w:noWrap w:val="0"/>
                  <w:vAlign w:val="center"/>
                </w:tcPr>
                <w:p w14:paraId="49B66AFA">
                  <w:pPr>
                    <w:jc w:val="center"/>
                    <w:rPr>
                      <w:szCs w:val="21"/>
                    </w:rPr>
                  </w:pPr>
                  <w:r>
                    <w:rPr>
                      <w:szCs w:val="21"/>
                    </w:rPr>
                    <w:t>声环境</w:t>
                  </w:r>
                </w:p>
              </w:tc>
              <w:tc>
                <w:tcPr>
                  <w:tcW w:w="4189" w:type="pct"/>
                  <w:gridSpan w:val="4"/>
                  <w:noWrap w:val="0"/>
                  <w:vAlign w:val="center"/>
                </w:tcPr>
                <w:p w14:paraId="1F0144C8">
                  <w:pPr>
                    <w:tabs>
                      <w:tab w:val="left" w:pos="0"/>
                    </w:tabs>
                    <w:adjustRightInd w:val="0"/>
                    <w:snapToGrid w:val="0"/>
                    <w:jc w:val="center"/>
                    <w:rPr>
                      <w:color w:val="000000"/>
                      <w:szCs w:val="21"/>
                    </w:rPr>
                  </w:pPr>
                  <w:r>
                    <w:rPr>
                      <w:szCs w:val="21"/>
                    </w:rPr>
                    <w:t>厂界外50米范围内无声环境保护目标</w:t>
                  </w:r>
                </w:p>
              </w:tc>
            </w:tr>
            <w:tr w14:paraId="17EB83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10" w:type="pct"/>
                  <w:noWrap w:val="0"/>
                  <w:vAlign w:val="center"/>
                </w:tcPr>
                <w:p w14:paraId="552B25D6">
                  <w:pPr>
                    <w:jc w:val="center"/>
                    <w:rPr>
                      <w:szCs w:val="21"/>
                    </w:rPr>
                  </w:pPr>
                  <w:r>
                    <w:rPr>
                      <w:szCs w:val="21"/>
                    </w:rPr>
                    <w:t>地表水</w:t>
                  </w:r>
                </w:p>
              </w:tc>
              <w:tc>
                <w:tcPr>
                  <w:tcW w:w="949" w:type="pct"/>
                  <w:noWrap w:val="0"/>
                  <w:vAlign w:val="center"/>
                </w:tcPr>
                <w:p w14:paraId="6489A3F7">
                  <w:pPr>
                    <w:jc w:val="center"/>
                    <w:rPr>
                      <w:szCs w:val="21"/>
                    </w:rPr>
                  </w:pPr>
                  <w:r>
                    <w:rPr>
                      <w:rFonts w:hint="default" w:ascii="Times New Roman" w:hAnsi="Times New Roman" w:cs="Times New Roman"/>
                      <w:sz w:val="24"/>
                      <w:lang w:val="en-US" w:eastAsia="zh-CN"/>
                    </w:rPr>
                    <w:t>澧</w:t>
                  </w:r>
                  <w:r>
                    <w:rPr>
                      <w:rFonts w:hint="default" w:ascii="Times New Roman" w:hAnsi="Times New Roman" w:cs="Times New Roman"/>
                      <w:sz w:val="24"/>
                    </w:rPr>
                    <w:t>河</w:t>
                  </w:r>
                </w:p>
              </w:tc>
              <w:tc>
                <w:tcPr>
                  <w:tcW w:w="540" w:type="pct"/>
                  <w:noWrap w:val="0"/>
                  <w:vAlign w:val="center"/>
                </w:tcPr>
                <w:p w14:paraId="628DF59A">
                  <w:pPr>
                    <w:jc w:val="center"/>
                    <w:rPr>
                      <w:szCs w:val="21"/>
                    </w:rPr>
                  </w:pPr>
                  <w:r>
                    <w:rPr>
                      <w:szCs w:val="21"/>
                    </w:rPr>
                    <w:t>N</w:t>
                  </w:r>
                </w:p>
              </w:tc>
              <w:tc>
                <w:tcPr>
                  <w:tcW w:w="653" w:type="pct"/>
                  <w:noWrap w:val="0"/>
                  <w:vAlign w:val="center"/>
                </w:tcPr>
                <w:p w14:paraId="7DF57CEE">
                  <w:pPr>
                    <w:jc w:val="center"/>
                    <w:rPr>
                      <w:szCs w:val="21"/>
                    </w:rPr>
                  </w:pPr>
                  <w:r>
                    <w:rPr>
                      <w:rFonts w:hint="eastAsia"/>
                      <w:szCs w:val="21"/>
                      <w:lang w:val="en-US" w:eastAsia="zh-CN"/>
                    </w:rPr>
                    <w:t>39</w:t>
                  </w:r>
                  <w:r>
                    <w:rPr>
                      <w:szCs w:val="21"/>
                    </w:rPr>
                    <w:t>m</w:t>
                  </w:r>
                </w:p>
              </w:tc>
              <w:tc>
                <w:tcPr>
                  <w:tcW w:w="2046" w:type="pct"/>
                  <w:noWrap w:val="0"/>
                  <w:vAlign w:val="center"/>
                </w:tcPr>
                <w:p w14:paraId="36E5BBB8">
                  <w:pPr>
                    <w:tabs>
                      <w:tab w:val="left" w:pos="0"/>
                    </w:tabs>
                    <w:adjustRightInd w:val="0"/>
                    <w:snapToGrid w:val="0"/>
                    <w:jc w:val="center"/>
                    <w:rPr>
                      <w:color w:val="000000"/>
                      <w:szCs w:val="21"/>
                    </w:rPr>
                  </w:pPr>
                  <w:r>
                    <w:rPr>
                      <w:szCs w:val="21"/>
                    </w:rPr>
                    <w:t>《地表水环境质量标准》（GB 3838-2002）中Ⅲ类水质标准</w:t>
                  </w:r>
                </w:p>
              </w:tc>
            </w:tr>
            <w:tr w14:paraId="09478D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10" w:type="pct"/>
                  <w:noWrap w:val="0"/>
                  <w:vAlign w:val="center"/>
                </w:tcPr>
                <w:p w14:paraId="0E83128E">
                  <w:pPr>
                    <w:jc w:val="center"/>
                    <w:rPr>
                      <w:szCs w:val="21"/>
                    </w:rPr>
                  </w:pPr>
                  <w:r>
                    <w:rPr>
                      <w:szCs w:val="21"/>
                    </w:rPr>
                    <w:t>地下水</w:t>
                  </w:r>
                </w:p>
              </w:tc>
              <w:tc>
                <w:tcPr>
                  <w:tcW w:w="4189" w:type="pct"/>
                  <w:gridSpan w:val="4"/>
                  <w:noWrap w:val="0"/>
                  <w:vAlign w:val="center"/>
                </w:tcPr>
                <w:p w14:paraId="2CC38C5B">
                  <w:pPr>
                    <w:jc w:val="center"/>
                    <w:rPr>
                      <w:color w:val="000000"/>
                      <w:szCs w:val="21"/>
                    </w:rPr>
                  </w:pPr>
                  <w:r>
                    <w:rPr>
                      <w:szCs w:val="21"/>
                      <w:highlight w:val="none"/>
                      <w:lang w:bidi="ar"/>
                    </w:rPr>
                    <w:t>厂界外500m范围内无地下水集中式饮用水水源及特殊地水资源</w:t>
                  </w:r>
                </w:p>
              </w:tc>
            </w:tr>
            <w:tr w14:paraId="20CD64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10" w:type="pct"/>
                  <w:noWrap w:val="0"/>
                  <w:vAlign w:val="center"/>
                </w:tcPr>
                <w:p w14:paraId="4EE7BCC1">
                  <w:pPr>
                    <w:jc w:val="center"/>
                    <w:rPr>
                      <w:szCs w:val="21"/>
                    </w:rPr>
                  </w:pPr>
                  <w:r>
                    <w:rPr>
                      <w:szCs w:val="21"/>
                    </w:rPr>
                    <w:t>生态环境</w:t>
                  </w:r>
                </w:p>
              </w:tc>
              <w:tc>
                <w:tcPr>
                  <w:tcW w:w="4189" w:type="pct"/>
                  <w:gridSpan w:val="4"/>
                  <w:noWrap w:val="0"/>
                  <w:vAlign w:val="center"/>
                </w:tcPr>
                <w:p w14:paraId="2D3027B6">
                  <w:pPr>
                    <w:jc w:val="center"/>
                    <w:rPr>
                      <w:color w:val="000000"/>
                      <w:szCs w:val="21"/>
                    </w:rPr>
                  </w:pPr>
                  <w:r>
                    <w:rPr>
                      <w:szCs w:val="21"/>
                      <w:lang w:val="en-GB" w:bidi="ar"/>
                    </w:rPr>
                    <w:t>项目用地范围内无生态环境保护目标</w:t>
                  </w:r>
                </w:p>
              </w:tc>
            </w:tr>
          </w:tbl>
          <w:p w14:paraId="6E6DCB3A">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jc w:val="both"/>
              <w:textAlignment w:val="auto"/>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pP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7.3环境风险识别</w:t>
            </w:r>
          </w:p>
          <w:p w14:paraId="4E079398">
            <w:pPr>
              <w:keepNext w:val="0"/>
              <w:keepLines w:val="0"/>
              <w:pageBreakBefore w:val="0"/>
              <w:suppressLineNumbers w:val="0"/>
              <w:tabs>
                <w:tab w:val="left" w:pos="1081"/>
              </w:tabs>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jc w:val="both"/>
              <w:textAlignment w:val="auto"/>
              <w:rPr>
                <w:rFonts w:hint="eastAsia" w:ascii="Times New Roman" w:hAnsi="Times New Roman" w:eastAsia="宋体" w:cs="Times New Roman"/>
                <w:color w:val="000000" w:themeColor="text1"/>
                <w:sz w:val="24"/>
                <w:szCs w:val="24"/>
                <w:highlight w:val="none"/>
                <w:u w:val="none" w:color="auto"/>
                <w:lang w:val="en-GB"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u w:val="none" w:color="auto"/>
                <w:lang w:val="en-GB"/>
                <w14:textFill>
                  <w14:solidFill>
                    <w14:schemeClr w14:val="tx1"/>
                  </w14:solidFill>
                </w14:textFill>
              </w:rPr>
              <w:t>项目最大可信事故主要为：</w:t>
            </w: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润滑油</w:t>
            </w:r>
            <w:r>
              <w:rPr>
                <w:rFonts w:hint="eastAsia" w:ascii="Times New Roman" w:hAnsi="Times New Roman" w:eastAsia="宋体" w:cs="Times New Roman"/>
                <w:color w:val="000000" w:themeColor="text1"/>
                <w:sz w:val="24"/>
                <w:szCs w:val="24"/>
                <w:highlight w:val="none"/>
                <w:u w:val="none" w:color="auto"/>
                <w:lang w:eastAsia="zh-CN"/>
                <w14:textFill>
                  <w14:solidFill>
                    <w14:schemeClr w14:val="tx1"/>
                  </w14:solidFill>
                </w14:textFill>
              </w:rPr>
              <w:t>、</w:t>
            </w:r>
            <w:r>
              <w:rPr>
                <w:rFonts w:hint="eastAsia" w:ascii="Times New Roman" w:hAnsi="Times New Roman" w:eastAsia="宋体" w:cs="Times New Roman"/>
                <w:color w:val="000000" w:themeColor="text1"/>
                <w:sz w:val="24"/>
                <w:szCs w:val="24"/>
                <w:highlight w:val="none"/>
                <w:u w:val="none" w:color="auto"/>
                <w:lang w:val="en-US" w:eastAsia="zh-CN"/>
                <w14:textFill>
                  <w14:solidFill>
                    <w14:schemeClr w14:val="tx1"/>
                  </w14:solidFill>
                </w14:textFill>
              </w:rPr>
              <w:t>木煤气</w:t>
            </w: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等物料的储存和使用如遇明火，易引起火灾</w:t>
            </w:r>
            <w:r>
              <w:rPr>
                <w:rFonts w:hint="eastAsia" w:ascii="Times New Roman" w:hAnsi="Times New Roman" w:eastAsia="宋体" w:cs="Times New Roman"/>
                <w:color w:val="000000" w:themeColor="text1"/>
                <w:sz w:val="24"/>
                <w:szCs w:val="24"/>
                <w:highlight w:val="none"/>
                <w:u w:val="none" w:color="auto"/>
                <w:lang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废润滑油</w:t>
            </w:r>
            <w:r>
              <w:rPr>
                <w:rFonts w:hint="eastAsia" w:ascii="Times New Roman" w:hAnsi="Times New Roman" w:eastAsia="宋体" w:cs="Times New Roman"/>
                <w:color w:val="000000" w:themeColor="text1"/>
                <w:sz w:val="24"/>
                <w:szCs w:val="24"/>
                <w:highlight w:val="none"/>
                <w:u w:val="none" w:color="auto"/>
                <w:lang w:eastAsia="zh-CN"/>
                <w14:textFill>
                  <w14:solidFill>
                    <w14:schemeClr w14:val="tx1"/>
                  </w14:solidFill>
                </w14:textFill>
              </w:rPr>
              <w:t>、</w:t>
            </w:r>
            <w:r>
              <w:rPr>
                <w:rFonts w:hint="eastAsia" w:ascii="Times New Roman" w:hAnsi="Times New Roman" w:eastAsia="宋体" w:cs="Times New Roman"/>
                <w:color w:val="000000" w:themeColor="text1"/>
                <w:sz w:val="24"/>
                <w:szCs w:val="24"/>
                <w:highlight w:val="none"/>
                <w:u w:val="none" w:color="auto"/>
                <w:lang w:val="en-US" w:eastAsia="zh-CN"/>
                <w14:textFill>
                  <w14:solidFill>
                    <w14:schemeClr w14:val="tx1"/>
                  </w14:solidFill>
                </w14:textFill>
              </w:rPr>
              <w:t>木焦油、木醋液、木煤气等</w:t>
            </w: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暂存过程中发生泄漏</w:t>
            </w:r>
            <w:r>
              <w:rPr>
                <w:rFonts w:hint="eastAsia" w:ascii="Times New Roman" w:hAnsi="Times New Roman" w:eastAsia="宋体" w:cs="Times New Roman"/>
                <w:color w:val="000000" w:themeColor="text1"/>
                <w:sz w:val="24"/>
                <w:szCs w:val="24"/>
                <w:highlight w:val="none"/>
                <w:u w:val="none" w:color="auto"/>
                <w:lang w:eastAsia="zh-CN"/>
                <w14:textFill>
                  <w14:solidFill>
                    <w14:schemeClr w14:val="tx1"/>
                  </w14:solidFill>
                </w14:textFill>
              </w:rPr>
              <w:t>。</w:t>
            </w:r>
          </w:p>
          <w:p w14:paraId="46030AF7">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jc w:val="both"/>
              <w:textAlignment w:val="auto"/>
              <w:rPr>
                <w:rFonts w:hint="default" w:ascii="Times New Roman" w:hAnsi="Times New Roman" w:eastAsia="宋体" w:cs="Times New Roman"/>
                <w:color w:val="000000" w:themeColor="text1"/>
                <w:sz w:val="24"/>
                <w:szCs w:val="24"/>
                <w:highlight w:val="none"/>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highlight w:val="none"/>
                <w:u w:val="none" w:color="auto"/>
                <w:lang w:eastAsia="zh-CN"/>
                <w14:textFill>
                  <w14:solidFill>
                    <w14:schemeClr w14:val="tx1"/>
                  </w14:solidFill>
                </w14:textFill>
              </w:rPr>
              <w:t>（</w:t>
            </w:r>
            <w:r>
              <w:rPr>
                <w:rFonts w:hint="eastAsia" w:ascii="Times New Roman" w:hAnsi="Times New Roman" w:eastAsia="宋体" w:cs="Times New Roman"/>
                <w:color w:val="000000" w:themeColor="text1"/>
                <w:sz w:val="24"/>
                <w:szCs w:val="24"/>
                <w:highlight w:val="none"/>
                <w:u w:val="none" w:color="auto"/>
                <w:lang w:val="en-US" w:eastAsia="zh-CN"/>
                <w14:textFill>
                  <w14:solidFill>
                    <w14:schemeClr w14:val="tx1"/>
                  </w14:solidFill>
                </w14:textFill>
              </w:rPr>
              <w:t>1</w:t>
            </w:r>
            <w:r>
              <w:rPr>
                <w:rFonts w:hint="eastAsia" w:ascii="Times New Roman" w:hAnsi="Times New Roman" w:eastAsia="宋体" w:cs="Times New Roman"/>
                <w:color w:val="000000" w:themeColor="text1"/>
                <w:sz w:val="24"/>
                <w:szCs w:val="24"/>
                <w:highlight w:val="none"/>
                <w:u w:val="none" w:color="auto"/>
                <w:lang w:eastAsia="zh-CN"/>
                <w14:textFill>
                  <w14:solidFill>
                    <w14:schemeClr w14:val="tx1"/>
                  </w14:solidFill>
                </w14:textFill>
              </w:rPr>
              <w:t>）</w:t>
            </w:r>
            <w:r>
              <w:rPr>
                <w:rFonts w:hint="eastAsia" w:ascii="Times New Roman" w:hAnsi="Times New Roman" w:eastAsia="宋体" w:cs="Times New Roman"/>
                <w:color w:val="000000" w:themeColor="text1"/>
                <w:sz w:val="24"/>
                <w:szCs w:val="24"/>
                <w:highlight w:val="none"/>
                <w:u w:val="none" w:color="auto"/>
                <w:lang w:val="en-US" w:eastAsia="zh-CN"/>
                <w14:textFill>
                  <w14:solidFill>
                    <w14:schemeClr w14:val="tx1"/>
                  </w14:solidFill>
                </w14:textFill>
              </w:rPr>
              <w:t>木煤气</w:t>
            </w:r>
          </w:p>
          <w:p w14:paraId="70D4587A">
            <w:pPr>
              <w:keepNext w:val="0"/>
              <w:keepLines w:val="0"/>
              <w:suppressLineNumbers w:val="0"/>
              <w:autoSpaceDE w:val="0"/>
              <w:autoSpaceDN w:val="0"/>
              <w:adjustRightInd w:val="0"/>
              <w:spacing w:before="0" w:beforeAutospacing="0" w:after="0" w:afterAutospacing="0" w:line="360" w:lineRule="auto"/>
              <w:ind w:left="0" w:right="0" w:firstLine="480" w:firstLineChars="200"/>
              <w:jc w:val="both"/>
              <w:rPr>
                <w:rFonts w:hint="eastAsia"/>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在正常工况下，炭化炉产生的木煤气经充分燃烧后，不存在危害问题。在非正常工况下（事故性），工程存在的一氧化碳排放事故</w:t>
            </w:r>
            <w:r>
              <w:rPr>
                <w:rFonts w:hint="eastAsia"/>
                <w:color w:val="000000" w:themeColor="text1"/>
                <w:sz w:val="24"/>
                <w:szCs w:val="24"/>
                <w:lang w:eastAsia="zh-CN"/>
                <w14:textFill>
                  <w14:solidFill>
                    <w14:schemeClr w14:val="tx1"/>
                  </w14:solidFill>
                </w14:textFill>
              </w:rPr>
              <w:t>，</w:t>
            </w:r>
            <w:r>
              <w:rPr>
                <w:rFonts w:hint="eastAsia"/>
                <w:color w:val="000000" w:themeColor="text1"/>
                <w:sz w:val="24"/>
                <w:szCs w:val="24"/>
                <w14:textFill>
                  <w14:solidFill>
                    <w14:schemeClr w14:val="tx1"/>
                  </w14:solidFill>
                </w14:textFill>
              </w:rPr>
              <w:t>主要指输送设备发生泄漏，这些设备是通过管道连接、阀门控制来完成整个过程，若某设备或配件产品质量出现问题，将造成烟气“跑、冒、泄漏”事件，导致车间内及周围空气环境污染，危害人体健康。若管理不善，操作人员违反操作规程，违反安全规定导致泄漏；若维护不善，设备失修，仪表失灵，也可能导致污染事故。由于本项目木煤气产生、输送、使用均集中在厂内，木煤气发生火灾、爆炸事故主要波及厂内生产、生活设施和厂内人员。当木煤气泄漏引发火灾事故时，火灾事故对环境的影响主要表现在两个方面，一是火灾燃烧分解产物进入大气对大气环境的影响，二是事故消防废水进入水体对水环境的影响。当发生火灾事故时，消防废水若直接进入水体，将会对水环境造成一定的影响，按照环境风险管理的要求，消防废水不能直接进入水体，需进行处理。</w:t>
            </w:r>
          </w:p>
          <w:p w14:paraId="718784E9">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jc w:val="both"/>
              <w:textAlignment w:val="auto"/>
              <w:rPr>
                <w:rFonts w:hint="default" w:ascii="Times New Roman" w:hAnsi="Times New Roman" w:eastAsia="宋体" w:cs="Times New Roman"/>
                <w:color w:val="000000" w:themeColor="text1"/>
                <w:sz w:val="24"/>
                <w:szCs w:val="24"/>
                <w:highlight w:val="none"/>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highlight w:val="none"/>
                <w:u w:val="none" w:color="auto"/>
                <w:lang w:eastAsia="zh-CN"/>
                <w14:textFill>
                  <w14:solidFill>
                    <w14:schemeClr w14:val="tx1"/>
                  </w14:solidFill>
                </w14:textFill>
              </w:rPr>
              <w:t>（</w:t>
            </w:r>
            <w:r>
              <w:rPr>
                <w:rFonts w:hint="eastAsia" w:ascii="Times New Roman" w:hAnsi="Times New Roman" w:eastAsia="宋体" w:cs="Times New Roman"/>
                <w:color w:val="000000" w:themeColor="text1"/>
                <w:sz w:val="24"/>
                <w:szCs w:val="24"/>
                <w:highlight w:val="none"/>
                <w:u w:val="none" w:color="auto"/>
                <w:lang w:val="en-US" w:eastAsia="zh-CN"/>
                <w14:textFill>
                  <w14:solidFill>
                    <w14:schemeClr w14:val="tx1"/>
                  </w14:solidFill>
                </w14:textFill>
              </w:rPr>
              <w:t>2</w:t>
            </w:r>
            <w:r>
              <w:rPr>
                <w:rFonts w:hint="eastAsia" w:ascii="Times New Roman" w:hAnsi="Times New Roman" w:eastAsia="宋体" w:cs="Times New Roman"/>
                <w:color w:val="000000" w:themeColor="text1"/>
                <w:sz w:val="24"/>
                <w:szCs w:val="24"/>
                <w:highlight w:val="none"/>
                <w:u w:val="none" w:color="auto"/>
                <w:lang w:eastAsia="zh-CN"/>
                <w14:textFill>
                  <w14:solidFill>
                    <w14:schemeClr w14:val="tx1"/>
                  </w14:solidFill>
                </w14:textFill>
              </w:rPr>
              <w:t>）</w:t>
            </w:r>
            <w:r>
              <w:rPr>
                <w:rFonts w:hint="eastAsia" w:ascii="Times New Roman" w:hAnsi="Times New Roman" w:eastAsia="宋体" w:cs="Times New Roman"/>
                <w:color w:val="000000" w:themeColor="text1"/>
                <w:sz w:val="24"/>
                <w:szCs w:val="24"/>
                <w:highlight w:val="none"/>
                <w:u w:val="none" w:color="auto"/>
                <w:lang w:val="en-US" w:eastAsia="zh-CN"/>
                <w14:textFill>
                  <w14:solidFill>
                    <w14:schemeClr w14:val="tx1"/>
                  </w14:solidFill>
                </w14:textFill>
              </w:rPr>
              <w:t>木焦油、木醋液</w:t>
            </w:r>
          </w:p>
          <w:p w14:paraId="5D415434">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jc w:val="both"/>
              <w:textAlignment w:val="auto"/>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pPr>
            <w:r>
              <w:rPr>
                <w:rFonts w:hint="eastAsia" w:ascii="宋体" w:hAnsi="宋体"/>
                <w:color w:val="000000" w:themeColor="text1"/>
                <w:sz w:val="24"/>
                <w:szCs w:val="24"/>
                <w14:textFill>
                  <w14:solidFill>
                    <w14:schemeClr w14:val="tx1"/>
                  </w14:solidFill>
                </w14:textFill>
              </w:rPr>
              <w:t>项目产生的木焦油、木醋液混合液作为副产品出售，正常运行情况可得到合理处置，对水环境基本无影响，如出现泄漏等情况，木焦油、木醋液混合液将渗漏到附近土壤中，对场地地下水、土壤造成严重污染，若进入附近农田，将会对农作物造成污染。为避免风险事故的发生，应加强监管，避免木焦油、木醋液混合液外泄对周围地下水、土壤环境造成污染。</w:t>
            </w:r>
          </w:p>
          <w:p w14:paraId="21B6C712">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jc w:val="both"/>
              <w:textAlignment w:val="auto"/>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pPr>
            <w:r>
              <w:rPr>
                <w:rFonts w:hint="eastAsia" w:ascii="Times New Roman" w:hAnsi="Times New Roman" w:eastAsia="宋体" w:cs="Times New Roman"/>
                <w:color w:val="000000" w:themeColor="text1"/>
                <w:sz w:val="24"/>
                <w:szCs w:val="24"/>
                <w:highlight w:val="none"/>
                <w:u w:val="none" w:color="auto"/>
                <w:lang w:eastAsia="zh-CN"/>
                <w14:textFill>
                  <w14:solidFill>
                    <w14:schemeClr w14:val="tx1"/>
                  </w14:solidFill>
                </w14:textFill>
              </w:rPr>
              <w:t>（</w:t>
            </w:r>
            <w:r>
              <w:rPr>
                <w:rFonts w:hint="eastAsia" w:ascii="Times New Roman" w:hAnsi="Times New Roman" w:eastAsia="宋体" w:cs="Times New Roman"/>
                <w:color w:val="000000" w:themeColor="text1"/>
                <w:sz w:val="24"/>
                <w:szCs w:val="24"/>
                <w:highlight w:val="none"/>
                <w:u w:val="none" w:color="auto"/>
                <w:lang w:val="en-US" w:eastAsia="zh-CN"/>
                <w14:textFill>
                  <w14:solidFill>
                    <w14:schemeClr w14:val="tx1"/>
                  </w14:solidFill>
                </w14:textFill>
              </w:rPr>
              <w:t>3</w:t>
            </w:r>
            <w:r>
              <w:rPr>
                <w:rFonts w:hint="eastAsia" w:ascii="Times New Roman" w:hAnsi="Times New Roman" w:eastAsia="宋体" w:cs="Times New Roman"/>
                <w:color w:val="000000" w:themeColor="text1"/>
                <w:sz w:val="24"/>
                <w:szCs w:val="24"/>
                <w:highlight w:val="none"/>
                <w:u w:val="none" w:color="auto"/>
                <w:lang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润滑油等物料的储存和使用风险识别</w:t>
            </w:r>
          </w:p>
          <w:p w14:paraId="6FE99DBC">
            <w:pPr>
              <w:keepNext w:val="0"/>
              <w:keepLines w:val="0"/>
              <w:pageBreakBefore w:val="0"/>
              <w:suppressLineNumbers w:val="0"/>
              <w:tabs>
                <w:tab w:val="left" w:pos="1081"/>
              </w:tabs>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jc w:val="both"/>
              <w:textAlignment w:val="auto"/>
              <w:rPr>
                <w:rFonts w:hint="default" w:ascii="Times New Roman" w:hAnsi="Times New Roman" w:eastAsia="宋体" w:cs="Times New Roman"/>
                <w:color w:val="000000" w:themeColor="text1"/>
                <w:sz w:val="24"/>
                <w:szCs w:val="24"/>
                <w:highlight w:val="none"/>
                <w:u w:val="none" w:color="auto"/>
                <w:lang w:val="en-GB"/>
                <w14:textFill>
                  <w14:solidFill>
                    <w14:schemeClr w14:val="tx1"/>
                  </w14:solidFill>
                </w14:textFill>
              </w:rPr>
            </w:pPr>
            <w:r>
              <w:rPr>
                <w:rFonts w:hint="default" w:ascii="Times New Roman" w:hAnsi="Times New Roman" w:eastAsia="宋体" w:cs="Times New Roman"/>
                <w:color w:val="000000" w:themeColor="text1"/>
                <w:sz w:val="24"/>
                <w:szCs w:val="24"/>
                <w:highlight w:val="none"/>
                <w:u w:val="none" w:color="auto"/>
                <w:lang w:val="en-GB"/>
                <w14:textFill>
                  <w14:solidFill>
                    <w14:schemeClr w14:val="tx1"/>
                  </w14:solidFill>
                </w14:textFill>
              </w:rPr>
              <w:t>项目所用</w:t>
            </w: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润滑油等物料</w:t>
            </w:r>
            <w:r>
              <w:rPr>
                <w:rFonts w:hint="default" w:ascii="Times New Roman" w:hAnsi="Times New Roman" w:eastAsia="宋体" w:cs="Times New Roman"/>
                <w:color w:val="000000" w:themeColor="text1"/>
                <w:sz w:val="24"/>
                <w:szCs w:val="24"/>
                <w:highlight w:val="none"/>
                <w:u w:val="none" w:color="auto"/>
                <w:lang w:val="en-GB"/>
                <w14:textFill>
                  <w14:solidFill>
                    <w14:schemeClr w14:val="tx1"/>
                  </w14:solidFill>
                </w14:textFill>
              </w:rPr>
              <w:t>易燃，原料储存过程一旦发生泄露，挥发出来的易燃蒸汽扩散到存放该物品的库房间，与空气混合，若遇到易燃物质或明火等可能引起火灾爆炸，当浓度达到一定范围，即达到爆炸极限时，遇明火或火花即能引起爆炸。</w:t>
            </w:r>
          </w:p>
          <w:p w14:paraId="661F4517">
            <w:pPr>
              <w:keepNext w:val="0"/>
              <w:keepLines w:val="0"/>
              <w:pageBreakBefore w:val="0"/>
              <w:suppressLineNumbers w:val="0"/>
              <w:tabs>
                <w:tab w:val="left" w:pos="1081"/>
              </w:tabs>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jc w:val="both"/>
              <w:textAlignment w:val="auto"/>
              <w:rPr>
                <w:rFonts w:hint="default" w:ascii="Times New Roman" w:hAnsi="Times New Roman" w:eastAsia="宋体" w:cs="Times New Roman"/>
                <w:color w:val="000000" w:themeColor="text1"/>
                <w:sz w:val="24"/>
                <w:szCs w:val="24"/>
                <w:highlight w:val="none"/>
                <w:u w:val="none" w:color="auto"/>
                <w:lang w:val="en-GB"/>
                <w14:textFill>
                  <w14:solidFill>
                    <w14:schemeClr w14:val="tx1"/>
                  </w14:solidFill>
                </w14:textFill>
              </w:rPr>
            </w:pPr>
            <w:r>
              <w:rPr>
                <w:rFonts w:hint="eastAsia" w:ascii="Times New Roman" w:hAnsi="Times New Roman" w:eastAsia="宋体" w:cs="Times New Roman"/>
                <w:color w:val="000000" w:themeColor="text1"/>
                <w:sz w:val="24"/>
                <w:szCs w:val="24"/>
                <w:highlight w:val="none"/>
                <w:u w:val="none" w:color="auto"/>
                <w:lang w:val="en-GB" w:eastAsia="zh-CN"/>
                <w14:textFill>
                  <w14:solidFill>
                    <w14:schemeClr w14:val="tx1"/>
                  </w14:solidFill>
                </w14:textFill>
              </w:rPr>
              <w:t>（</w:t>
            </w:r>
            <w:r>
              <w:rPr>
                <w:rFonts w:hint="eastAsia" w:ascii="Times New Roman" w:hAnsi="Times New Roman" w:eastAsia="宋体" w:cs="Times New Roman"/>
                <w:color w:val="000000" w:themeColor="text1"/>
                <w:sz w:val="24"/>
                <w:szCs w:val="24"/>
                <w:highlight w:val="none"/>
                <w:u w:val="none" w:color="auto"/>
                <w:lang w:val="en-US" w:eastAsia="zh-CN"/>
                <w14:textFill>
                  <w14:solidFill>
                    <w14:schemeClr w14:val="tx1"/>
                  </w14:solidFill>
                </w14:textFill>
              </w:rPr>
              <w:t>4</w:t>
            </w:r>
            <w:r>
              <w:rPr>
                <w:rFonts w:hint="eastAsia" w:ascii="Times New Roman" w:hAnsi="Times New Roman" w:eastAsia="宋体" w:cs="Times New Roman"/>
                <w:color w:val="000000" w:themeColor="text1"/>
                <w:sz w:val="24"/>
                <w:szCs w:val="24"/>
                <w:highlight w:val="none"/>
                <w:u w:val="none" w:color="auto"/>
                <w:lang w:val="en-GB"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废润滑油</w:t>
            </w:r>
            <w:r>
              <w:rPr>
                <w:rFonts w:hint="default" w:ascii="Times New Roman" w:hAnsi="Times New Roman" w:eastAsia="宋体" w:cs="Times New Roman"/>
                <w:color w:val="000000" w:themeColor="text1"/>
                <w:sz w:val="24"/>
                <w:szCs w:val="24"/>
                <w:highlight w:val="none"/>
                <w:u w:val="none" w:color="auto"/>
                <w:lang w:val="en-GB"/>
                <w14:textFill>
                  <w14:solidFill>
                    <w14:schemeClr w14:val="tx1"/>
                  </w14:solidFill>
                </w14:textFill>
              </w:rPr>
              <w:t>等危险废物的暂存风险识别</w:t>
            </w:r>
          </w:p>
          <w:p w14:paraId="6E211921">
            <w:pPr>
              <w:keepNext w:val="0"/>
              <w:keepLines w:val="0"/>
              <w:pageBreakBefore w:val="0"/>
              <w:suppressLineNumbers w:val="0"/>
              <w:tabs>
                <w:tab w:val="left" w:pos="1081"/>
              </w:tabs>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jc w:val="both"/>
              <w:textAlignment w:val="auto"/>
              <w:rPr>
                <w:rFonts w:hint="default" w:ascii="Times New Roman" w:hAnsi="Times New Roman" w:eastAsia="宋体" w:cs="Times New Roman"/>
                <w:color w:val="000000" w:themeColor="text1"/>
                <w:sz w:val="24"/>
                <w:szCs w:val="24"/>
                <w:highlight w:val="none"/>
                <w:u w:val="none" w:color="auto"/>
                <w:lang w:val="en-GB"/>
                <w14:textFill>
                  <w14:solidFill>
                    <w14:schemeClr w14:val="tx1"/>
                  </w14:solidFill>
                </w14:textFill>
              </w:rPr>
            </w:pPr>
            <w:r>
              <w:rPr>
                <w:rFonts w:hint="default" w:ascii="Times New Roman" w:hAnsi="Times New Roman" w:eastAsia="宋体" w:cs="Times New Roman"/>
                <w:color w:val="000000" w:themeColor="text1"/>
                <w:sz w:val="24"/>
                <w:szCs w:val="24"/>
                <w:highlight w:val="none"/>
                <w:u w:val="none" w:color="auto"/>
                <w:lang w:val="en-GB"/>
                <w14:textFill>
                  <w14:solidFill>
                    <w14:schemeClr w14:val="tx1"/>
                  </w14:solidFill>
                </w14:textFill>
              </w:rPr>
              <w:t>项目</w:t>
            </w: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设备维护过程中产生废润滑油和废润滑油桶</w:t>
            </w:r>
            <w:r>
              <w:rPr>
                <w:rFonts w:hint="default" w:ascii="Times New Roman" w:hAnsi="Times New Roman" w:eastAsia="宋体" w:cs="Times New Roman"/>
                <w:color w:val="000000" w:themeColor="text1"/>
                <w:sz w:val="24"/>
                <w:szCs w:val="24"/>
                <w:highlight w:val="none"/>
                <w:u w:val="none" w:color="auto"/>
                <w:lang w:val="en-GB"/>
                <w14:textFill>
                  <w14:solidFill>
                    <w14:schemeClr w14:val="tx1"/>
                  </w14:solidFill>
                </w14:textFill>
              </w:rPr>
              <w:t>，该风险物质暂存危废暂存间（风险区域），在暂存过程中一旦发生泄漏事故，可能会对区域土壤环境和水环境产生影响。</w:t>
            </w:r>
          </w:p>
          <w:p w14:paraId="3A82BB6C">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jc w:val="both"/>
              <w:textAlignment w:val="auto"/>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pP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7.3.</w:t>
            </w:r>
            <w:r>
              <w:rPr>
                <w:rFonts w:hint="default" w:ascii="Times New Roman" w:hAnsi="Times New Roman" w:eastAsia="宋体" w:cs="Times New Roman"/>
                <w:color w:val="000000" w:themeColor="text1"/>
                <w:sz w:val="24"/>
                <w:szCs w:val="24"/>
                <w:highlight w:val="none"/>
                <w:u w:val="none" w:color="auto"/>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风险类型识别结果</w:t>
            </w:r>
          </w:p>
          <w:p w14:paraId="20CFBB70">
            <w:pPr>
              <w:keepNext w:val="0"/>
              <w:keepLines w:val="0"/>
              <w:pageBreakBefore w:val="0"/>
              <w:suppressLineNumbers w:val="0"/>
              <w:kinsoku/>
              <w:wordWrap/>
              <w:overflowPunct/>
              <w:topLinePunct w:val="0"/>
              <w:autoSpaceDE/>
              <w:autoSpaceDN/>
              <w:bidi w:val="0"/>
              <w:snapToGrid w:val="0"/>
              <w:spacing w:before="0" w:beforeAutospacing="0" w:after="0" w:afterAutospacing="0" w:line="360" w:lineRule="auto"/>
              <w:ind w:left="0" w:leftChars="0" w:right="0" w:firstLine="480" w:firstLineChars="200"/>
              <w:jc w:val="both"/>
              <w:textAlignment w:val="auto"/>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pP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综上分析，本次评价确定项目的风险类型主要为：润滑油</w:t>
            </w:r>
            <w:r>
              <w:rPr>
                <w:rFonts w:hint="eastAsia" w:ascii="Times New Roman" w:hAnsi="Times New Roman" w:eastAsia="宋体" w:cs="Times New Roman"/>
                <w:color w:val="000000" w:themeColor="text1"/>
                <w:sz w:val="24"/>
                <w:szCs w:val="24"/>
                <w:highlight w:val="none"/>
                <w:u w:val="none" w:color="auto"/>
                <w:lang w:eastAsia="zh-CN"/>
                <w14:textFill>
                  <w14:solidFill>
                    <w14:schemeClr w14:val="tx1"/>
                  </w14:solidFill>
                </w14:textFill>
              </w:rPr>
              <w:t>、</w:t>
            </w:r>
            <w:r>
              <w:rPr>
                <w:rFonts w:hint="eastAsia" w:ascii="Times New Roman" w:hAnsi="Times New Roman" w:eastAsia="宋体" w:cs="Times New Roman"/>
                <w:color w:val="000000" w:themeColor="text1"/>
                <w:sz w:val="24"/>
                <w:szCs w:val="24"/>
                <w:highlight w:val="none"/>
                <w:u w:val="none" w:color="auto"/>
                <w:lang w:val="en-US" w:eastAsia="zh-CN"/>
                <w14:textFill>
                  <w14:solidFill>
                    <w14:schemeClr w14:val="tx1"/>
                  </w14:solidFill>
                </w14:textFill>
              </w:rPr>
              <w:t>木焦油、木醋液、木煤气</w:t>
            </w: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等物料的储存和使用</w:t>
            </w:r>
            <w:r>
              <w:rPr>
                <w:rFonts w:hint="eastAsia" w:ascii="Times New Roman" w:hAnsi="Times New Roman" w:eastAsia="宋体" w:cs="Times New Roman"/>
                <w:color w:val="000000" w:themeColor="text1"/>
                <w:sz w:val="24"/>
                <w:szCs w:val="24"/>
                <w:highlight w:val="none"/>
                <w:u w:val="none" w:color="auto"/>
                <w:lang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如遇</w:t>
            </w:r>
            <w:r>
              <w:rPr>
                <w:rFonts w:hint="default" w:ascii="Times New Roman" w:hAnsi="Times New Roman" w:eastAsia="宋体" w:cs="Times New Roman"/>
                <w:color w:val="000000" w:themeColor="text1"/>
                <w:sz w:val="24"/>
                <w:szCs w:val="24"/>
                <w:highlight w:val="none"/>
                <w:u w:val="none" w:color="auto"/>
                <w:lang w:val="en-GB"/>
                <w14:textFill>
                  <w14:solidFill>
                    <w14:schemeClr w14:val="tx1"/>
                  </w14:solidFill>
                </w14:textFill>
              </w:rPr>
              <w:t>易燃物质或明火等可能引起火灾</w:t>
            </w: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；废润滑油</w:t>
            </w:r>
            <w:r>
              <w:rPr>
                <w:rFonts w:hint="eastAsia" w:ascii="Times New Roman" w:hAnsi="Times New Roman" w:eastAsia="宋体" w:cs="Times New Roman"/>
                <w:color w:val="000000" w:themeColor="text1"/>
                <w:sz w:val="24"/>
                <w:szCs w:val="24"/>
                <w:highlight w:val="none"/>
                <w:u w:val="none" w:color="auto"/>
                <w:lang w:eastAsia="zh-CN"/>
                <w14:textFill>
                  <w14:solidFill>
                    <w14:schemeClr w14:val="tx1"/>
                  </w14:solidFill>
                </w14:textFill>
              </w:rPr>
              <w:t>、</w:t>
            </w:r>
            <w:r>
              <w:rPr>
                <w:rFonts w:hint="eastAsia" w:ascii="Times New Roman" w:hAnsi="Times New Roman" w:eastAsia="宋体" w:cs="Times New Roman"/>
                <w:color w:val="000000" w:themeColor="text1"/>
                <w:sz w:val="24"/>
                <w:szCs w:val="24"/>
                <w:highlight w:val="none"/>
                <w:u w:val="none" w:color="auto"/>
                <w:lang w:val="en-US" w:eastAsia="zh-CN"/>
                <w14:textFill>
                  <w14:solidFill>
                    <w14:schemeClr w14:val="tx1"/>
                  </w14:solidFill>
                </w14:textFill>
              </w:rPr>
              <w:t>木焦油、木醋液等</w:t>
            </w: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储存对周边地表水、土壤、地下水环境造成的风险影响。</w:t>
            </w:r>
          </w:p>
          <w:p w14:paraId="0FB44043">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jc w:val="both"/>
              <w:textAlignment w:val="auto"/>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pP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7.4环境风险分析</w:t>
            </w:r>
          </w:p>
          <w:p w14:paraId="6313D3D9">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jc w:val="both"/>
              <w:textAlignment w:val="auto"/>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pP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（1）火灾事故分析</w:t>
            </w:r>
          </w:p>
          <w:p w14:paraId="231C9DED">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jc w:val="both"/>
              <w:textAlignment w:val="auto"/>
              <w:rPr>
                <w:rFonts w:hint="default" w:ascii="Times New Roman" w:hAnsi="Times New Roman" w:eastAsia="宋体" w:cs="Times New Roman"/>
                <w:bCs/>
                <w:color w:val="000000" w:themeColor="text1"/>
                <w:sz w:val="24"/>
                <w:szCs w:val="24"/>
                <w:highlight w:val="none"/>
                <w:u w:val="none" w:color="auto"/>
                <w14:textFill>
                  <w14:solidFill>
                    <w14:schemeClr w14:val="tx1"/>
                  </w14:solidFill>
                </w14:textFill>
              </w:rPr>
            </w:pPr>
            <w:r>
              <w:rPr>
                <w:rFonts w:hint="default" w:ascii="Times New Roman" w:hAnsi="Times New Roman" w:eastAsia="宋体" w:cs="Times New Roman"/>
                <w:bCs/>
                <w:color w:val="000000" w:themeColor="text1"/>
                <w:sz w:val="24"/>
                <w:szCs w:val="24"/>
                <w:highlight w:val="none"/>
                <w:u w:val="none" w:color="auto"/>
                <w14:textFill>
                  <w14:solidFill>
                    <w14:schemeClr w14:val="tx1"/>
                  </w14:solidFill>
                </w14:textFill>
              </w:rPr>
              <w:t>①大气环境</w:t>
            </w:r>
          </w:p>
          <w:p w14:paraId="3E985B4A">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jc w:val="both"/>
              <w:textAlignment w:val="auto"/>
              <w:rPr>
                <w:rFonts w:hint="default" w:ascii="Times New Roman" w:hAnsi="Times New Roman" w:eastAsia="宋体" w:cs="Times New Roman"/>
                <w:bCs/>
                <w:color w:val="000000" w:themeColor="text1"/>
                <w:sz w:val="24"/>
                <w:szCs w:val="24"/>
                <w:highlight w:val="none"/>
                <w:u w:val="none" w:color="auto"/>
                <w14:textFill>
                  <w14:solidFill>
                    <w14:schemeClr w14:val="tx1"/>
                  </w14:solidFill>
                </w14:textFill>
              </w:rPr>
            </w:pPr>
            <w:r>
              <w:rPr>
                <w:rFonts w:hint="default" w:ascii="Times New Roman" w:hAnsi="Times New Roman" w:eastAsia="宋体" w:cs="Times New Roman"/>
                <w:bCs/>
                <w:color w:val="000000" w:themeColor="text1"/>
                <w:sz w:val="24"/>
                <w:szCs w:val="24"/>
                <w:highlight w:val="none"/>
                <w:u w:val="none" w:color="auto"/>
                <w14:textFill>
                  <w14:solidFill>
                    <w14:schemeClr w14:val="tx1"/>
                  </w14:solidFill>
                </w14:textFill>
              </w:rPr>
              <w:t>本项目涉及的</w:t>
            </w: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润滑油</w:t>
            </w:r>
            <w:r>
              <w:rPr>
                <w:rFonts w:hint="eastAsia" w:ascii="Times New Roman" w:hAnsi="Times New Roman" w:eastAsia="宋体" w:cs="Times New Roman"/>
                <w:color w:val="000000" w:themeColor="text1"/>
                <w:sz w:val="24"/>
                <w:szCs w:val="24"/>
                <w:highlight w:val="none"/>
                <w:u w:val="none" w:color="auto"/>
                <w:lang w:eastAsia="zh-CN"/>
                <w14:textFill>
                  <w14:solidFill>
                    <w14:schemeClr w14:val="tx1"/>
                  </w14:solidFill>
                </w14:textFill>
              </w:rPr>
              <w:t>、</w:t>
            </w:r>
            <w:r>
              <w:rPr>
                <w:rFonts w:hint="eastAsia" w:ascii="Times New Roman" w:hAnsi="Times New Roman" w:eastAsia="宋体" w:cs="Times New Roman"/>
                <w:color w:val="000000" w:themeColor="text1"/>
                <w:sz w:val="24"/>
                <w:szCs w:val="24"/>
                <w:highlight w:val="none"/>
                <w:u w:val="none" w:color="auto"/>
                <w:lang w:val="en-US" w:eastAsia="zh-CN"/>
                <w14:textFill>
                  <w14:solidFill>
                    <w14:schemeClr w14:val="tx1"/>
                  </w14:solidFill>
                </w14:textFill>
              </w:rPr>
              <w:t>木煤气等</w:t>
            </w:r>
            <w:r>
              <w:rPr>
                <w:rFonts w:hint="default" w:ascii="Times New Roman" w:hAnsi="Times New Roman" w:eastAsia="宋体" w:cs="Times New Roman"/>
                <w:bCs/>
                <w:color w:val="000000" w:themeColor="text1"/>
                <w:sz w:val="24"/>
                <w:szCs w:val="24"/>
                <w:highlight w:val="none"/>
                <w:u w:val="none" w:color="auto"/>
                <w14:textFill>
                  <w14:solidFill>
                    <w14:schemeClr w14:val="tx1"/>
                  </w14:solidFill>
                </w14:textFill>
              </w:rPr>
              <w:t>属于易燃物质</w:t>
            </w:r>
            <w:r>
              <w:rPr>
                <w:rFonts w:hint="eastAsia" w:ascii="Times New Roman" w:hAnsi="Times New Roman" w:eastAsia="宋体" w:cs="Times New Roman"/>
                <w:bCs/>
                <w:color w:val="000000" w:themeColor="text1"/>
                <w:sz w:val="24"/>
                <w:szCs w:val="24"/>
                <w:highlight w:val="none"/>
                <w:u w:val="none" w:color="auto"/>
                <w:lang w:eastAsia="zh-CN"/>
                <w14:textFill>
                  <w14:solidFill>
                    <w14:schemeClr w14:val="tx1"/>
                  </w14:solidFill>
                </w14:textFill>
              </w:rPr>
              <w:t>，</w:t>
            </w:r>
            <w:r>
              <w:rPr>
                <w:rFonts w:hint="default" w:ascii="Times New Roman" w:hAnsi="Times New Roman" w:eastAsia="宋体" w:cs="Times New Roman"/>
                <w:bCs/>
                <w:color w:val="000000" w:themeColor="text1"/>
                <w:sz w:val="24"/>
                <w:szCs w:val="24"/>
                <w:highlight w:val="none"/>
                <w:u w:val="none" w:color="auto"/>
                <w14:textFill>
                  <w14:solidFill>
                    <w14:schemeClr w14:val="tx1"/>
                  </w14:solidFill>
                </w14:textFill>
              </w:rPr>
              <w:t>电气设备由于超负荷运转等因素，一旦车间管理不当，遇明火或自燃燃烧，其燃烧产物中一氧化碳、二氧化碳、氮氧化物和烟雾可能会对大气环境产生一定的影响。一旦发生火灾事故，随着大气的扩散作用，CO的浓度降低，大气环境可恢复到现状水平，预计本项目火灾不会对周围外界大气环境造成持续的影响。一旦发生事故，建设单位应及时采用正确方法处理所发生事故，应急处理人员穿戴全身专用防护服，佩戴氧气呼吸器对事故进行应急处理，尽量减轻对人员的影响。</w:t>
            </w:r>
          </w:p>
          <w:p w14:paraId="4D398052">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jc w:val="both"/>
              <w:textAlignment w:val="auto"/>
              <w:rPr>
                <w:rFonts w:hint="default" w:ascii="Times New Roman" w:hAnsi="Times New Roman" w:eastAsia="宋体" w:cs="Times New Roman"/>
                <w:bCs/>
                <w:color w:val="000000" w:themeColor="text1"/>
                <w:sz w:val="24"/>
                <w:szCs w:val="24"/>
                <w:highlight w:val="none"/>
                <w:u w:val="none" w:color="auto"/>
                <w14:textFill>
                  <w14:solidFill>
                    <w14:schemeClr w14:val="tx1"/>
                  </w14:solidFill>
                </w14:textFill>
              </w:rPr>
            </w:pPr>
            <w:r>
              <w:rPr>
                <w:rFonts w:hint="default" w:ascii="Times New Roman" w:hAnsi="Times New Roman" w:eastAsia="宋体" w:cs="Times New Roman"/>
                <w:bCs/>
                <w:color w:val="000000" w:themeColor="text1"/>
                <w:sz w:val="24"/>
                <w:szCs w:val="24"/>
                <w:highlight w:val="none"/>
                <w:u w:val="none" w:color="auto"/>
                <w14:textFill>
                  <w14:solidFill>
                    <w14:schemeClr w14:val="tx1"/>
                  </w14:solidFill>
                </w14:textFill>
              </w:rPr>
              <w:t>②地表水环境</w:t>
            </w:r>
          </w:p>
          <w:p w14:paraId="05185BBD">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jc w:val="both"/>
              <w:textAlignment w:val="auto"/>
              <w:rPr>
                <w:rFonts w:hint="default" w:ascii="Times New Roman" w:hAnsi="Times New Roman" w:eastAsia="宋体" w:cs="Times New Roman"/>
                <w:bCs/>
                <w:color w:val="000000" w:themeColor="text1"/>
                <w:sz w:val="24"/>
                <w:szCs w:val="24"/>
                <w:highlight w:val="none"/>
                <w:u w:val="none" w:color="auto"/>
                <w14:textFill>
                  <w14:solidFill>
                    <w14:schemeClr w14:val="tx1"/>
                  </w14:solidFill>
                </w14:textFill>
              </w:rPr>
            </w:pPr>
            <w:r>
              <w:rPr>
                <w:rFonts w:hint="default" w:ascii="Times New Roman" w:hAnsi="Times New Roman" w:eastAsia="宋体" w:cs="Times New Roman"/>
                <w:bCs/>
                <w:color w:val="000000" w:themeColor="text1"/>
                <w:sz w:val="24"/>
                <w:szCs w:val="24"/>
                <w:highlight w:val="none"/>
                <w:u w:val="none" w:color="auto"/>
                <w14:textFill>
                  <w14:solidFill>
                    <w14:schemeClr w14:val="tx1"/>
                  </w14:solidFill>
                </w14:textFill>
              </w:rPr>
              <w:t>发生小面积火灾情况，可采用干粉灭火器、消防沙灭火，不会产生消防废水；大面积火灾需使用消防水灭火时，产生大量消防废水，若收集不当将会对地表水产生不利影响。</w:t>
            </w:r>
          </w:p>
          <w:p w14:paraId="39E0743E">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bCs/>
                <w:color w:val="000000" w:themeColor="text1"/>
                <w:sz w:val="24"/>
                <w:szCs w:val="24"/>
                <w:highlight w:val="none"/>
                <w:u w:val="none" w:color="auto"/>
                <w14:textFill>
                  <w14:solidFill>
                    <w14:schemeClr w14:val="tx1"/>
                  </w14:solidFill>
                </w14:textFill>
              </w:rPr>
            </w:pPr>
            <w:r>
              <w:rPr>
                <w:rFonts w:hint="default" w:ascii="Times New Roman" w:hAnsi="Times New Roman" w:eastAsia="宋体" w:cs="Times New Roman"/>
                <w:bCs/>
                <w:color w:val="000000" w:themeColor="text1"/>
                <w:sz w:val="24"/>
                <w:szCs w:val="24"/>
                <w:highlight w:val="none"/>
                <w:u w:val="none" w:color="auto"/>
                <w14:textFill>
                  <w14:solidFill>
                    <w14:schemeClr w14:val="tx1"/>
                  </w14:solidFill>
                </w14:textFill>
              </w:rPr>
              <w:t>本项目厂区内存放有灭火器。发生小范围火灾事故时，使用干粉灭火器及时灭火；发生大范围火灾事故时，使用消防水及时灭火。若发生大范围火灾事故时，使用消防水进行灭火，会产生消防废水，建设单位应及时用沙袋封堵厂区雨水总排口，截留有限的消防废水。待事故结束后，委托有资质单位对截留的消防废水水质进行检测，若水质满足污水处理厂进水水质要求，将消防废水外运至污水处理厂处理；若水质不能满足污水处理厂进水水质要求，将消防废水外运委托有资质单位处理。</w:t>
            </w:r>
          </w:p>
          <w:p w14:paraId="3F0936E8">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jc w:val="both"/>
              <w:textAlignment w:val="auto"/>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pP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（2）</w:t>
            </w:r>
            <w:r>
              <w:rPr>
                <w:rFonts w:hint="eastAsia" w:ascii="Times New Roman" w:hAnsi="Times New Roman" w:eastAsia="宋体" w:cs="Times New Roman"/>
                <w:color w:val="000000" w:themeColor="text1"/>
                <w:sz w:val="24"/>
                <w:szCs w:val="24"/>
                <w:highlight w:val="none"/>
                <w:u w:val="none" w:color="auto"/>
                <w:lang w:val="en-US" w:eastAsia="zh-CN"/>
                <w14:textFill>
                  <w14:solidFill>
                    <w14:schemeClr w14:val="tx1"/>
                  </w14:solidFill>
                </w14:textFill>
              </w:rPr>
              <w:t>木焦油、木醋液、</w:t>
            </w: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废润滑油等暂存泄漏事故分析</w:t>
            </w:r>
          </w:p>
          <w:p w14:paraId="76F91AE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jc w:val="both"/>
              <w:textAlignment w:val="auto"/>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pPr>
            <w:r>
              <w:rPr>
                <w:rFonts w:hint="eastAsia" w:ascii="Times New Roman" w:hAnsi="Times New Roman" w:eastAsia="宋体" w:cs="Times New Roman"/>
                <w:color w:val="000000" w:themeColor="text1"/>
                <w:sz w:val="24"/>
                <w:szCs w:val="24"/>
                <w:highlight w:val="none"/>
                <w:u w:val="none" w:color="auto"/>
                <w:lang w:val="en-US" w:eastAsia="zh-CN"/>
                <w14:textFill>
                  <w14:solidFill>
                    <w14:schemeClr w14:val="tx1"/>
                  </w14:solidFill>
                </w14:textFill>
              </w:rPr>
              <w:t>木焦油、木醋液、</w:t>
            </w: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废润滑油等一旦发生泄漏事故，应及时进行收集处理，未收集的部分可能会导致土壤受到污染。</w:t>
            </w:r>
          </w:p>
          <w:p w14:paraId="5BB32B1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jc w:val="both"/>
              <w:textAlignment w:val="auto"/>
              <w:rPr>
                <w:rFonts w:hint="default" w:ascii="Times New Roman" w:hAnsi="Times New Roman" w:eastAsia="宋体" w:cs="Times New Roman"/>
                <w:color w:val="7030A0"/>
                <w:sz w:val="24"/>
                <w:szCs w:val="24"/>
                <w:highlight w:val="none"/>
                <w:u w:val="none" w:color="auto"/>
              </w:rPr>
            </w:pP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由于</w:t>
            </w:r>
            <w:r>
              <w:rPr>
                <w:rFonts w:hint="eastAsia" w:ascii="Times New Roman" w:hAnsi="Times New Roman" w:eastAsia="宋体" w:cs="Times New Roman"/>
                <w:color w:val="000000" w:themeColor="text1"/>
                <w:sz w:val="24"/>
                <w:szCs w:val="24"/>
                <w:highlight w:val="none"/>
                <w:u w:val="none" w:color="auto"/>
                <w:lang w:val="en-US" w:eastAsia="zh-CN"/>
                <w14:textFill>
                  <w14:solidFill>
                    <w14:schemeClr w14:val="tx1"/>
                  </w14:solidFill>
                </w14:textFill>
              </w:rPr>
              <w:t>本项目木焦油、木醋液、废润滑油</w:t>
            </w: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采用多个桶装储存，且存储量不大，在不发生爆炸的情况下，泄漏的概率几乎为零，其发生泄漏而不引起火灾爆炸事故时，主要影响是挥发的有机废气对环境空气的影响，由于单桶量相对较小，对厂区大气环境造成影响较小；储存、转运过程如有泄露、抛洒、逸散等，若不及时清理，可随雨水冲刷流出厂外，对附近水体环境造成污染。</w:t>
            </w:r>
          </w:p>
          <w:p w14:paraId="4F931C7B">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jc w:val="both"/>
              <w:textAlignment w:val="auto"/>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pP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7.4环境风险防范措施及应急要求</w:t>
            </w:r>
          </w:p>
          <w:p w14:paraId="473D512F">
            <w:pPr>
              <w:pStyle w:val="8"/>
              <w:keepNext w:val="0"/>
              <w:keepLines w:val="0"/>
              <w:pageBreakBefore w:val="0"/>
              <w:kinsoku/>
              <w:wordWrap/>
              <w:overflowPunct/>
              <w:topLinePunct w:val="0"/>
              <w:autoSpaceDE/>
              <w:autoSpaceDN/>
              <w:bidi w:val="0"/>
              <w:spacing w:before="0" w:beforeAutospacing="0" w:after="0" w:line="360" w:lineRule="auto"/>
              <w:ind w:left="0" w:leftChars="0" w:right="0" w:firstLine="480" w:firstLineChars="200"/>
              <w:jc w:val="both"/>
              <w:textAlignment w:val="auto"/>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pP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7.4.1风险防范措施</w:t>
            </w:r>
          </w:p>
          <w:p w14:paraId="3F0E6078">
            <w:pPr>
              <w:pStyle w:val="8"/>
              <w:keepNext w:val="0"/>
              <w:keepLines w:val="0"/>
              <w:pageBreakBefore w:val="0"/>
              <w:kinsoku/>
              <w:wordWrap/>
              <w:overflowPunct/>
              <w:topLinePunct w:val="0"/>
              <w:autoSpaceDE/>
              <w:autoSpaceDN/>
              <w:bidi w:val="0"/>
              <w:spacing w:before="0" w:beforeAutospacing="0" w:after="0" w:line="360" w:lineRule="auto"/>
              <w:ind w:left="0" w:leftChars="0" w:right="0" w:firstLine="480" w:firstLineChars="200"/>
              <w:jc w:val="both"/>
              <w:textAlignment w:val="auto"/>
              <w:rPr>
                <w:rFonts w:hint="default" w:ascii="Times New Roman" w:hAnsi="Times New Roman" w:eastAsia="宋体" w:cs="Times New Roman"/>
                <w:color w:val="000000" w:themeColor="text1"/>
                <w:sz w:val="24"/>
                <w:szCs w:val="24"/>
                <w:highlight w:val="none"/>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highlight w:val="none"/>
                <w:u w:val="none" w:color="auto"/>
                <w:lang w:eastAsia="zh-CN"/>
                <w14:textFill>
                  <w14:solidFill>
                    <w14:schemeClr w14:val="tx1"/>
                  </w14:solidFill>
                </w14:textFill>
              </w:rPr>
              <w:t>（</w:t>
            </w:r>
            <w:r>
              <w:rPr>
                <w:rFonts w:hint="eastAsia" w:ascii="Times New Roman" w:hAnsi="Times New Roman" w:eastAsia="宋体" w:cs="Times New Roman"/>
                <w:color w:val="000000" w:themeColor="text1"/>
                <w:sz w:val="24"/>
                <w:szCs w:val="24"/>
                <w:highlight w:val="none"/>
                <w:u w:val="none" w:color="auto"/>
                <w:lang w:val="en-US" w:eastAsia="zh-CN"/>
                <w14:textFill>
                  <w14:solidFill>
                    <w14:schemeClr w14:val="tx1"/>
                  </w14:solidFill>
                </w14:textFill>
              </w:rPr>
              <w:t>1</w:t>
            </w:r>
            <w:r>
              <w:rPr>
                <w:rFonts w:hint="eastAsia" w:ascii="Times New Roman" w:hAnsi="Times New Roman" w:eastAsia="宋体" w:cs="Times New Roman"/>
                <w:color w:val="000000" w:themeColor="text1"/>
                <w:sz w:val="24"/>
                <w:szCs w:val="24"/>
                <w:highlight w:val="none"/>
                <w:u w:val="none" w:color="auto"/>
                <w:lang w:eastAsia="zh-CN"/>
                <w14:textFill>
                  <w14:solidFill>
                    <w14:schemeClr w14:val="tx1"/>
                  </w14:solidFill>
                </w14:textFill>
              </w:rPr>
              <w:t>）</w:t>
            </w:r>
            <w:r>
              <w:rPr>
                <w:rFonts w:hint="eastAsia" w:ascii="Times New Roman" w:hAnsi="Times New Roman" w:eastAsia="宋体" w:cs="Times New Roman"/>
                <w:color w:val="000000" w:themeColor="text1"/>
                <w:sz w:val="24"/>
                <w:szCs w:val="24"/>
                <w:highlight w:val="none"/>
                <w:u w:val="none" w:color="auto"/>
                <w:lang w:val="en-US" w:eastAsia="zh-CN"/>
                <w14:textFill>
                  <w14:solidFill>
                    <w14:schemeClr w14:val="tx1"/>
                  </w14:solidFill>
                </w14:textFill>
              </w:rPr>
              <w:t>中间产品（木煤气）</w:t>
            </w:r>
          </w:p>
          <w:p w14:paraId="671D9A6C">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80" w:firstLineChars="200"/>
              <w:jc w:val="both"/>
              <w:textAlignment w:val="auto"/>
              <w:rPr>
                <w:rFonts w:hint="eastAsia" w:eastAsia="宋体"/>
                <w:snapToGrid w:val="0"/>
                <w:color w:val="000000" w:themeColor="text1"/>
                <w:sz w:val="24"/>
                <w:szCs w:val="24"/>
                <w:lang w:val="en-US" w:eastAsia="zh-CN"/>
                <w14:textFill>
                  <w14:solidFill>
                    <w14:schemeClr w14:val="tx1"/>
                  </w14:solidFill>
                </w14:textFill>
              </w:rPr>
            </w:pPr>
            <w:r>
              <w:rPr>
                <w:rFonts w:hint="eastAsia"/>
                <w:snapToGrid w:val="0"/>
                <w:color w:val="000000" w:themeColor="text1"/>
                <w:sz w:val="24"/>
                <w:szCs w:val="24"/>
                <w14:textFill>
                  <w14:solidFill>
                    <w14:schemeClr w14:val="tx1"/>
                  </w14:solidFill>
                </w14:textFill>
              </w:rPr>
              <w:t>①为了防范事故和减少灾害，木煤气管道及其他设施的设计、制造、施工、运行、管理和维修等，应参照执行《工业企业煤气安全规程》（</w:t>
            </w:r>
            <w:r>
              <w:rPr>
                <w:rFonts w:hint="default"/>
                <w:snapToGrid w:val="0"/>
                <w:color w:val="000000" w:themeColor="text1"/>
                <w:sz w:val="24"/>
                <w:szCs w:val="24"/>
                <w14:textFill>
                  <w14:solidFill>
                    <w14:schemeClr w14:val="tx1"/>
                  </w14:solidFill>
                </w14:textFill>
              </w:rPr>
              <w:t>GB6222-86</w:t>
            </w:r>
            <w:r>
              <w:rPr>
                <w:rFonts w:hint="eastAsia"/>
                <w:snapToGrid w:val="0"/>
                <w:color w:val="000000" w:themeColor="text1"/>
                <w:sz w:val="24"/>
                <w:szCs w:val="24"/>
                <w14:textFill>
                  <w14:solidFill>
                    <w14:schemeClr w14:val="tx1"/>
                  </w14:solidFill>
                </w14:textFill>
              </w:rPr>
              <w:t>）的要求，必须制定风险事故的防范措施和应急预案。</w:t>
            </w:r>
          </w:p>
          <w:p w14:paraId="2CEFB919">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80" w:firstLineChars="200"/>
              <w:jc w:val="both"/>
              <w:textAlignment w:val="auto"/>
              <w:rPr>
                <w:rFonts w:hint="eastAsia"/>
                <w:snapToGrid w:val="0"/>
                <w:color w:val="000000" w:themeColor="text1"/>
                <w:sz w:val="24"/>
                <w:szCs w:val="24"/>
                <w14:textFill>
                  <w14:solidFill>
                    <w14:schemeClr w14:val="tx1"/>
                  </w14:solidFill>
                </w14:textFill>
              </w:rPr>
            </w:pPr>
            <w:r>
              <w:rPr>
                <w:rFonts w:hint="eastAsia"/>
                <w:snapToGrid w:val="0"/>
                <w:color w:val="000000" w:themeColor="text1"/>
                <w:sz w:val="24"/>
                <w:szCs w:val="24"/>
                <w14:textFill>
                  <w14:solidFill>
                    <w14:schemeClr w14:val="tx1"/>
                  </w14:solidFill>
                </w14:textFill>
              </w:rPr>
              <w:t>②在对木煤气设施运行及停气检修时必须严格按照有关安全生产的规定进行。收集管道及木煤气燃烧设备的设计和施工中，应参照《工业企业煤气安全规程》（GB 6222-86）等安全生产的有关规定进行。</w:t>
            </w:r>
          </w:p>
          <w:p w14:paraId="57D4A1B4">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80" w:firstLineChars="200"/>
              <w:jc w:val="both"/>
              <w:textAlignment w:val="auto"/>
              <w:rPr>
                <w:rFonts w:hint="eastAsia"/>
                <w:snapToGrid w:val="0"/>
                <w:color w:val="000000" w:themeColor="text1"/>
                <w:sz w:val="24"/>
                <w:szCs w:val="24"/>
                <w14:textFill>
                  <w14:solidFill>
                    <w14:schemeClr w14:val="tx1"/>
                  </w14:solidFill>
                </w14:textFill>
              </w:rPr>
            </w:pPr>
            <w:r>
              <w:rPr>
                <w:rFonts w:hint="eastAsia"/>
                <w:snapToGrid w:val="0"/>
                <w:color w:val="000000" w:themeColor="text1"/>
                <w:sz w:val="24"/>
                <w:szCs w:val="24"/>
                <w:lang w:val="en-US" w:eastAsia="zh-CN"/>
                <w14:textFill>
                  <w14:solidFill>
                    <w14:schemeClr w14:val="tx1"/>
                  </w14:solidFill>
                </w14:textFill>
              </w:rPr>
              <w:t>③</w:t>
            </w:r>
            <w:r>
              <w:rPr>
                <w:rFonts w:hint="eastAsia"/>
                <w:snapToGrid w:val="0"/>
                <w:color w:val="000000" w:themeColor="text1"/>
                <w:sz w:val="24"/>
                <w:szCs w:val="24"/>
                <w14:textFill>
                  <w14:solidFill>
                    <w14:schemeClr w14:val="tx1"/>
                  </w14:solidFill>
                </w14:textFill>
              </w:rPr>
              <w:t>建立事故预防、监测、检验、报警系统，设置厂内医疗急救站；采取技术、工艺、设备、管理等综合预防措施，避免木煤气意外泄漏事故发生；在易产生泄漏的位置设置检测仪和自动报警器，当发生泄漏事故时能及时报警，使事故能够得到及时扼杀；生产场所应设置相应的通风设施，确保工作人员不受有害气体的危害；对输送管道、管件等以及与之相关的设备进行重点安全监督。</w:t>
            </w:r>
          </w:p>
          <w:p w14:paraId="7684E453">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pPr>
            <w:r>
              <w:rPr>
                <w:rFonts w:hint="eastAsia" w:ascii="Times New Roman" w:hAnsi="Times New Roman" w:eastAsia="宋体" w:cs="Times New Roman"/>
                <w:color w:val="000000" w:themeColor="text1"/>
                <w:sz w:val="24"/>
                <w:szCs w:val="24"/>
                <w:highlight w:val="none"/>
                <w:u w:val="none" w:color="auto"/>
                <w:lang w:eastAsia="zh-CN"/>
                <w14:textFill>
                  <w14:solidFill>
                    <w14:schemeClr w14:val="tx1"/>
                  </w14:solidFill>
                </w14:textFill>
              </w:rPr>
              <w:t>（</w:t>
            </w:r>
            <w:r>
              <w:rPr>
                <w:rFonts w:hint="eastAsia" w:cs="Times New Roman"/>
                <w:color w:val="000000" w:themeColor="text1"/>
                <w:sz w:val="24"/>
                <w:szCs w:val="24"/>
                <w:highlight w:val="none"/>
                <w:u w:val="none" w:color="auto"/>
                <w:lang w:val="en-US" w:eastAsia="zh-CN"/>
                <w14:textFill>
                  <w14:solidFill>
                    <w14:schemeClr w14:val="tx1"/>
                  </w14:solidFill>
                </w14:textFill>
              </w:rPr>
              <w:t>2</w:t>
            </w:r>
            <w:r>
              <w:rPr>
                <w:rFonts w:hint="eastAsia" w:ascii="Times New Roman" w:hAnsi="Times New Roman" w:eastAsia="宋体" w:cs="Times New Roman"/>
                <w:color w:val="000000" w:themeColor="text1"/>
                <w:sz w:val="24"/>
                <w:szCs w:val="24"/>
                <w:highlight w:val="none"/>
                <w:u w:val="none" w:color="auto"/>
                <w:lang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原料储存过程事故收集措施</w:t>
            </w:r>
          </w:p>
          <w:p w14:paraId="5355A8BC">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jc w:val="both"/>
              <w:textAlignment w:val="auto"/>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pP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加强贮存使用管理，及时检查包装容器完好使用情况，严防出现泄漏事故。原料仓库四周</w:t>
            </w:r>
            <w:r>
              <w:rPr>
                <w:rFonts w:hint="eastAsia" w:ascii="Times New Roman" w:hAnsi="Times New Roman" w:eastAsia="宋体" w:cs="Times New Roman"/>
                <w:color w:val="000000" w:themeColor="text1"/>
                <w:sz w:val="24"/>
                <w:szCs w:val="24"/>
                <w:highlight w:val="none"/>
                <w:u w:val="none" w:color="auto"/>
                <w:lang w:val="en-US" w:eastAsia="zh-CN"/>
                <w14:textFill>
                  <w14:solidFill>
                    <w14:schemeClr w14:val="tx1"/>
                  </w14:solidFill>
                </w14:textFill>
              </w:rPr>
              <w:t>均</w:t>
            </w: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设置围堰，泄露物料及时收集后作为危废处理，危废间设置“六防”措施。一旦发生泄漏情况，应迅速撤离污染区人员至上风处，设置一定隔离距离，严格限制无关人员出入；建议应急处理人员戴自给正压式呼吸器，穿防护服，从上风处进入现场，及时清理现场泄漏物料，防止外排污染水环境。</w:t>
            </w:r>
          </w:p>
          <w:p w14:paraId="28BAB408">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jc w:val="both"/>
              <w:textAlignment w:val="auto"/>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pP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w:t>
            </w:r>
            <w:r>
              <w:rPr>
                <w:rFonts w:hint="eastAsia" w:cs="Times New Roman"/>
                <w:color w:val="000000" w:themeColor="text1"/>
                <w:sz w:val="24"/>
                <w:szCs w:val="24"/>
                <w:highlight w:val="none"/>
                <w:u w:val="none" w:color="auto"/>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w:t>
            </w:r>
            <w:r>
              <w:rPr>
                <w:rFonts w:hint="eastAsia" w:ascii="Times New Roman" w:hAnsi="Times New Roman" w:eastAsia="宋体" w:cs="Times New Roman"/>
                <w:color w:val="000000" w:themeColor="text1"/>
                <w:sz w:val="24"/>
                <w:szCs w:val="24"/>
                <w:highlight w:val="none"/>
                <w:u w:val="none" w:color="auto"/>
                <w:lang w:val="en-US" w:eastAsia="zh-CN"/>
                <w14:textFill>
                  <w14:solidFill>
                    <w14:schemeClr w14:val="tx1"/>
                  </w14:solidFill>
                </w14:textFill>
              </w:rPr>
              <w:t>木焦油、木醋液、废润滑油等</w:t>
            </w: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危废暂存过程中风险防范措施：</w:t>
            </w:r>
          </w:p>
          <w:p w14:paraId="5A7C10C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jc w:val="both"/>
              <w:textAlignment w:val="auto"/>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pP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①危废暂存间贮存区域应符合有关安全、防火规定，并设置相应的通风、防爆、防火、灭火等安全设施。</w:t>
            </w:r>
          </w:p>
          <w:p w14:paraId="241A01E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jc w:val="both"/>
              <w:textAlignment w:val="auto"/>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pP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②储存地点设</w:t>
            </w:r>
            <w:bookmarkStart w:id="84" w:name="_GoBack"/>
            <w:bookmarkEnd w:id="84"/>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置围堰，防止事故泄露</w:t>
            </w:r>
          </w:p>
          <w:p w14:paraId="02C54D1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jc w:val="both"/>
              <w:textAlignment w:val="auto"/>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pP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③危废暂存间设置事故沟等风险防范措施；</w:t>
            </w:r>
          </w:p>
          <w:p w14:paraId="1563BE10">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jc w:val="both"/>
              <w:textAlignment w:val="auto"/>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pP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④建立安全生产岗位责任制，制定安全生产规章制度、安全操作规程，加强员工安全环保意识教育，树立安全生产意识，防止人为事故发生。</w:t>
            </w:r>
          </w:p>
          <w:p w14:paraId="5023BACD">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jc w:val="both"/>
              <w:textAlignment w:val="auto"/>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pP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w:t>
            </w:r>
            <w:r>
              <w:rPr>
                <w:rFonts w:hint="eastAsia" w:cs="Times New Roman"/>
                <w:color w:val="000000" w:themeColor="text1"/>
                <w:sz w:val="24"/>
                <w:szCs w:val="24"/>
                <w:highlight w:val="none"/>
                <w:u w:val="none" w:color="auto"/>
                <w:lang w:val="en-US" w:eastAsia="zh-CN"/>
                <w14:textFill>
                  <w14:solidFill>
                    <w14:schemeClr w14:val="tx1"/>
                  </w14:solidFill>
                </w14:textFill>
              </w:rPr>
              <w:t>4</w:t>
            </w: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）火灾事故风险防范措施</w:t>
            </w:r>
          </w:p>
          <w:p w14:paraId="2D48BF18">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jc w:val="both"/>
              <w:textAlignment w:val="auto"/>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pP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①在工程设计中，应严格按照国家有关规范和标准进行平面布置、建筑设计。生产区与办公室之间根据消防部门意见保持足够的安全距离。原料及产品库区设计按规范要求进行；平面布置上建筑物间的距离必须符合有关防火设计规范，各区可利用道路进行功能分区，必须满足交通和消防两方面要求。</w:t>
            </w:r>
          </w:p>
          <w:p w14:paraId="2F19FD50">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jc w:val="both"/>
              <w:textAlignment w:val="auto"/>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pP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②建立健全安全、环境管理体系及高效的安全生产机构，一旦发生事故，要做到快速、高效、安全处置。</w:t>
            </w:r>
          </w:p>
          <w:p w14:paraId="3A5E77C9">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jc w:val="both"/>
              <w:textAlignment w:val="auto"/>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pP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③厂内的电气设备严格按照防爆区划分配置。</w:t>
            </w:r>
          </w:p>
          <w:p w14:paraId="558AF4E1">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jc w:val="both"/>
              <w:textAlignment w:val="auto"/>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pP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④如突发火灾，应立即采取急救措施，并及时向当地环保局等有关部门报告。一旦发生火灾事故，迅速按灭火作战预案紧急处理。</w:t>
            </w:r>
          </w:p>
          <w:p w14:paraId="2229BBA2">
            <w:pPr>
              <w:keepNext w:val="0"/>
              <w:keepLines w:val="0"/>
              <w:pageBreakBefore w:val="0"/>
              <w:widowControl/>
              <w:suppressLineNumbers w:val="0"/>
              <w:kinsoku/>
              <w:wordWrap/>
              <w:overflowPunct/>
              <w:topLinePunct w:val="0"/>
              <w:autoSpaceDE/>
              <w:autoSpaceDN/>
              <w:bidi w:val="0"/>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pP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⑤</w:t>
            </w:r>
            <w:r>
              <w:rPr>
                <w:rFonts w:hint="default" w:ascii="Times New Roman" w:hAnsi="Times New Roman" w:eastAsia="宋体" w:cs="Times New Roman"/>
                <w:bCs/>
                <w:color w:val="000000" w:themeColor="text1"/>
                <w:sz w:val="24"/>
                <w:szCs w:val="24"/>
                <w:highlight w:val="none"/>
                <w:u w:val="none" w:color="auto"/>
                <w14:textFill>
                  <w14:solidFill>
                    <w14:schemeClr w14:val="tx1"/>
                  </w14:solidFill>
                </w14:textFill>
              </w:rPr>
              <w:t>一旦发生事故，建设单位应及时采用正确方法处理所发生事故，应急处理人员穿戴全身专用防护服，佩戴氧气呼吸器对事故进行应急处理，尽量减轻对人员的影响，发生小范围火灾事故时，使用干粉灭火器及时灭火；发生大范围火灾事故时，使用消防水及时灭火。若发生大范围火灾事故时，使用消防水进行灭火，会产生消防废水，建设单位应及时用沙袋封堵厂区雨水总排口，截留有限的消防废水，</w:t>
            </w:r>
            <w:r>
              <w:rPr>
                <w:rFonts w:hint="default" w:ascii="Times New Roman" w:hAnsi="Times New Roman" w:eastAsia="宋体" w:cs="Times New Roman"/>
                <w:color w:val="000000" w:themeColor="text1"/>
                <w:kern w:val="0"/>
                <w:sz w:val="24"/>
                <w:szCs w:val="24"/>
                <w:highlight w:val="none"/>
                <w:u w:val="none" w:color="auto"/>
                <w:lang w:bidi="ar"/>
                <w14:textFill>
                  <w14:solidFill>
                    <w14:schemeClr w14:val="tx1"/>
                  </w14:solidFill>
                </w14:textFill>
              </w:rPr>
              <w:t>参考《水体污染防控紧急措施设计导则》，消防废水储存设施总有效容积计算公式为：</w:t>
            </w:r>
          </w:p>
          <w:p w14:paraId="62930AFD">
            <w:pPr>
              <w:keepNext w:val="0"/>
              <w:keepLines w:val="0"/>
              <w:pageBreakBefore w:val="0"/>
              <w:widowControl/>
              <w:suppressLineNumbers w:val="0"/>
              <w:kinsoku/>
              <w:wordWrap/>
              <w:overflowPunct/>
              <w:topLinePunct w:val="0"/>
              <w:autoSpaceDE/>
              <w:autoSpaceDN/>
              <w:bidi w:val="0"/>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pPr>
            <w:r>
              <w:rPr>
                <w:rFonts w:hint="default" w:ascii="Times New Roman" w:hAnsi="Times New Roman" w:eastAsia="宋体" w:cs="Times New Roman"/>
                <w:color w:val="000000" w:themeColor="text1"/>
                <w:kern w:val="0"/>
                <w:sz w:val="24"/>
                <w:szCs w:val="24"/>
                <w:highlight w:val="none"/>
                <w:u w:val="none" w:color="auto"/>
                <w:lang w:bidi="ar"/>
                <w14:textFill>
                  <w14:solidFill>
                    <w14:schemeClr w14:val="tx1"/>
                  </w14:solidFill>
                </w14:textFill>
              </w:rPr>
              <w:t>V2—发生事故的储罐或装置的消防水量，m</w:t>
            </w:r>
            <w:r>
              <w:rPr>
                <w:rFonts w:hint="default" w:ascii="Times New Roman" w:hAnsi="Times New Roman" w:eastAsia="宋体" w:cs="Times New Roman"/>
                <w:color w:val="000000" w:themeColor="text1"/>
                <w:kern w:val="0"/>
                <w:sz w:val="24"/>
                <w:szCs w:val="24"/>
                <w:highlight w:val="none"/>
                <w:u w:val="none" w:color="auto"/>
                <w:vertAlign w:val="superscript"/>
                <w:lang w:bidi="ar"/>
                <w14:textFill>
                  <w14:solidFill>
                    <w14:schemeClr w14:val="tx1"/>
                  </w14:solidFill>
                </w14:textFill>
              </w:rPr>
              <w:t>3</w:t>
            </w:r>
            <w:r>
              <w:rPr>
                <w:rFonts w:hint="default" w:ascii="Times New Roman" w:hAnsi="Times New Roman" w:eastAsia="宋体" w:cs="Times New Roman"/>
                <w:color w:val="000000" w:themeColor="text1"/>
                <w:kern w:val="0"/>
                <w:sz w:val="24"/>
                <w:szCs w:val="24"/>
                <w:highlight w:val="none"/>
                <w:u w:val="none" w:color="auto"/>
                <w:lang w:bidi="ar"/>
                <w14:textFill>
                  <w14:solidFill>
                    <w14:schemeClr w14:val="tx1"/>
                  </w14:solidFill>
                </w14:textFill>
              </w:rPr>
              <w:t>；</w:t>
            </w:r>
          </w:p>
          <w:p w14:paraId="43DADB0D">
            <w:pPr>
              <w:keepNext w:val="0"/>
              <w:keepLines w:val="0"/>
              <w:pageBreakBefore w:val="0"/>
              <w:widowControl/>
              <w:suppressLineNumbers w:val="0"/>
              <w:kinsoku/>
              <w:wordWrap/>
              <w:overflowPunct/>
              <w:topLinePunct w:val="0"/>
              <w:autoSpaceDE/>
              <w:autoSpaceDN/>
              <w:bidi w:val="0"/>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pPr>
            <w:r>
              <w:rPr>
                <w:rFonts w:hint="default" w:ascii="Times New Roman" w:hAnsi="Times New Roman" w:eastAsia="宋体" w:cs="Times New Roman"/>
                <w:color w:val="000000" w:themeColor="text1"/>
                <w:kern w:val="0"/>
                <w:sz w:val="24"/>
                <w:szCs w:val="24"/>
                <w:highlight w:val="none"/>
                <w:u w:val="none" w:color="auto"/>
                <w:lang w:bidi="ar"/>
                <w14:textFill>
                  <w14:solidFill>
                    <w14:schemeClr w14:val="tx1"/>
                  </w14:solidFill>
                </w14:textFill>
              </w:rPr>
              <w:t>V2=∑Q</w:t>
            </w:r>
            <w:r>
              <w:rPr>
                <w:rFonts w:hint="default" w:ascii="Times New Roman" w:hAnsi="Times New Roman" w:eastAsia="宋体" w:cs="Times New Roman"/>
                <w:color w:val="000000" w:themeColor="text1"/>
                <w:kern w:val="0"/>
                <w:sz w:val="24"/>
                <w:szCs w:val="24"/>
                <w:highlight w:val="none"/>
                <w:u w:val="none" w:color="auto"/>
                <w:vertAlign w:val="subscript"/>
                <w:lang w:bidi="ar"/>
                <w14:textFill>
                  <w14:solidFill>
                    <w14:schemeClr w14:val="tx1"/>
                  </w14:solidFill>
                </w14:textFill>
              </w:rPr>
              <w:t>消</w:t>
            </w:r>
            <w:r>
              <w:rPr>
                <w:rFonts w:hint="default" w:ascii="Times New Roman" w:hAnsi="Times New Roman" w:eastAsia="宋体" w:cs="Times New Roman"/>
                <w:color w:val="000000" w:themeColor="text1"/>
                <w:kern w:val="0"/>
                <w:sz w:val="24"/>
                <w:szCs w:val="24"/>
                <w:highlight w:val="none"/>
                <w:u w:val="none" w:color="auto"/>
                <w:lang w:bidi="ar"/>
                <w14:textFill>
                  <w14:solidFill>
                    <w14:schemeClr w14:val="tx1"/>
                  </w14:solidFill>
                </w14:textFill>
              </w:rPr>
              <w:t>t</w:t>
            </w:r>
            <w:r>
              <w:rPr>
                <w:rFonts w:hint="default" w:ascii="Times New Roman" w:hAnsi="Times New Roman" w:eastAsia="宋体" w:cs="Times New Roman"/>
                <w:color w:val="000000" w:themeColor="text1"/>
                <w:kern w:val="0"/>
                <w:sz w:val="24"/>
                <w:szCs w:val="24"/>
                <w:highlight w:val="none"/>
                <w:u w:val="none" w:color="auto"/>
                <w:vertAlign w:val="subscript"/>
                <w:lang w:bidi="ar"/>
                <w14:textFill>
                  <w14:solidFill>
                    <w14:schemeClr w14:val="tx1"/>
                  </w14:solidFill>
                </w14:textFill>
              </w:rPr>
              <w:t>消</w:t>
            </w:r>
          </w:p>
          <w:p w14:paraId="14462E0A">
            <w:pPr>
              <w:keepNext w:val="0"/>
              <w:keepLines w:val="0"/>
              <w:pageBreakBefore w:val="0"/>
              <w:widowControl/>
              <w:suppressLineNumbers w:val="0"/>
              <w:kinsoku/>
              <w:wordWrap/>
              <w:overflowPunct/>
              <w:topLinePunct w:val="0"/>
              <w:autoSpaceDE/>
              <w:autoSpaceDN/>
              <w:bidi w:val="0"/>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pPr>
            <w:r>
              <w:rPr>
                <w:rFonts w:hint="default" w:ascii="Times New Roman" w:hAnsi="Times New Roman" w:eastAsia="宋体" w:cs="Times New Roman"/>
                <w:color w:val="000000" w:themeColor="text1"/>
                <w:kern w:val="0"/>
                <w:sz w:val="24"/>
                <w:szCs w:val="24"/>
                <w:highlight w:val="none"/>
                <w:u w:val="none" w:color="auto"/>
                <w:lang w:bidi="ar"/>
                <w14:textFill>
                  <w14:solidFill>
                    <w14:schemeClr w14:val="tx1"/>
                  </w14:solidFill>
                </w14:textFill>
              </w:rPr>
              <w:t>Q 消—发生事故时的储罐或装置同时使用的消防设施给水流量，m</w:t>
            </w:r>
            <w:r>
              <w:rPr>
                <w:rFonts w:hint="default" w:ascii="Times New Roman" w:hAnsi="Times New Roman" w:eastAsia="宋体" w:cs="Times New Roman"/>
                <w:color w:val="000000" w:themeColor="text1"/>
                <w:kern w:val="0"/>
                <w:sz w:val="24"/>
                <w:szCs w:val="24"/>
                <w:highlight w:val="none"/>
                <w:u w:val="none" w:color="auto"/>
                <w:vertAlign w:val="superscript"/>
                <w:lang w:bidi="ar"/>
                <w14:textFill>
                  <w14:solidFill>
                    <w14:schemeClr w14:val="tx1"/>
                  </w14:solidFill>
                </w14:textFill>
              </w:rPr>
              <w:t>3</w:t>
            </w:r>
            <w:r>
              <w:rPr>
                <w:rFonts w:hint="default" w:ascii="Times New Roman" w:hAnsi="Times New Roman" w:eastAsia="宋体" w:cs="Times New Roman"/>
                <w:color w:val="000000" w:themeColor="text1"/>
                <w:kern w:val="0"/>
                <w:sz w:val="24"/>
                <w:szCs w:val="24"/>
                <w:highlight w:val="none"/>
                <w:u w:val="none" w:color="auto"/>
                <w:lang w:bidi="ar"/>
                <w14:textFill>
                  <w14:solidFill>
                    <w14:schemeClr w14:val="tx1"/>
                  </w14:solidFill>
                </w14:textFill>
              </w:rPr>
              <w:t xml:space="preserve">/h；综合考虑灭火喷淋消防给水量，取10L/s； </w:t>
            </w:r>
          </w:p>
          <w:p w14:paraId="74FEA95E">
            <w:pPr>
              <w:keepNext w:val="0"/>
              <w:keepLines w:val="0"/>
              <w:pageBreakBefore w:val="0"/>
              <w:widowControl/>
              <w:suppressLineNumbers w:val="0"/>
              <w:kinsoku/>
              <w:wordWrap/>
              <w:overflowPunct/>
              <w:topLinePunct w:val="0"/>
              <w:autoSpaceDE/>
              <w:autoSpaceDN/>
              <w:bidi w:val="0"/>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pPr>
            <w:r>
              <w:rPr>
                <w:rFonts w:hint="default" w:ascii="Times New Roman" w:hAnsi="Times New Roman" w:eastAsia="宋体" w:cs="Times New Roman"/>
                <w:color w:val="000000" w:themeColor="text1"/>
                <w:kern w:val="0"/>
                <w:sz w:val="24"/>
                <w:szCs w:val="24"/>
                <w:highlight w:val="none"/>
                <w:u w:val="none" w:color="auto"/>
                <w:lang w:bidi="ar"/>
                <w14:textFill>
                  <w14:solidFill>
                    <w14:schemeClr w14:val="tx1"/>
                  </w14:solidFill>
                </w14:textFill>
              </w:rPr>
              <w:t>t消—消防设施对应的设计消防历时（h），取2.0h；</w:t>
            </w:r>
          </w:p>
          <w:p w14:paraId="6AEFA126">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bCs/>
                <w:color w:val="000000" w:themeColor="text1"/>
                <w:sz w:val="24"/>
                <w:szCs w:val="24"/>
                <w:highlight w:val="none"/>
                <w:u w:val="none" w:color="auto"/>
                <w14:textFill>
                  <w14:solidFill>
                    <w14:schemeClr w14:val="tx1"/>
                  </w14:solidFill>
                </w14:textFill>
              </w:rPr>
            </w:pPr>
            <w:r>
              <w:rPr>
                <w:rFonts w:hint="default" w:ascii="Times New Roman" w:hAnsi="Times New Roman" w:eastAsia="宋体" w:cs="Times New Roman"/>
                <w:color w:val="000000" w:themeColor="text1"/>
                <w:kern w:val="0"/>
                <w:sz w:val="24"/>
                <w:szCs w:val="24"/>
                <w:highlight w:val="none"/>
                <w:u w:val="none" w:color="auto"/>
                <w:lang w:bidi="ar"/>
                <w14:textFill>
                  <w14:solidFill>
                    <w14:schemeClr w14:val="tx1"/>
                  </w14:solidFill>
                </w14:textFill>
              </w:rPr>
              <w:t>经计算，消防用水量为72m</w:t>
            </w:r>
            <w:r>
              <w:rPr>
                <w:rFonts w:hint="default" w:ascii="Times New Roman" w:hAnsi="Times New Roman" w:eastAsia="宋体" w:cs="Times New Roman"/>
                <w:color w:val="000000" w:themeColor="text1"/>
                <w:kern w:val="0"/>
                <w:sz w:val="24"/>
                <w:szCs w:val="24"/>
                <w:highlight w:val="none"/>
                <w:u w:val="none" w:color="auto"/>
                <w:vertAlign w:val="superscript"/>
                <w:lang w:bidi="ar"/>
                <w14:textFill>
                  <w14:solidFill>
                    <w14:schemeClr w14:val="tx1"/>
                  </w14:solidFill>
                </w14:textFill>
              </w:rPr>
              <w:t>3</w:t>
            </w:r>
            <w:r>
              <w:rPr>
                <w:rFonts w:hint="default" w:ascii="Times New Roman" w:hAnsi="Times New Roman" w:eastAsia="宋体" w:cs="Times New Roman"/>
                <w:color w:val="000000" w:themeColor="text1"/>
                <w:kern w:val="0"/>
                <w:sz w:val="24"/>
                <w:szCs w:val="24"/>
                <w:highlight w:val="none"/>
                <w:u w:val="none" w:color="auto"/>
                <w:lang w:bidi="ar"/>
                <w14:textFill>
                  <w14:solidFill>
                    <w14:schemeClr w14:val="tx1"/>
                  </w14:solidFill>
                </w14:textFill>
              </w:rPr>
              <w:t>。项目设计1座100m</w:t>
            </w:r>
            <w:r>
              <w:rPr>
                <w:rFonts w:hint="default" w:ascii="Times New Roman" w:hAnsi="Times New Roman" w:eastAsia="宋体" w:cs="Times New Roman"/>
                <w:color w:val="000000" w:themeColor="text1"/>
                <w:kern w:val="0"/>
                <w:sz w:val="24"/>
                <w:szCs w:val="24"/>
                <w:highlight w:val="none"/>
                <w:u w:val="none" w:color="auto"/>
                <w:vertAlign w:val="superscript"/>
                <w:lang w:bidi="ar"/>
                <w14:textFill>
                  <w14:solidFill>
                    <w14:schemeClr w14:val="tx1"/>
                  </w14:solidFill>
                </w14:textFill>
              </w:rPr>
              <w:t>3</w:t>
            </w:r>
            <w:r>
              <w:rPr>
                <w:rFonts w:hint="default" w:ascii="Times New Roman" w:hAnsi="Times New Roman" w:eastAsia="宋体" w:cs="Times New Roman"/>
                <w:color w:val="000000" w:themeColor="text1"/>
                <w:kern w:val="0"/>
                <w:sz w:val="24"/>
                <w:szCs w:val="24"/>
                <w:highlight w:val="none"/>
                <w:u w:val="none" w:color="auto"/>
                <w:lang w:bidi="ar"/>
                <w14:textFill>
                  <w14:solidFill>
                    <w14:schemeClr w14:val="tx1"/>
                  </w14:solidFill>
                </w14:textFill>
              </w:rPr>
              <w:t>消防废水池</w:t>
            </w:r>
            <w:r>
              <w:rPr>
                <w:rFonts w:hint="default" w:ascii="Times New Roman" w:hAnsi="Times New Roman" w:eastAsia="宋体" w:cs="Times New Roman"/>
                <w:bCs/>
                <w:color w:val="000000" w:themeColor="text1"/>
                <w:sz w:val="24"/>
                <w:szCs w:val="24"/>
                <w:highlight w:val="none"/>
                <w:u w:val="none" w:color="auto"/>
                <w14:textFill>
                  <w14:solidFill>
                    <w14:schemeClr w14:val="tx1"/>
                  </w14:solidFill>
                </w14:textFill>
              </w:rPr>
              <w:t>，待事故结束后，委托有资质单位对截留的消防废水水质进行检测，若水质满足污水处理厂进水水质要求，将消防废水外运至污水处理厂处理；若水质不能满足污水处理厂进水水质要求，将消防废水外运委托有资质单位处理。</w:t>
            </w:r>
          </w:p>
          <w:p w14:paraId="665AF4E7">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jc w:val="both"/>
              <w:textAlignment w:val="auto"/>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pP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7.4.2风险应急要求</w:t>
            </w:r>
          </w:p>
          <w:p w14:paraId="0CB31F40">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jc w:val="both"/>
              <w:textAlignment w:val="auto"/>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pP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（1）最早发现者应迅速报警。接警后迅速组织撤离泄漏污染区人员至安全区，并进行隔离，严格限制出入。切断火源、电源，并迅速通知应急救援中心采取相应救援措施。</w:t>
            </w:r>
          </w:p>
          <w:p w14:paraId="7E80E8BE">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jc w:val="both"/>
              <w:textAlignment w:val="auto"/>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pP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2）值班人员应尽可能的查明泄漏点、佩戴空气呼吸器、穿防毒服，进入现场采取堵漏措施，尽可能的降低事故程度。防止流入下水道、防洪沟等限制性空间。应急救援组和专业救援队伍到现场后，工作人员尽可能详细的向他们汇报现场情况。</w:t>
            </w:r>
          </w:p>
          <w:p w14:paraId="63A4456F">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jc w:val="both"/>
              <w:textAlignment w:val="auto"/>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pP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（3）若发生小量泄漏：用消防砂或其他惰性材料吸收。</w:t>
            </w:r>
          </w:p>
          <w:p w14:paraId="463CA2ED">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jc w:val="both"/>
              <w:textAlignment w:val="auto"/>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pP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（4）若泄漏量大时，用泡沫覆盖，降低蒸汽灾害。喷雾状水或泡沫冷却和稀释蒸汽，保护现场人员。</w:t>
            </w:r>
          </w:p>
          <w:p w14:paraId="3637CD78">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jc w:val="both"/>
              <w:textAlignment w:val="auto"/>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pP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（5）事故不可控时，启动公司应急救援预案，本环评要求企业定期进行事故演练。</w:t>
            </w:r>
          </w:p>
          <w:p w14:paraId="6FDCFA31">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jc w:val="both"/>
              <w:textAlignment w:val="auto"/>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pP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（6）禁止使用金属器具敲打所泄漏管线和设备，避免二次事故的发生。</w:t>
            </w:r>
          </w:p>
          <w:p w14:paraId="689056FB">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jc w:val="both"/>
              <w:textAlignment w:val="auto"/>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pP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（7）现场禁止吸烟，进食饮水。工作完毕后，沐浴更衣。</w:t>
            </w:r>
          </w:p>
          <w:p w14:paraId="6F5CDBED">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jc w:val="both"/>
              <w:textAlignment w:val="auto"/>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pP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7.4.3风险应急预案</w:t>
            </w:r>
          </w:p>
          <w:p w14:paraId="7B36B49C">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jc w:val="both"/>
              <w:textAlignment w:val="auto"/>
              <w:rPr>
                <w:rFonts w:hint="default" w:ascii="Times New Roman" w:hAnsi="Times New Roman" w:eastAsia="宋体" w:cs="Times New Roman"/>
                <w:b/>
                <w:color w:val="000000" w:themeColor="text1"/>
                <w:kern w:val="2"/>
                <w:sz w:val="24"/>
                <w:szCs w:val="24"/>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根据国家环保局（90）环管字第057号文《关于对重大环境污染事故隐患进行风险评价的通知》的要求，通过对污染事故的风险评价，各有关企业单位应加强安全生产管理，制定重大环境事故发生的应急预案，消除事故隐患的实施及突发性事故应急办法等。本项目应根据生产特点和事故隐患分析，制定突发事故应急预案，见下表。</w:t>
            </w:r>
          </w:p>
          <w:p w14:paraId="374B4CEE">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jc w:val="both"/>
              <w:textAlignment w:val="auto"/>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pP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7.4.3风险应急预案</w:t>
            </w:r>
          </w:p>
          <w:p w14:paraId="04CA102A">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jc w:val="both"/>
              <w:textAlignment w:val="auto"/>
              <w:rPr>
                <w:rFonts w:hint="default" w:ascii="Times New Roman" w:hAnsi="Times New Roman" w:eastAsia="宋体" w:cs="Times New Roman"/>
                <w:b/>
                <w:color w:val="000000" w:themeColor="text1"/>
                <w:kern w:val="2"/>
                <w:sz w:val="24"/>
                <w:szCs w:val="24"/>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根据国家环保局（90）环管字第057号文《关于对重大环境污染事故隐患进行风险评价的通知》的要求，通过对污染事故的风险评价，各有关企业单位应加强安全生产管理，制定重大环境事故发生的应急预案，消除事故隐患的实施及突发性事故应急办法等。本项目应根据生产特点和事故隐患分析，制定突发事故应急预案，见下表。</w:t>
            </w:r>
          </w:p>
          <w:p w14:paraId="2B0EB6E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jc w:val="center"/>
              <w:textAlignment w:val="auto"/>
              <w:rPr>
                <w:rFonts w:hint="default" w:ascii="Times New Roman" w:hAnsi="Times New Roman" w:eastAsia="宋体" w:cs="Times New Roman"/>
                <w:b/>
                <w:color w:val="000000" w:themeColor="text1"/>
                <w:kern w:val="2"/>
                <w:sz w:val="24"/>
                <w:szCs w:val="24"/>
                <w:highlight w:val="none"/>
                <w:u w:val="none" w:color="auto"/>
                <w:lang w:val="en-US" w:eastAsia="zh-CN" w:bidi="ar-SA"/>
                <w14:textFill>
                  <w14:solidFill>
                    <w14:schemeClr w14:val="tx1"/>
                  </w14:solidFill>
                </w14:textFill>
              </w:rPr>
            </w:pPr>
            <w:r>
              <w:rPr>
                <w:rFonts w:hint="default" w:ascii="Times New Roman" w:hAnsi="Times New Roman" w:eastAsia="宋体" w:cs="Times New Roman"/>
                <w:b/>
                <w:color w:val="000000" w:themeColor="text1"/>
                <w:kern w:val="2"/>
                <w:sz w:val="24"/>
                <w:szCs w:val="24"/>
                <w:highlight w:val="none"/>
                <w:u w:val="none" w:color="auto"/>
                <w:lang w:val="en-US" w:eastAsia="zh-CN" w:bidi="ar-SA"/>
                <w14:textFill>
                  <w14:solidFill>
                    <w14:schemeClr w14:val="tx1"/>
                  </w14:solidFill>
                </w14:textFill>
              </w:rPr>
              <w:t>表4-</w:t>
            </w:r>
            <w:r>
              <w:rPr>
                <w:rFonts w:hint="eastAsia" w:ascii="Times New Roman" w:hAnsi="Times New Roman" w:eastAsia="宋体" w:cs="Times New Roman"/>
                <w:b/>
                <w:color w:val="000000" w:themeColor="text1"/>
                <w:kern w:val="2"/>
                <w:sz w:val="24"/>
                <w:szCs w:val="24"/>
                <w:highlight w:val="none"/>
                <w:u w:val="none" w:color="auto"/>
                <w:lang w:val="en-US" w:eastAsia="zh-CN" w:bidi="ar-SA"/>
                <w14:textFill>
                  <w14:solidFill>
                    <w14:schemeClr w14:val="tx1"/>
                  </w14:solidFill>
                </w14:textFill>
              </w:rPr>
              <w:t>2</w:t>
            </w:r>
            <w:r>
              <w:rPr>
                <w:rFonts w:hint="eastAsia" w:cs="Times New Roman"/>
                <w:b/>
                <w:color w:val="000000" w:themeColor="text1"/>
                <w:kern w:val="2"/>
                <w:sz w:val="24"/>
                <w:szCs w:val="24"/>
                <w:highlight w:val="none"/>
                <w:u w:val="none" w:color="auto"/>
                <w:lang w:val="en-US" w:eastAsia="zh-CN" w:bidi="ar-SA"/>
                <w14:textFill>
                  <w14:solidFill>
                    <w14:schemeClr w14:val="tx1"/>
                  </w14:solidFill>
                </w14:textFill>
              </w:rPr>
              <w:t>8</w:t>
            </w:r>
            <w:r>
              <w:rPr>
                <w:rFonts w:hint="default" w:ascii="Times New Roman" w:hAnsi="Times New Roman" w:eastAsia="宋体" w:cs="Times New Roman"/>
                <w:b/>
                <w:color w:val="000000" w:themeColor="text1"/>
                <w:kern w:val="2"/>
                <w:sz w:val="24"/>
                <w:szCs w:val="24"/>
                <w:highlight w:val="none"/>
                <w:u w:val="none" w:color="auto"/>
                <w:lang w:val="en-US" w:eastAsia="zh-CN" w:bidi="ar-SA"/>
                <w14:textFill>
                  <w14:solidFill>
                    <w14:schemeClr w14:val="tx1"/>
                  </w14:solidFill>
                </w14:textFill>
              </w:rPr>
              <w:t xml:space="preserve">  </w:t>
            </w:r>
            <w:r>
              <w:rPr>
                <w:rFonts w:hint="eastAsia" w:cs="Times New Roman"/>
                <w:b/>
                <w:color w:val="000000" w:themeColor="text1"/>
                <w:kern w:val="2"/>
                <w:sz w:val="24"/>
                <w:szCs w:val="24"/>
                <w:highlight w:val="none"/>
                <w:u w:val="none" w:color="auto"/>
                <w:lang w:val="en-US" w:eastAsia="zh-CN" w:bidi="ar-SA"/>
                <w14:textFill>
                  <w14:solidFill>
                    <w14:schemeClr w14:val="tx1"/>
                  </w14:solidFill>
                </w14:textFill>
              </w:rPr>
              <w:t xml:space="preserve"> </w:t>
            </w:r>
            <w:r>
              <w:rPr>
                <w:rFonts w:hint="default" w:ascii="Times New Roman" w:hAnsi="Times New Roman" w:eastAsia="宋体" w:cs="Times New Roman"/>
                <w:b/>
                <w:color w:val="000000" w:themeColor="text1"/>
                <w:kern w:val="2"/>
                <w:sz w:val="24"/>
                <w:szCs w:val="24"/>
                <w:highlight w:val="none"/>
                <w:u w:val="none" w:color="auto"/>
                <w:lang w:val="en-US" w:eastAsia="zh-CN" w:bidi="ar-SA"/>
                <w14:textFill>
                  <w14:solidFill>
                    <w14:schemeClr w14:val="tx1"/>
                  </w14:solidFill>
                </w14:textFill>
              </w:rPr>
              <w:t>应急预案内容表</w:t>
            </w:r>
          </w:p>
          <w:tbl>
            <w:tblPr>
              <w:tblStyle w:val="29"/>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1"/>
              <w:gridCol w:w="2325"/>
              <w:gridCol w:w="6315"/>
            </w:tblGrid>
            <w:tr w14:paraId="0F1B73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29" w:type="pct"/>
                  <w:noWrap w:val="0"/>
                  <w:vAlign w:val="center"/>
                </w:tcPr>
                <w:p w14:paraId="7D34C05D">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ind w:left="0" w:right="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序号</w:t>
                  </w:r>
                </w:p>
              </w:tc>
              <w:tc>
                <w:tcPr>
                  <w:tcW w:w="1230" w:type="pct"/>
                  <w:noWrap w:val="0"/>
                  <w:vAlign w:val="center"/>
                </w:tcPr>
                <w:p w14:paraId="4110BC52">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ind w:left="0" w:right="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项目</w:t>
                  </w:r>
                </w:p>
              </w:tc>
              <w:tc>
                <w:tcPr>
                  <w:tcW w:w="3340" w:type="pct"/>
                  <w:noWrap w:val="0"/>
                  <w:vAlign w:val="center"/>
                </w:tcPr>
                <w:p w14:paraId="29DD76A7">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ind w:left="0" w:right="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内容及要求</w:t>
                  </w:r>
                </w:p>
              </w:tc>
            </w:tr>
            <w:tr w14:paraId="064911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29" w:type="pct"/>
                  <w:noWrap w:val="0"/>
                  <w:vAlign w:val="center"/>
                </w:tcPr>
                <w:p w14:paraId="2C0BC814">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ind w:left="0" w:right="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1</w:t>
                  </w:r>
                </w:p>
              </w:tc>
              <w:tc>
                <w:tcPr>
                  <w:tcW w:w="1230" w:type="pct"/>
                  <w:noWrap w:val="0"/>
                  <w:vAlign w:val="center"/>
                </w:tcPr>
                <w:p w14:paraId="5E7DCA32">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应急计划区</w:t>
                  </w:r>
                </w:p>
              </w:tc>
              <w:tc>
                <w:tcPr>
                  <w:tcW w:w="3340" w:type="pct"/>
                  <w:noWrap w:val="0"/>
                  <w:vAlign w:val="center"/>
                </w:tcPr>
                <w:p w14:paraId="1E1D18D8">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ind w:left="0" w:right="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危险目标：危废暂存间、</w:t>
                  </w:r>
                  <w:r>
                    <w:rPr>
                      <w:rFonts w:hint="eastAsia" w:cs="Times New Roman"/>
                      <w:color w:val="000000" w:themeColor="text1"/>
                      <w:sz w:val="21"/>
                      <w:szCs w:val="21"/>
                      <w:highlight w:val="none"/>
                      <w:u w:val="none" w:color="auto"/>
                      <w:lang w:val="en-US" w:eastAsia="zh-CN"/>
                      <w14:textFill>
                        <w14:solidFill>
                          <w14:schemeClr w14:val="tx1"/>
                        </w14:solidFill>
                      </w14:textFill>
                    </w:rPr>
                    <w:t>生产车间、</w:t>
                  </w: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环境保护目标</w:t>
                  </w:r>
                </w:p>
              </w:tc>
            </w:tr>
            <w:tr w14:paraId="4E9B8B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29" w:type="pct"/>
                  <w:noWrap w:val="0"/>
                  <w:vAlign w:val="center"/>
                </w:tcPr>
                <w:p w14:paraId="113F6580">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ind w:left="0" w:right="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2</w:t>
                  </w:r>
                </w:p>
              </w:tc>
              <w:tc>
                <w:tcPr>
                  <w:tcW w:w="1230" w:type="pct"/>
                  <w:noWrap w:val="0"/>
                  <w:vAlign w:val="center"/>
                </w:tcPr>
                <w:p w14:paraId="43347600">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ind w:left="0" w:right="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应急组织机构、人员</w:t>
                  </w:r>
                </w:p>
              </w:tc>
              <w:tc>
                <w:tcPr>
                  <w:tcW w:w="3340" w:type="pct"/>
                  <w:noWrap w:val="0"/>
                  <w:vAlign w:val="center"/>
                </w:tcPr>
                <w:p w14:paraId="24448FDE">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ind w:left="0" w:right="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工厂、地区应急组织机构、人员</w:t>
                  </w:r>
                </w:p>
              </w:tc>
            </w:tr>
            <w:tr w14:paraId="4D688A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29" w:type="pct"/>
                  <w:noWrap w:val="0"/>
                  <w:vAlign w:val="center"/>
                </w:tcPr>
                <w:p w14:paraId="08D67B1F">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ind w:left="0" w:right="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3</w:t>
                  </w:r>
                </w:p>
              </w:tc>
              <w:tc>
                <w:tcPr>
                  <w:tcW w:w="1230" w:type="pct"/>
                  <w:noWrap w:val="0"/>
                  <w:vAlign w:val="center"/>
                </w:tcPr>
                <w:p w14:paraId="07FDAEAA">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ind w:left="0" w:right="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预案分级响应条件</w:t>
                  </w:r>
                </w:p>
              </w:tc>
              <w:tc>
                <w:tcPr>
                  <w:tcW w:w="3340" w:type="pct"/>
                  <w:noWrap w:val="0"/>
                  <w:vAlign w:val="center"/>
                </w:tcPr>
                <w:p w14:paraId="7B0716C3">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ind w:left="0" w:right="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规定预案的级别及分级响应程序</w:t>
                  </w:r>
                </w:p>
              </w:tc>
            </w:tr>
            <w:tr w14:paraId="39D749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29" w:type="pct"/>
                  <w:noWrap w:val="0"/>
                  <w:vAlign w:val="center"/>
                </w:tcPr>
                <w:p w14:paraId="4085A7CC">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ind w:left="0" w:right="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4</w:t>
                  </w:r>
                </w:p>
              </w:tc>
              <w:tc>
                <w:tcPr>
                  <w:tcW w:w="1230" w:type="pct"/>
                  <w:noWrap w:val="0"/>
                  <w:vAlign w:val="center"/>
                </w:tcPr>
                <w:p w14:paraId="0F022BA5">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ind w:left="0" w:right="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应急救援保障</w:t>
                  </w:r>
                </w:p>
              </w:tc>
              <w:tc>
                <w:tcPr>
                  <w:tcW w:w="3340" w:type="pct"/>
                  <w:noWrap w:val="0"/>
                  <w:vAlign w:val="center"/>
                </w:tcPr>
                <w:p w14:paraId="6D876D74">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ind w:left="0" w:right="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应急设施、设备与器材等</w:t>
                  </w:r>
                </w:p>
              </w:tc>
            </w:tr>
            <w:tr w14:paraId="55C1E9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29" w:type="pct"/>
                  <w:noWrap w:val="0"/>
                  <w:vAlign w:val="center"/>
                </w:tcPr>
                <w:p w14:paraId="22D14197">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ind w:left="0" w:right="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5</w:t>
                  </w:r>
                </w:p>
              </w:tc>
              <w:tc>
                <w:tcPr>
                  <w:tcW w:w="1230" w:type="pct"/>
                  <w:noWrap w:val="0"/>
                  <w:vAlign w:val="center"/>
                </w:tcPr>
                <w:p w14:paraId="4F403EDC">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ind w:left="0" w:right="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报警、通讯联络方式</w:t>
                  </w:r>
                </w:p>
              </w:tc>
              <w:tc>
                <w:tcPr>
                  <w:tcW w:w="3340" w:type="pct"/>
                  <w:noWrap w:val="0"/>
                  <w:vAlign w:val="center"/>
                </w:tcPr>
                <w:p w14:paraId="17150C83">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ind w:left="0" w:right="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规定应急状态下的报警通讯方式，通知方式和交通保障、管制</w:t>
                  </w:r>
                </w:p>
              </w:tc>
            </w:tr>
            <w:tr w14:paraId="122E38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29" w:type="pct"/>
                  <w:noWrap w:val="0"/>
                  <w:vAlign w:val="center"/>
                </w:tcPr>
                <w:p w14:paraId="11AF38A8">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ind w:left="0" w:right="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6</w:t>
                  </w:r>
                </w:p>
              </w:tc>
              <w:tc>
                <w:tcPr>
                  <w:tcW w:w="1230" w:type="pct"/>
                  <w:noWrap w:val="0"/>
                  <w:vAlign w:val="center"/>
                </w:tcPr>
                <w:p w14:paraId="4840578E">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ind w:left="0" w:right="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应急环境监测、抢险、救援及控制措施</w:t>
                  </w:r>
                </w:p>
              </w:tc>
              <w:tc>
                <w:tcPr>
                  <w:tcW w:w="3340" w:type="pct"/>
                  <w:noWrap w:val="0"/>
                  <w:vAlign w:val="center"/>
                </w:tcPr>
                <w:p w14:paraId="6E9ABA30">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ind w:left="0" w:right="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由专业队伍负责对事故现场进行侦查监测，对事故性质、参数与后果进行评估，为指挥部门提供决策依据</w:t>
                  </w:r>
                </w:p>
              </w:tc>
            </w:tr>
            <w:tr w14:paraId="4DE198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29" w:type="pct"/>
                  <w:noWrap w:val="0"/>
                  <w:vAlign w:val="center"/>
                </w:tcPr>
                <w:p w14:paraId="242E49DC">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ind w:left="0" w:right="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7</w:t>
                  </w:r>
                </w:p>
              </w:tc>
              <w:tc>
                <w:tcPr>
                  <w:tcW w:w="1230" w:type="pct"/>
                  <w:noWrap w:val="0"/>
                  <w:vAlign w:val="center"/>
                </w:tcPr>
                <w:p w14:paraId="06091168">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ind w:left="0" w:right="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应急检测、防护措施、清除措施和器材</w:t>
                  </w:r>
                </w:p>
              </w:tc>
              <w:tc>
                <w:tcPr>
                  <w:tcW w:w="3340" w:type="pct"/>
                  <w:noWrap w:val="0"/>
                  <w:vAlign w:val="center"/>
                </w:tcPr>
                <w:p w14:paraId="11C503CB">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ind w:left="0" w:right="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事故现场、邻近区域、控制防火区域、控制和清除污染措施及相应设备</w:t>
                  </w:r>
                </w:p>
              </w:tc>
            </w:tr>
            <w:tr w14:paraId="493620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29" w:type="pct"/>
                  <w:noWrap w:val="0"/>
                  <w:vAlign w:val="center"/>
                </w:tcPr>
                <w:p w14:paraId="4F63AB70">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ind w:left="0" w:right="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8</w:t>
                  </w:r>
                </w:p>
              </w:tc>
              <w:tc>
                <w:tcPr>
                  <w:tcW w:w="1230" w:type="pct"/>
                  <w:noWrap w:val="0"/>
                  <w:vAlign w:val="center"/>
                </w:tcPr>
                <w:p w14:paraId="17DFE5DF">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ind w:left="0" w:right="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人员紧急撤离、疏散，应急剂量控制、撤离组织计划</w:t>
                  </w:r>
                </w:p>
              </w:tc>
              <w:tc>
                <w:tcPr>
                  <w:tcW w:w="3340" w:type="pct"/>
                  <w:noWrap w:val="0"/>
                  <w:vAlign w:val="center"/>
                </w:tcPr>
                <w:p w14:paraId="43FD3C5B">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ind w:left="0" w:right="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事故现场、工厂邻近区、受事故影响的区域人员及公众对毒物应急剂量控制规定，撤离组织计划及救护，医疗救护与公众健康</w:t>
                  </w:r>
                </w:p>
              </w:tc>
            </w:tr>
            <w:tr w14:paraId="44D2D7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29" w:type="pct"/>
                  <w:noWrap w:val="0"/>
                  <w:vAlign w:val="center"/>
                </w:tcPr>
                <w:p w14:paraId="138033FB">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ind w:left="0" w:right="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9</w:t>
                  </w:r>
                </w:p>
              </w:tc>
              <w:tc>
                <w:tcPr>
                  <w:tcW w:w="1230" w:type="pct"/>
                  <w:noWrap w:val="0"/>
                  <w:vAlign w:val="center"/>
                </w:tcPr>
                <w:p w14:paraId="5EA58B51">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ind w:left="0" w:right="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事故应急救援关闭程序与恢复措施</w:t>
                  </w:r>
                </w:p>
              </w:tc>
              <w:tc>
                <w:tcPr>
                  <w:tcW w:w="3340" w:type="pct"/>
                  <w:noWrap w:val="0"/>
                  <w:vAlign w:val="center"/>
                </w:tcPr>
                <w:p w14:paraId="2DEF2B0A">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ind w:left="0" w:right="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规定应急状态终止程序；事故现场善后处理，恢复措施；邻近区域解除事故警戒及善后恢复措施</w:t>
                  </w:r>
                </w:p>
              </w:tc>
            </w:tr>
            <w:tr w14:paraId="5713BD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29" w:type="pct"/>
                  <w:noWrap w:val="0"/>
                  <w:vAlign w:val="center"/>
                </w:tcPr>
                <w:p w14:paraId="65A1CFE8">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ind w:left="0" w:right="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10</w:t>
                  </w:r>
                </w:p>
              </w:tc>
              <w:tc>
                <w:tcPr>
                  <w:tcW w:w="1230" w:type="pct"/>
                  <w:noWrap w:val="0"/>
                  <w:vAlign w:val="center"/>
                </w:tcPr>
                <w:p w14:paraId="5580974D">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ind w:left="0" w:right="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应急培训计划</w:t>
                  </w:r>
                </w:p>
              </w:tc>
              <w:tc>
                <w:tcPr>
                  <w:tcW w:w="3340" w:type="pct"/>
                  <w:noWrap w:val="0"/>
                  <w:vAlign w:val="center"/>
                </w:tcPr>
                <w:p w14:paraId="57314215">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ind w:left="0" w:right="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应急计划制定后，平时安排人员培训与演练</w:t>
                  </w:r>
                </w:p>
              </w:tc>
            </w:tr>
            <w:tr w14:paraId="6BC9C2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29" w:type="pct"/>
                  <w:noWrap w:val="0"/>
                  <w:vAlign w:val="center"/>
                </w:tcPr>
                <w:p w14:paraId="7730B49E">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ind w:left="0" w:right="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11</w:t>
                  </w:r>
                </w:p>
              </w:tc>
              <w:tc>
                <w:tcPr>
                  <w:tcW w:w="1230" w:type="pct"/>
                  <w:noWrap w:val="0"/>
                  <w:vAlign w:val="center"/>
                </w:tcPr>
                <w:p w14:paraId="21065279">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ind w:left="0" w:right="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公众教育和信息</w:t>
                  </w:r>
                </w:p>
              </w:tc>
              <w:tc>
                <w:tcPr>
                  <w:tcW w:w="3340" w:type="pct"/>
                  <w:noWrap w:val="0"/>
                  <w:vAlign w:val="center"/>
                </w:tcPr>
                <w:p w14:paraId="18F06F39">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ind w:left="0" w:right="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对工厂邻近地区开展公众教育、培训和发布有关信息</w:t>
                  </w:r>
                </w:p>
              </w:tc>
            </w:tr>
          </w:tbl>
          <w:p w14:paraId="5D1BC478">
            <w:pPr>
              <w:keepNext w:val="0"/>
              <w:keepLines w:val="0"/>
              <w:pageBreakBefore w:val="0"/>
              <w:widowControl w:val="0"/>
              <w:suppressLineNumbers w:val="0"/>
              <w:kinsoku/>
              <w:wordWrap/>
              <w:overflowPunct/>
              <w:topLinePunct w:val="0"/>
              <w:autoSpaceDE/>
              <w:autoSpaceDN/>
              <w:bidi w:val="0"/>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pP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7.5分析结论</w:t>
            </w:r>
          </w:p>
          <w:p w14:paraId="5470196E">
            <w:pPr>
              <w:keepNext w:val="0"/>
              <w:keepLines w:val="0"/>
              <w:pageBreakBefore w:val="0"/>
              <w:widowControl w:val="0"/>
              <w:suppressLineNumbers w:val="0"/>
              <w:tabs>
                <w:tab w:val="left" w:pos="1081"/>
              </w:tabs>
              <w:kinsoku/>
              <w:wordWrap/>
              <w:overflowPunct/>
              <w:topLinePunct w:val="0"/>
              <w:autoSpaceDE/>
              <w:autoSpaceDN/>
              <w:bidi w:val="0"/>
              <w:adjustRightInd w:val="0"/>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pP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综上所述，本项目营运期涉及的主要风险物质为润滑油</w:t>
            </w:r>
            <w:r>
              <w:rPr>
                <w:rFonts w:hint="eastAsia" w:cs="Times New Roman"/>
                <w:color w:val="000000" w:themeColor="text1"/>
                <w:sz w:val="24"/>
                <w:szCs w:val="24"/>
                <w:highlight w:val="none"/>
                <w:u w:val="none" w:color="auto"/>
                <w:lang w:eastAsia="zh-CN"/>
                <w14:textFill>
                  <w14:solidFill>
                    <w14:schemeClr w14:val="tx1"/>
                  </w14:solidFill>
                </w14:textFill>
              </w:rPr>
              <w:t>、</w:t>
            </w:r>
            <w:r>
              <w:rPr>
                <w:rFonts w:hint="eastAsia" w:cs="Times New Roman"/>
                <w:color w:val="000000" w:themeColor="text1"/>
                <w:sz w:val="24"/>
                <w:szCs w:val="24"/>
                <w:highlight w:val="none"/>
                <w:u w:val="none" w:color="auto"/>
                <w:lang w:val="en-US" w:eastAsia="zh-CN"/>
                <w14:textFill>
                  <w14:solidFill>
                    <w14:schemeClr w14:val="tx1"/>
                  </w14:solidFill>
                </w14:textFill>
              </w:rPr>
              <w:t>木煤气、木焦油、木醋液等</w:t>
            </w: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，在落实本次环评提出的风险防范措施后，其发生事故的概率降低，环境危害较小，环境风险影响可以接受。</w:t>
            </w:r>
          </w:p>
          <w:p w14:paraId="0358F14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jc w:val="center"/>
              <w:textAlignment w:val="auto"/>
              <w:rPr>
                <w:rFonts w:hint="default" w:ascii="Times New Roman" w:hAnsi="Times New Roman" w:eastAsia="宋体" w:cs="Times New Roman"/>
                <w:b/>
                <w:color w:val="000000" w:themeColor="text1"/>
                <w:kern w:val="2"/>
                <w:sz w:val="24"/>
                <w:szCs w:val="24"/>
                <w:highlight w:val="none"/>
                <w:u w:val="none" w:color="auto"/>
                <w:lang w:val="en-GB" w:eastAsia="zh-CN" w:bidi="ar-SA"/>
                <w14:textFill>
                  <w14:solidFill>
                    <w14:schemeClr w14:val="tx1"/>
                  </w14:solidFill>
                </w14:textFill>
              </w:rPr>
            </w:pPr>
            <w:r>
              <w:rPr>
                <w:rFonts w:hint="default" w:ascii="Times New Roman" w:hAnsi="Times New Roman" w:eastAsia="宋体" w:cs="Times New Roman"/>
                <w:b/>
                <w:color w:val="000000" w:themeColor="text1"/>
                <w:kern w:val="2"/>
                <w:sz w:val="24"/>
                <w:szCs w:val="24"/>
                <w:highlight w:val="none"/>
                <w:u w:val="none" w:color="auto"/>
                <w:lang w:val="en-GB" w:eastAsia="zh-CN" w:bidi="ar-SA"/>
                <w14:textFill>
                  <w14:solidFill>
                    <w14:schemeClr w14:val="tx1"/>
                  </w14:solidFill>
                </w14:textFill>
              </w:rPr>
              <w:t>表4-</w:t>
            </w:r>
            <w:r>
              <w:rPr>
                <w:rFonts w:hint="eastAsia" w:cs="Times New Roman"/>
                <w:b/>
                <w:color w:val="000000" w:themeColor="text1"/>
                <w:kern w:val="2"/>
                <w:sz w:val="24"/>
                <w:szCs w:val="24"/>
                <w:highlight w:val="none"/>
                <w:u w:val="none" w:color="auto"/>
                <w:lang w:val="en-US" w:eastAsia="zh-CN" w:bidi="ar-SA"/>
                <w14:textFill>
                  <w14:solidFill>
                    <w14:schemeClr w14:val="tx1"/>
                  </w14:solidFill>
                </w14:textFill>
              </w:rPr>
              <w:t>29</w:t>
            </w:r>
            <w:r>
              <w:rPr>
                <w:rFonts w:hint="default" w:ascii="Times New Roman" w:hAnsi="Times New Roman" w:eastAsia="宋体" w:cs="Times New Roman"/>
                <w:b/>
                <w:color w:val="000000" w:themeColor="text1"/>
                <w:kern w:val="2"/>
                <w:sz w:val="24"/>
                <w:szCs w:val="24"/>
                <w:highlight w:val="none"/>
                <w:u w:val="none" w:color="auto"/>
                <w:lang w:val="en-GB" w:eastAsia="zh-CN" w:bidi="ar-SA"/>
                <w14:textFill>
                  <w14:solidFill>
                    <w14:schemeClr w14:val="tx1"/>
                  </w14:solidFill>
                </w14:textFill>
              </w:rPr>
              <w:t xml:space="preserve"> 环境风险简单分析内容表</w:t>
            </w:r>
          </w:p>
          <w:tbl>
            <w:tblPr>
              <w:tblStyle w:val="29"/>
              <w:tblW w:w="4999"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2046"/>
              <w:gridCol w:w="1142"/>
              <w:gridCol w:w="2564"/>
              <w:gridCol w:w="906"/>
              <w:gridCol w:w="2798"/>
            </w:tblGrid>
            <w:tr w14:paraId="622FE64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1082" w:type="pct"/>
                  <w:noWrap w:val="0"/>
                  <w:vAlign w:val="center"/>
                </w:tcPr>
                <w:p w14:paraId="34D04B1B">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pacing w:val="8"/>
                      <w:sz w:val="21"/>
                      <w:szCs w:val="21"/>
                      <w:highlight w:val="none"/>
                      <w:u w:val="none" w:color="auto"/>
                      <w14:textFill>
                        <w14:solidFill>
                          <w14:schemeClr w14:val="tx1"/>
                        </w14:solidFill>
                      </w14:textFill>
                    </w:rPr>
                    <w:t>项</w:t>
                  </w:r>
                  <w:r>
                    <w:rPr>
                      <w:rFonts w:hint="default" w:ascii="Times New Roman" w:hAnsi="Times New Roman" w:eastAsia="宋体" w:cs="Times New Roman"/>
                      <w:color w:val="000000" w:themeColor="text1"/>
                      <w:spacing w:val="6"/>
                      <w:sz w:val="21"/>
                      <w:szCs w:val="21"/>
                      <w:highlight w:val="none"/>
                      <w:u w:val="none" w:color="auto"/>
                      <w14:textFill>
                        <w14:solidFill>
                          <w14:schemeClr w14:val="tx1"/>
                        </w14:solidFill>
                      </w14:textFill>
                    </w:rPr>
                    <w:t>目名称</w:t>
                  </w:r>
                </w:p>
              </w:tc>
              <w:tc>
                <w:tcPr>
                  <w:tcW w:w="3917" w:type="pct"/>
                  <w:gridSpan w:val="4"/>
                  <w:noWrap w:val="0"/>
                  <w:vAlign w:val="center"/>
                </w:tcPr>
                <w:p w14:paraId="7B1E3F19">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eastAsia="zh-CN"/>
                      <w14:textFill>
                        <w14:solidFill>
                          <w14:schemeClr w14:val="tx1"/>
                        </w14:solidFill>
                      </w14:textFill>
                    </w:rPr>
                    <w:t>河南星能智源能源有限公司年产3500吨次小薪材系列产品综合利用建设项目</w:t>
                  </w:r>
                </w:p>
              </w:tc>
            </w:tr>
            <w:tr w14:paraId="76BF313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1082" w:type="pct"/>
                  <w:noWrap w:val="0"/>
                  <w:vAlign w:val="center"/>
                </w:tcPr>
                <w:p w14:paraId="504A0B93">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pacing w:val="9"/>
                      <w:sz w:val="21"/>
                      <w:szCs w:val="21"/>
                      <w:highlight w:val="none"/>
                      <w:u w:val="none" w:color="auto"/>
                      <w14:textFill>
                        <w14:solidFill>
                          <w14:schemeClr w14:val="tx1"/>
                        </w14:solidFill>
                      </w14:textFill>
                    </w:rPr>
                    <w:t>建</w:t>
                  </w:r>
                  <w:r>
                    <w:rPr>
                      <w:rFonts w:hint="default" w:ascii="Times New Roman" w:hAnsi="Times New Roman" w:eastAsia="宋体" w:cs="Times New Roman"/>
                      <w:color w:val="000000" w:themeColor="text1"/>
                      <w:spacing w:val="6"/>
                      <w:sz w:val="21"/>
                      <w:szCs w:val="21"/>
                      <w:highlight w:val="none"/>
                      <w:u w:val="none" w:color="auto"/>
                      <w14:textFill>
                        <w14:solidFill>
                          <w14:schemeClr w14:val="tx1"/>
                        </w14:solidFill>
                      </w14:textFill>
                    </w:rPr>
                    <w:t>设地点</w:t>
                  </w:r>
                </w:p>
              </w:tc>
              <w:tc>
                <w:tcPr>
                  <w:tcW w:w="3917" w:type="pct"/>
                  <w:gridSpan w:val="4"/>
                  <w:noWrap w:val="0"/>
                  <w:vAlign w:val="center"/>
                </w:tcPr>
                <w:p w14:paraId="03849C47">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南阳市方城县四里店镇小店村何家庄</w:t>
                  </w:r>
                </w:p>
              </w:tc>
            </w:tr>
            <w:tr w14:paraId="033BFD5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1082" w:type="pct"/>
                  <w:noWrap w:val="0"/>
                  <w:vAlign w:val="center"/>
                </w:tcPr>
                <w:p w14:paraId="40AF600A">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pacing w:val="8"/>
                      <w:sz w:val="21"/>
                      <w:szCs w:val="21"/>
                      <w:highlight w:val="none"/>
                      <w:u w:val="none" w:color="auto"/>
                      <w14:textFill>
                        <w14:solidFill>
                          <w14:schemeClr w14:val="tx1"/>
                        </w14:solidFill>
                      </w14:textFill>
                    </w:rPr>
                    <w:t>地</w:t>
                  </w:r>
                  <w:r>
                    <w:rPr>
                      <w:rFonts w:hint="default" w:ascii="Times New Roman" w:hAnsi="Times New Roman" w:eastAsia="宋体" w:cs="Times New Roman"/>
                      <w:color w:val="000000" w:themeColor="text1"/>
                      <w:spacing w:val="7"/>
                      <w:sz w:val="21"/>
                      <w:szCs w:val="21"/>
                      <w:highlight w:val="none"/>
                      <w:u w:val="none" w:color="auto"/>
                      <w14:textFill>
                        <w14:solidFill>
                          <w14:schemeClr w14:val="tx1"/>
                        </w14:solidFill>
                      </w14:textFill>
                    </w:rPr>
                    <w:t>理坐标</w:t>
                  </w:r>
                </w:p>
              </w:tc>
              <w:tc>
                <w:tcPr>
                  <w:tcW w:w="604" w:type="pct"/>
                  <w:noWrap w:val="0"/>
                  <w:vAlign w:val="center"/>
                </w:tcPr>
                <w:p w14:paraId="4A88D7B6">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pacing w:val="4"/>
                      <w:sz w:val="21"/>
                      <w:szCs w:val="21"/>
                      <w:highlight w:val="none"/>
                      <w:u w:val="none" w:color="auto"/>
                      <w14:textFill>
                        <w14:solidFill>
                          <w14:schemeClr w14:val="tx1"/>
                        </w14:solidFill>
                      </w14:textFill>
                    </w:rPr>
                    <w:t>经</w:t>
                  </w:r>
                  <w:r>
                    <w:rPr>
                      <w:rFonts w:hint="default" w:ascii="Times New Roman" w:hAnsi="Times New Roman" w:eastAsia="宋体" w:cs="Times New Roman"/>
                      <w:color w:val="000000" w:themeColor="text1"/>
                      <w:spacing w:val="3"/>
                      <w:sz w:val="21"/>
                      <w:szCs w:val="21"/>
                      <w:highlight w:val="none"/>
                      <w:u w:val="none" w:color="auto"/>
                      <w14:textFill>
                        <w14:solidFill>
                          <w14:schemeClr w14:val="tx1"/>
                        </w14:solidFill>
                      </w14:textFill>
                    </w:rPr>
                    <w:t>度</w:t>
                  </w:r>
                </w:p>
              </w:tc>
              <w:tc>
                <w:tcPr>
                  <w:tcW w:w="1356" w:type="pct"/>
                  <w:noWrap w:val="0"/>
                  <w:vAlign w:val="center"/>
                </w:tcPr>
                <w:p w14:paraId="7622C474">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112度56分26.570秒</w:t>
                  </w:r>
                </w:p>
              </w:tc>
              <w:tc>
                <w:tcPr>
                  <w:tcW w:w="479" w:type="pct"/>
                  <w:noWrap w:val="0"/>
                  <w:vAlign w:val="center"/>
                </w:tcPr>
                <w:p w14:paraId="45A55ED3">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pacing w:val="4"/>
                      <w:sz w:val="21"/>
                      <w:szCs w:val="21"/>
                      <w:highlight w:val="none"/>
                      <w:u w:val="none" w:color="auto"/>
                      <w14:textFill>
                        <w14:solidFill>
                          <w14:schemeClr w14:val="tx1"/>
                        </w14:solidFill>
                      </w14:textFill>
                    </w:rPr>
                    <w:t>纬度</w:t>
                  </w:r>
                </w:p>
              </w:tc>
              <w:tc>
                <w:tcPr>
                  <w:tcW w:w="1476" w:type="pct"/>
                  <w:noWrap w:val="0"/>
                  <w:vAlign w:val="center"/>
                </w:tcPr>
                <w:p w14:paraId="47B035E1">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33度</w:t>
                  </w: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26</w:t>
                  </w: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分35.216秒</w:t>
                  </w:r>
                </w:p>
              </w:tc>
            </w:tr>
            <w:tr w14:paraId="6486791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1082" w:type="pct"/>
                  <w:noWrap w:val="0"/>
                  <w:vAlign w:val="center"/>
                </w:tcPr>
                <w:p w14:paraId="4F3EAEBD">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pacing w:val="8"/>
                      <w:sz w:val="21"/>
                      <w:szCs w:val="21"/>
                      <w:highlight w:val="none"/>
                      <w:u w:val="none" w:color="auto"/>
                      <w14:textFill>
                        <w14:solidFill>
                          <w14:schemeClr w14:val="tx1"/>
                        </w14:solidFill>
                      </w14:textFill>
                    </w:rPr>
                    <w:t>主要危险</w:t>
                  </w:r>
                  <w:r>
                    <w:rPr>
                      <w:rFonts w:hint="default" w:ascii="Times New Roman" w:hAnsi="Times New Roman" w:eastAsia="宋体" w:cs="Times New Roman"/>
                      <w:color w:val="000000" w:themeColor="text1"/>
                      <w:spacing w:val="7"/>
                      <w:sz w:val="21"/>
                      <w:szCs w:val="21"/>
                      <w:highlight w:val="none"/>
                      <w:u w:val="none" w:color="auto"/>
                      <w14:textFill>
                        <w14:solidFill>
                          <w14:schemeClr w14:val="tx1"/>
                        </w14:solidFill>
                      </w14:textFill>
                    </w:rPr>
                    <w:t>物质及分布</w:t>
                  </w:r>
                </w:p>
              </w:tc>
              <w:tc>
                <w:tcPr>
                  <w:tcW w:w="3917" w:type="pct"/>
                  <w:gridSpan w:val="4"/>
                  <w:noWrap w:val="0"/>
                  <w:vAlign w:val="center"/>
                </w:tcPr>
                <w:p w14:paraId="009A3C9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7030A0"/>
                      <w:sz w:val="21"/>
                      <w:szCs w:val="21"/>
                      <w:highlight w:val="none"/>
                      <w:u w:val="none" w:color="auto"/>
                    </w:rPr>
                  </w:pPr>
                  <w:r>
                    <w:rPr>
                      <w:rFonts w:hint="eastAsia" w:cs="Times New Roman"/>
                      <w:color w:val="000000" w:themeColor="text1"/>
                      <w:sz w:val="21"/>
                      <w:szCs w:val="21"/>
                      <w:highlight w:val="none"/>
                      <w:u w:val="none" w:color="auto"/>
                      <w:lang w:val="en-US" w:eastAsia="zh-CN"/>
                      <w14:textFill>
                        <w14:solidFill>
                          <w14:schemeClr w14:val="tx1"/>
                        </w14:solidFill>
                      </w14:textFill>
                    </w:rPr>
                    <w:t>木煤气主要存在于</w:t>
                  </w:r>
                  <w:r>
                    <w:rPr>
                      <w:rFonts w:hint="eastAsia"/>
                      <w:snapToGrid w:val="0"/>
                      <w:color w:val="000000" w:themeColor="text1"/>
                      <w:sz w:val="21"/>
                      <w:szCs w:val="21"/>
                      <w14:textFill>
                        <w14:solidFill>
                          <w14:schemeClr w14:val="tx1"/>
                        </w14:solidFill>
                      </w14:textFill>
                    </w:rPr>
                    <w:t>炭化炉及管道</w:t>
                  </w:r>
                  <w:r>
                    <w:rPr>
                      <w:rFonts w:hint="eastAsia"/>
                      <w:snapToGrid w:val="0"/>
                      <w:color w:val="000000" w:themeColor="text1"/>
                      <w:sz w:val="21"/>
                      <w:szCs w:val="21"/>
                      <w:lang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润滑油</w:t>
                  </w:r>
                  <w:r>
                    <w:rPr>
                      <w:rFonts w:hint="eastAsia" w:cs="Times New Roman"/>
                      <w:color w:val="000000" w:themeColor="text1"/>
                      <w:sz w:val="21"/>
                      <w:szCs w:val="21"/>
                      <w:highlight w:val="none"/>
                      <w:u w:val="none" w:color="auto"/>
                      <w:lang w:eastAsia="zh-CN"/>
                      <w14:textFill>
                        <w14:solidFill>
                          <w14:schemeClr w14:val="tx1"/>
                        </w14:solidFill>
                      </w14:textFill>
                    </w:rPr>
                    <w:t>、</w:t>
                  </w:r>
                  <w:r>
                    <w:rPr>
                      <w:rFonts w:hint="eastAsia" w:cs="Times New Roman"/>
                      <w:color w:val="000000" w:themeColor="text1"/>
                      <w:sz w:val="21"/>
                      <w:szCs w:val="21"/>
                      <w:highlight w:val="none"/>
                      <w:u w:val="none" w:color="auto"/>
                      <w:lang w:val="en-US" w:eastAsia="zh-CN"/>
                      <w14:textFill>
                        <w14:solidFill>
                          <w14:schemeClr w14:val="tx1"/>
                        </w14:solidFill>
                      </w14:textFill>
                    </w:rPr>
                    <w:t>木煤气</w:t>
                  </w: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等物料的储存</w:t>
                  </w:r>
                  <w:r>
                    <w:rPr>
                      <w:rFonts w:hint="eastAsia" w:cs="Times New Roman"/>
                      <w:color w:val="000000" w:themeColor="text1"/>
                      <w:sz w:val="21"/>
                      <w:szCs w:val="21"/>
                      <w:highlight w:val="none"/>
                      <w:u w:val="none" w:color="auto"/>
                      <w:lang w:val="en-US" w:eastAsia="zh-CN"/>
                      <w14:textFill>
                        <w14:solidFill>
                          <w14:schemeClr w14:val="tx1"/>
                        </w14:solidFill>
                      </w14:textFill>
                    </w:rPr>
                    <w:t>和</w:t>
                  </w: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使用如遇明火，易引起火灾</w:t>
                  </w:r>
                  <w:r>
                    <w:rPr>
                      <w:rFonts w:hint="eastAsia" w:cs="Times New Roman"/>
                      <w:color w:val="000000" w:themeColor="text1"/>
                      <w:sz w:val="21"/>
                      <w:szCs w:val="21"/>
                      <w:highlight w:val="none"/>
                      <w:u w:val="none" w:color="auto"/>
                      <w:lang w:eastAsia="zh-CN"/>
                      <w14:textFill>
                        <w14:solidFill>
                          <w14:schemeClr w14:val="tx1"/>
                        </w14:solidFill>
                      </w14:textFill>
                    </w:rPr>
                    <w:t>，</w:t>
                  </w:r>
                  <w:r>
                    <w:rPr>
                      <w:rFonts w:hint="eastAsia"/>
                      <w:snapToGrid w:val="0"/>
                      <w:color w:val="000000" w:themeColor="text1"/>
                      <w:sz w:val="21"/>
                      <w:szCs w:val="21"/>
                      <w14:textFill>
                        <w14:solidFill>
                          <w14:schemeClr w14:val="tx1"/>
                        </w14:solidFill>
                      </w14:textFill>
                    </w:rPr>
                    <w:t>木焦油、</w:t>
                  </w:r>
                  <w:r>
                    <w:rPr>
                      <w:rFonts w:hint="eastAsia"/>
                      <w:snapToGrid w:val="0"/>
                      <w:color w:val="000000" w:themeColor="text1"/>
                      <w:sz w:val="21"/>
                      <w:szCs w:val="21"/>
                      <w:lang w:val="en-US" w:eastAsia="zh-CN"/>
                      <w14:textFill>
                        <w14:solidFill>
                          <w14:schemeClr w14:val="tx1"/>
                        </w14:solidFill>
                      </w14:textFill>
                    </w:rPr>
                    <w:t>木</w:t>
                  </w:r>
                  <w:r>
                    <w:rPr>
                      <w:rFonts w:hint="eastAsia"/>
                      <w:snapToGrid w:val="0"/>
                      <w:color w:val="000000" w:themeColor="text1"/>
                      <w:sz w:val="21"/>
                      <w:szCs w:val="21"/>
                      <w14:textFill>
                        <w14:solidFill>
                          <w14:schemeClr w14:val="tx1"/>
                        </w14:solidFill>
                      </w14:textFill>
                    </w:rPr>
                    <w:t>醋液</w:t>
                  </w:r>
                  <w:r>
                    <w:rPr>
                      <w:rFonts w:hint="eastAsia"/>
                      <w:snapToGrid w:val="0"/>
                      <w:color w:val="000000" w:themeColor="text1"/>
                      <w:sz w:val="21"/>
                      <w:szCs w:val="21"/>
                      <w:lang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废润滑油等危险废物的暂存过程中发生泄漏</w:t>
                  </w:r>
                </w:p>
              </w:tc>
            </w:tr>
            <w:tr w14:paraId="3FE5AF1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1082" w:type="pct"/>
                  <w:noWrap w:val="0"/>
                  <w:vAlign w:val="center"/>
                </w:tcPr>
                <w:p w14:paraId="5D470517">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pacing w:val="9"/>
                      <w:sz w:val="21"/>
                      <w:szCs w:val="21"/>
                      <w:highlight w:val="none"/>
                      <w:u w:val="none" w:color="auto"/>
                      <w14:textFill>
                        <w14:solidFill>
                          <w14:schemeClr w14:val="tx1"/>
                        </w14:solidFill>
                      </w14:textFill>
                    </w:rPr>
                    <w:t>环</w:t>
                  </w:r>
                  <w:r>
                    <w:rPr>
                      <w:rFonts w:hint="default" w:ascii="Times New Roman" w:hAnsi="Times New Roman" w:eastAsia="宋体" w:cs="Times New Roman"/>
                      <w:color w:val="000000" w:themeColor="text1"/>
                      <w:spacing w:val="8"/>
                      <w:sz w:val="21"/>
                      <w:szCs w:val="21"/>
                      <w:highlight w:val="none"/>
                      <w:u w:val="none" w:color="auto"/>
                      <w14:textFill>
                        <w14:solidFill>
                          <w14:schemeClr w14:val="tx1"/>
                        </w14:solidFill>
                      </w14:textFill>
                    </w:rPr>
                    <w:t>境影响途径</w:t>
                  </w:r>
                  <w:r>
                    <w:rPr>
                      <w:rFonts w:hint="default" w:ascii="Times New Roman" w:hAnsi="Times New Roman" w:eastAsia="宋体" w:cs="Times New Roman"/>
                      <w:color w:val="000000" w:themeColor="text1"/>
                      <w:spacing w:val="15"/>
                      <w:sz w:val="21"/>
                      <w:szCs w:val="21"/>
                      <w:highlight w:val="none"/>
                      <w:u w:val="none" w:color="auto"/>
                      <w14:textFill>
                        <w14:solidFill>
                          <w14:schemeClr w14:val="tx1"/>
                        </w14:solidFill>
                      </w14:textFill>
                    </w:rPr>
                    <w:t>及危害后果(</w:t>
                  </w:r>
                  <w:r>
                    <w:rPr>
                      <w:rFonts w:hint="default" w:ascii="Times New Roman" w:hAnsi="Times New Roman" w:eastAsia="宋体" w:cs="Times New Roman"/>
                      <w:color w:val="000000" w:themeColor="text1"/>
                      <w:spacing w:val="14"/>
                      <w:sz w:val="21"/>
                      <w:szCs w:val="21"/>
                      <w:highlight w:val="none"/>
                      <w:u w:val="none" w:color="auto"/>
                      <w14:textFill>
                        <w14:solidFill>
                          <w14:schemeClr w14:val="tx1"/>
                        </w14:solidFill>
                      </w14:textFill>
                    </w:rPr>
                    <w:t>大</w:t>
                  </w:r>
                  <w:r>
                    <w:rPr>
                      <w:rFonts w:hint="default" w:ascii="Times New Roman" w:hAnsi="Times New Roman" w:eastAsia="宋体" w:cs="Times New Roman"/>
                      <w:color w:val="000000" w:themeColor="text1"/>
                      <w:spacing w:val="1"/>
                      <w:sz w:val="21"/>
                      <w:szCs w:val="21"/>
                      <w:highlight w:val="none"/>
                      <w:u w:val="none" w:color="auto"/>
                      <w14:textFill>
                        <w14:solidFill>
                          <w14:schemeClr w14:val="tx1"/>
                        </w14:solidFill>
                      </w14:textFill>
                    </w:rPr>
                    <w:t>气、地表</w:t>
                  </w: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水、地</w:t>
                  </w:r>
                  <w:r>
                    <w:rPr>
                      <w:rFonts w:hint="default" w:ascii="Times New Roman" w:hAnsi="Times New Roman" w:eastAsia="宋体" w:cs="Times New Roman"/>
                      <w:color w:val="000000" w:themeColor="text1"/>
                      <w:spacing w:val="7"/>
                      <w:sz w:val="21"/>
                      <w:szCs w:val="21"/>
                      <w:highlight w:val="none"/>
                      <w:u w:val="none" w:color="auto"/>
                      <w14:textFill>
                        <w14:solidFill>
                          <w14:schemeClr w14:val="tx1"/>
                        </w14:solidFill>
                      </w14:textFill>
                    </w:rPr>
                    <w:t>下</w:t>
                  </w:r>
                  <w:r>
                    <w:rPr>
                      <w:rFonts w:hint="default" w:ascii="Times New Roman" w:hAnsi="Times New Roman" w:eastAsia="宋体" w:cs="Times New Roman"/>
                      <w:color w:val="000000" w:themeColor="text1"/>
                      <w:spacing w:val="6"/>
                      <w:sz w:val="21"/>
                      <w:szCs w:val="21"/>
                      <w:highlight w:val="none"/>
                      <w:u w:val="none" w:color="auto"/>
                      <w14:textFill>
                        <w14:solidFill>
                          <w14:schemeClr w14:val="tx1"/>
                        </w14:solidFill>
                      </w14:textFill>
                    </w:rPr>
                    <w:t>水、土壤等)</w:t>
                  </w:r>
                </w:p>
              </w:tc>
              <w:tc>
                <w:tcPr>
                  <w:tcW w:w="3917" w:type="pct"/>
                  <w:gridSpan w:val="4"/>
                  <w:noWrap w:val="0"/>
                  <w:vAlign w:val="center"/>
                </w:tcPr>
                <w:p w14:paraId="352448B2">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both"/>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（1）火灾事故分析</w:t>
                  </w:r>
                </w:p>
                <w:p w14:paraId="5A4CA3E6">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both"/>
                    <w:textAlignment w:val="auto"/>
                    <w:rPr>
                      <w:rFonts w:hint="default" w:ascii="Times New Roman" w:hAnsi="Times New Roman" w:eastAsia="宋体" w:cs="Times New Roman"/>
                      <w:bCs/>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bCs/>
                      <w:color w:val="000000" w:themeColor="text1"/>
                      <w:sz w:val="21"/>
                      <w:szCs w:val="21"/>
                      <w:highlight w:val="none"/>
                      <w:u w:val="none" w:color="auto"/>
                      <w14:textFill>
                        <w14:solidFill>
                          <w14:schemeClr w14:val="tx1"/>
                        </w14:solidFill>
                      </w14:textFill>
                    </w:rPr>
                    <w:t>①大气环境</w:t>
                  </w:r>
                </w:p>
                <w:p w14:paraId="0D585052">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both"/>
                    <w:textAlignment w:val="auto"/>
                    <w:rPr>
                      <w:rFonts w:hint="default" w:ascii="Times New Roman" w:hAnsi="Times New Roman" w:eastAsia="宋体" w:cs="Times New Roman"/>
                      <w:bCs/>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bCs/>
                      <w:color w:val="000000" w:themeColor="text1"/>
                      <w:sz w:val="21"/>
                      <w:szCs w:val="21"/>
                      <w:highlight w:val="none"/>
                      <w:u w:val="none" w:color="auto"/>
                      <w14:textFill>
                        <w14:solidFill>
                          <w14:schemeClr w14:val="tx1"/>
                        </w14:solidFill>
                      </w14:textFill>
                    </w:rPr>
                    <w:t>本项目涉及的</w:t>
                  </w: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润滑油</w:t>
                  </w:r>
                  <w:r>
                    <w:rPr>
                      <w:rFonts w:hint="eastAsia" w:ascii="Times New Roman" w:hAnsi="Times New Roman" w:eastAsia="宋体" w:cs="Times New Roman"/>
                      <w:color w:val="000000" w:themeColor="text1"/>
                      <w:sz w:val="21"/>
                      <w:szCs w:val="21"/>
                      <w:highlight w:val="none"/>
                      <w:u w:val="none" w:color="auto"/>
                      <w:lang w:eastAsia="zh-CN"/>
                      <w14:textFill>
                        <w14:solidFill>
                          <w14:schemeClr w14:val="tx1"/>
                        </w14:solidFill>
                      </w14:textFill>
                    </w:rPr>
                    <w:t>、</w:t>
                  </w:r>
                  <w:r>
                    <w:rPr>
                      <w:rFonts w:hint="eastAsia"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木煤气等</w:t>
                  </w:r>
                  <w:r>
                    <w:rPr>
                      <w:rFonts w:hint="default" w:ascii="Times New Roman" w:hAnsi="Times New Roman" w:eastAsia="宋体" w:cs="Times New Roman"/>
                      <w:bCs/>
                      <w:color w:val="000000" w:themeColor="text1"/>
                      <w:sz w:val="21"/>
                      <w:szCs w:val="21"/>
                      <w:highlight w:val="none"/>
                      <w:u w:val="none" w:color="auto"/>
                      <w14:textFill>
                        <w14:solidFill>
                          <w14:schemeClr w14:val="tx1"/>
                        </w14:solidFill>
                      </w14:textFill>
                    </w:rPr>
                    <w:t>属于易燃物质</w:t>
                  </w:r>
                  <w:r>
                    <w:rPr>
                      <w:rFonts w:hint="eastAsia" w:ascii="Times New Roman" w:hAnsi="Times New Roman" w:eastAsia="宋体" w:cs="Times New Roman"/>
                      <w:bCs/>
                      <w:color w:val="000000" w:themeColor="text1"/>
                      <w:sz w:val="21"/>
                      <w:szCs w:val="21"/>
                      <w:highlight w:val="none"/>
                      <w:u w:val="none" w:color="auto"/>
                      <w:lang w:eastAsia="zh-CN"/>
                      <w14:textFill>
                        <w14:solidFill>
                          <w14:schemeClr w14:val="tx1"/>
                        </w14:solidFill>
                      </w14:textFill>
                    </w:rPr>
                    <w:t>，</w:t>
                  </w:r>
                  <w:r>
                    <w:rPr>
                      <w:rFonts w:hint="default" w:ascii="Times New Roman" w:hAnsi="Times New Roman" w:eastAsia="宋体" w:cs="Times New Roman"/>
                      <w:bCs/>
                      <w:color w:val="000000" w:themeColor="text1"/>
                      <w:sz w:val="21"/>
                      <w:szCs w:val="21"/>
                      <w:highlight w:val="none"/>
                      <w:u w:val="none" w:color="auto"/>
                      <w14:textFill>
                        <w14:solidFill>
                          <w14:schemeClr w14:val="tx1"/>
                        </w14:solidFill>
                      </w14:textFill>
                    </w:rPr>
                    <w:t>电气设备由于超负荷运转等因素，一旦车间管理不当，遇明火或自燃燃烧，其燃烧产物中一氧化碳、二氧化碳、氮氧化物和烟雾可能会对大气环境产生一定的影响。一旦发生火灾事故，随着大气的扩散作用，CO的浓度降低，大气环境可恢复到现状水平，预计本项目火灾不会对周围外界大气环境造成持续的影响。一旦发生事故，建设单位应及时采用正确方法处理所发生事故，应急处理人员穿戴全身专用防护服，佩戴氧气呼吸器对事故进行应急处理，尽量减轻对人员的影响。</w:t>
                  </w:r>
                </w:p>
                <w:p w14:paraId="6F5495E2">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both"/>
                    <w:textAlignment w:val="auto"/>
                    <w:rPr>
                      <w:rFonts w:hint="default" w:ascii="Times New Roman" w:hAnsi="Times New Roman" w:eastAsia="宋体" w:cs="Times New Roman"/>
                      <w:bCs/>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bCs/>
                      <w:color w:val="000000" w:themeColor="text1"/>
                      <w:sz w:val="21"/>
                      <w:szCs w:val="21"/>
                      <w:highlight w:val="none"/>
                      <w:u w:val="none" w:color="auto"/>
                      <w14:textFill>
                        <w14:solidFill>
                          <w14:schemeClr w14:val="tx1"/>
                        </w14:solidFill>
                      </w14:textFill>
                    </w:rPr>
                    <w:t>②地表水环境</w:t>
                  </w:r>
                </w:p>
                <w:p w14:paraId="6E982E25">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both"/>
                    <w:textAlignment w:val="auto"/>
                    <w:rPr>
                      <w:rFonts w:hint="default" w:ascii="Times New Roman" w:hAnsi="Times New Roman" w:eastAsia="宋体" w:cs="Times New Roman"/>
                      <w:bCs/>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bCs/>
                      <w:color w:val="000000" w:themeColor="text1"/>
                      <w:sz w:val="21"/>
                      <w:szCs w:val="21"/>
                      <w:highlight w:val="none"/>
                      <w:u w:val="none" w:color="auto"/>
                      <w14:textFill>
                        <w14:solidFill>
                          <w14:schemeClr w14:val="tx1"/>
                        </w14:solidFill>
                      </w14:textFill>
                    </w:rPr>
                    <w:t>发生小面积火灾情况，可采用干粉灭火器、消防沙灭火，不会产生消防废水；大面积火灾需使用消防水灭火时，产生大量消防废水，若收集不当将会对地表水产生不利影响。</w:t>
                  </w:r>
                </w:p>
                <w:p w14:paraId="0353C368">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bCs/>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bCs/>
                      <w:color w:val="000000" w:themeColor="text1"/>
                      <w:sz w:val="21"/>
                      <w:szCs w:val="21"/>
                      <w:highlight w:val="none"/>
                      <w:u w:val="none" w:color="auto"/>
                      <w14:textFill>
                        <w14:solidFill>
                          <w14:schemeClr w14:val="tx1"/>
                        </w14:solidFill>
                      </w14:textFill>
                    </w:rPr>
                    <w:t>本项目厂区内存放有灭火器。发生小范围火灾事故时，使用干粉灭火器及时灭火；发生大范围火灾事故时，使用消防水及时灭火。若发生大范围火灾事故时，使用消防水进行灭火，会产生消防废水，建设单位应及时用沙袋封堵厂区雨水总排口，截留有限的消防废水。待事故结束后，委托有资质单位对截留的消防废水水质进行检测，若水质满足污水处理厂进水水质要求，将消防废水外运至污水处理厂处理；若水质不能满足污水处理厂进水水质要求，将消防废水外运委托有资质单位处理。</w:t>
                  </w:r>
                </w:p>
                <w:p w14:paraId="3076453D">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both"/>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（2）</w:t>
                  </w:r>
                  <w:r>
                    <w:rPr>
                      <w:rFonts w:hint="eastAsia"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木焦油、木醋液、</w:t>
                  </w: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废润滑油等暂存泄漏事故分析</w:t>
                  </w:r>
                </w:p>
                <w:p w14:paraId="32CC1E95">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both"/>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eastAsia"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木焦油、木醋液、</w:t>
                  </w: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废润滑油等一旦发生泄漏事故，应及时进行收集处理，未收集的部分可能会导致土壤受到污染。</w:t>
                  </w:r>
                </w:p>
                <w:p w14:paraId="74FD776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both"/>
                    <w:textAlignment w:val="auto"/>
                    <w:rPr>
                      <w:rFonts w:hint="default" w:ascii="Times New Roman" w:hAnsi="Times New Roman" w:eastAsia="宋体" w:cs="Times New Roman"/>
                      <w:color w:val="7030A0"/>
                      <w:sz w:val="21"/>
                      <w:szCs w:val="21"/>
                      <w:highlight w:val="none"/>
                      <w:u w:val="none" w:color="auto"/>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由于</w:t>
                  </w:r>
                  <w:r>
                    <w:rPr>
                      <w:rFonts w:hint="eastAsia"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本项目木焦油、木醋液、废润滑油</w:t>
                  </w: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采用多个桶装储存，且存储量不大，在不发生爆炸的情况下，泄漏的概率几乎为零，其发生泄漏而不引起火灾爆炸事故时，主要影响是挥发的有机废气对环境空气的影响，由于单桶量相对较小，对厂区大气环境造成影响较小；储存、转运过程如有泄露、抛洒、逸散等，若不及时清理，可随雨水冲刷流出厂外，对附近水体环境造成污染。</w:t>
                  </w:r>
                </w:p>
              </w:tc>
            </w:tr>
            <w:tr w14:paraId="2087983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1082" w:type="pct"/>
                  <w:noWrap w:val="0"/>
                  <w:vAlign w:val="center"/>
                </w:tcPr>
                <w:p w14:paraId="763A0D7E">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pacing w:val="8"/>
                      <w:sz w:val="21"/>
                      <w:szCs w:val="21"/>
                      <w:highlight w:val="none"/>
                      <w:u w:val="none" w:color="auto"/>
                      <w14:textFill>
                        <w14:solidFill>
                          <w14:schemeClr w14:val="tx1"/>
                        </w14:solidFill>
                      </w14:textFill>
                    </w:rPr>
                    <w:t>风险防范措施</w:t>
                  </w:r>
                  <w:r>
                    <w:rPr>
                      <w:rFonts w:hint="default" w:ascii="Times New Roman" w:hAnsi="Times New Roman" w:eastAsia="宋体" w:cs="Times New Roman"/>
                      <w:color w:val="000000" w:themeColor="text1"/>
                      <w:spacing w:val="7"/>
                      <w:sz w:val="21"/>
                      <w:szCs w:val="21"/>
                      <w:highlight w:val="none"/>
                      <w:u w:val="none" w:color="auto"/>
                      <w14:textFill>
                        <w14:solidFill>
                          <w14:schemeClr w14:val="tx1"/>
                        </w14:solidFill>
                      </w14:textFill>
                    </w:rPr>
                    <w:t>及要求</w:t>
                  </w:r>
                </w:p>
              </w:tc>
              <w:tc>
                <w:tcPr>
                  <w:tcW w:w="3917" w:type="pct"/>
                  <w:gridSpan w:val="4"/>
                  <w:noWrap w:val="0"/>
                  <w:vAlign w:val="center"/>
                </w:tcPr>
                <w:p w14:paraId="5255E8BC">
                  <w:pPr>
                    <w:pStyle w:val="8"/>
                    <w:keepNext w:val="0"/>
                    <w:keepLines w:val="0"/>
                    <w:pageBreakBefore w:val="0"/>
                    <w:kinsoku/>
                    <w:wordWrap/>
                    <w:overflowPunct/>
                    <w:topLinePunct w:val="0"/>
                    <w:autoSpaceDE/>
                    <w:autoSpaceDN/>
                    <w:bidi w:val="0"/>
                    <w:spacing w:before="0" w:beforeAutospacing="0" w:after="0" w:line="240" w:lineRule="auto"/>
                    <w:ind w:left="0" w:leftChars="0" w:right="0" w:firstLine="0" w:firstLineChars="0"/>
                    <w:jc w:val="both"/>
                    <w:textAlignment w:val="auto"/>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u w:val="none" w:color="auto"/>
                      <w:lang w:eastAsia="zh-CN"/>
                      <w14:textFill>
                        <w14:solidFill>
                          <w14:schemeClr w14:val="tx1"/>
                        </w14:solidFill>
                      </w14:textFill>
                    </w:rPr>
                    <w:t>（</w:t>
                  </w:r>
                  <w:r>
                    <w:rPr>
                      <w:rFonts w:hint="eastAsia"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1</w:t>
                  </w:r>
                  <w:r>
                    <w:rPr>
                      <w:rFonts w:hint="eastAsia" w:ascii="Times New Roman" w:hAnsi="Times New Roman" w:eastAsia="宋体" w:cs="Times New Roman"/>
                      <w:color w:val="000000" w:themeColor="text1"/>
                      <w:sz w:val="21"/>
                      <w:szCs w:val="21"/>
                      <w:highlight w:val="none"/>
                      <w:u w:val="none" w:color="auto"/>
                      <w:lang w:eastAsia="zh-CN"/>
                      <w14:textFill>
                        <w14:solidFill>
                          <w14:schemeClr w14:val="tx1"/>
                        </w14:solidFill>
                      </w14:textFill>
                    </w:rPr>
                    <w:t>）</w:t>
                  </w:r>
                  <w:r>
                    <w:rPr>
                      <w:rFonts w:hint="eastAsia"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中间产品（木煤气）</w:t>
                  </w:r>
                </w:p>
                <w:p w14:paraId="4F64701A">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both"/>
                    <w:textAlignment w:val="auto"/>
                    <w:rPr>
                      <w:rFonts w:hint="eastAsia" w:eastAsia="宋体"/>
                      <w:snapToGrid w:val="0"/>
                      <w:color w:val="000000" w:themeColor="text1"/>
                      <w:sz w:val="21"/>
                      <w:szCs w:val="21"/>
                      <w:lang w:val="en-US" w:eastAsia="zh-CN"/>
                      <w14:textFill>
                        <w14:solidFill>
                          <w14:schemeClr w14:val="tx1"/>
                        </w14:solidFill>
                      </w14:textFill>
                    </w:rPr>
                  </w:pPr>
                  <w:r>
                    <w:rPr>
                      <w:rFonts w:hint="eastAsia"/>
                      <w:snapToGrid w:val="0"/>
                      <w:color w:val="000000" w:themeColor="text1"/>
                      <w:sz w:val="21"/>
                      <w:szCs w:val="21"/>
                      <w14:textFill>
                        <w14:solidFill>
                          <w14:schemeClr w14:val="tx1"/>
                        </w14:solidFill>
                      </w14:textFill>
                    </w:rPr>
                    <w:t>①为了防范事故和减少灾害，木煤气管道及其他设施的设计、制造、施工、运行、管理和维修等，应参照执行《工业企业煤气安全规程》（</w:t>
                  </w:r>
                  <w:r>
                    <w:rPr>
                      <w:rFonts w:hint="default"/>
                      <w:snapToGrid w:val="0"/>
                      <w:color w:val="000000" w:themeColor="text1"/>
                      <w:sz w:val="21"/>
                      <w:szCs w:val="21"/>
                      <w14:textFill>
                        <w14:solidFill>
                          <w14:schemeClr w14:val="tx1"/>
                        </w14:solidFill>
                      </w14:textFill>
                    </w:rPr>
                    <w:t>GB6222-86</w:t>
                  </w:r>
                  <w:r>
                    <w:rPr>
                      <w:rFonts w:hint="eastAsia"/>
                      <w:snapToGrid w:val="0"/>
                      <w:color w:val="000000" w:themeColor="text1"/>
                      <w:sz w:val="21"/>
                      <w:szCs w:val="21"/>
                      <w14:textFill>
                        <w14:solidFill>
                          <w14:schemeClr w14:val="tx1"/>
                        </w14:solidFill>
                      </w14:textFill>
                    </w:rPr>
                    <w:t>）的要求，必须制定风险事故的防范措施和应急预案。</w:t>
                  </w:r>
                </w:p>
                <w:p w14:paraId="259DACD7">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both"/>
                    <w:textAlignment w:val="auto"/>
                    <w:rPr>
                      <w:rFonts w:hint="eastAsia"/>
                      <w:snapToGrid w:val="0"/>
                      <w:color w:val="000000" w:themeColor="text1"/>
                      <w:sz w:val="21"/>
                      <w:szCs w:val="21"/>
                      <w14:textFill>
                        <w14:solidFill>
                          <w14:schemeClr w14:val="tx1"/>
                        </w14:solidFill>
                      </w14:textFill>
                    </w:rPr>
                  </w:pPr>
                  <w:r>
                    <w:rPr>
                      <w:rFonts w:hint="eastAsia"/>
                      <w:snapToGrid w:val="0"/>
                      <w:color w:val="000000" w:themeColor="text1"/>
                      <w:sz w:val="21"/>
                      <w:szCs w:val="21"/>
                      <w14:textFill>
                        <w14:solidFill>
                          <w14:schemeClr w14:val="tx1"/>
                        </w14:solidFill>
                      </w14:textFill>
                    </w:rPr>
                    <w:t>②在对木煤气设施运行及停气检修时必须严格按照有关安全生产的规定进行。收集管道及木煤气燃烧设备的设计和施工中，应参照《工业企业煤气安全规程》（GB 6222-86）等安全生产的有关规定进行。</w:t>
                  </w:r>
                </w:p>
                <w:p w14:paraId="0A589DE3">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both"/>
                    <w:textAlignment w:val="auto"/>
                    <w:rPr>
                      <w:rFonts w:hint="eastAsia"/>
                      <w:snapToGrid w:val="0"/>
                      <w:color w:val="000000" w:themeColor="text1"/>
                      <w:sz w:val="21"/>
                      <w:szCs w:val="21"/>
                      <w14:textFill>
                        <w14:solidFill>
                          <w14:schemeClr w14:val="tx1"/>
                        </w14:solidFill>
                      </w14:textFill>
                    </w:rPr>
                  </w:pPr>
                  <w:r>
                    <w:rPr>
                      <w:rFonts w:hint="eastAsia"/>
                      <w:snapToGrid w:val="0"/>
                      <w:color w:val="000000" w:themeColor="text1"/>
                      <w:sz w:val="21"/>
                      <w:szCs w:val="21"/>
                      <w:lang w:val="en-US" w:eastAsia="zh-CN"/>
                      <w14:textFill>
                        <w14:solidFill>
                          <w14:schemeClr w14:val="tx1"/>
                        </w14:solidFill>
                      </w14:textFill>
                    </w:rPr>
                    <w:t>③</w:t>
                  </w:r>
                  <w:r>
                    <w:rPr>
                      <w:rFonts w:hint="eastAsia"/>
                      <w:snapToGrid w:val="0"/>
                      <w:color w:val="000000" w:themeColor="text1"/>
                      <w:sz w:val="21"/>
                      <w:szCs w:val="21"/>
                      <w14:textFill>
                        <w14:solidFill>
                          <w14:schemeClr w14:val="tx1"/>
                        </w14:solidFill>
                      </w14:textFill>
                    </w:rPr>
                    <w:t>建立事故预防、监测、检验、报警系统，设置厂内医疗急救站；采取技术、工艺、设备、管理等综合预防措施，避免木煤气意外泄漏事故发生；在易产生泄漏的位置设置检测仪和自动报警器，当发生泄漏事故时能及时报警，使事故能够得到及时扼杀；生产场所应设置相应的通风设施，确保工作人员不受有害气体的危害；对输送管道、管件等以及与之相关的设备进行重点安全监督。</w:t>
                  </w:r>
                </w:p>
                <w:p w14:paraId="75D96998">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eastAsia" w:ascii="Times New Roman" w:hAnsi="Times New Roman" w:eastAsia="宋体" w:cs="Times New Roman"/>
                      <w:color w:val="000000" w:themeColor="text1"/>
                      <w:sz w:val="21"/>
                      <w:szCs w:val="21"/>
                      <w:highlight w:val="none"/>
                      <w:u w:val="none" w:color="auto"/>
                      <w:lang w:eastAsia="zh-CN"/>
                      <w14:textFill>
                        <w14:solidFill>
                          <w14:schemeClr w14:val="tx1"/>
                        </w14:solidFill>
                      </w14:textFill>
                    </w:rPr>
                    <w:t>（</w:t>
                  </w:r>
                  <w:r>
                    <w:rPr>
                      <w:rFonts w:hint="eastAsia" w:cs="Times New Roman"/>
                      <w:color w:val="000000" w:themeColor="text1"/>
                      <w:sz w:val="21"/>
                      <w:szCs w:val="21"/>
                      <w:highlight w:val="none"/>
                      <w:u w:val="none" w:color="auto"/>
                      <w:lang w:val="en-US" w:eastAsia="zh-CN"/>
                      <w14:textFill>
                        <w14:solidFill>
                          <w14:schemeClr w14:val="tx1"/>
                        </w14:solidFill>
                      </w14:textFill>
                    </w:rPr>
                    <w:t>2</w:t>
                  </w:r>
                  <w:r>
                    <w:rPr>
                      <w:rFonts w:hint="eastAsia" w:ascii="Times New Roman" w:hAnsi="Times New Roman" w:eastAsia="宋体" w:cs="Times New Roman"/>
                      <w:color w:val="000000" w:themeColor="text1"/>
                      <w:sz w:val="21"/>
                      <w:szCs w:val="21"/>
                      <w:highlight w:val="none"/>
                      <w:u w:val="none" w:color="auto"/>
                      <w:lang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原料储存过程事故收集措施</w:t>
                  </w:r>
                </w:p>
                <w:p w14:paraId="36749069">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both"/>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加强贮存使用管理，及时检查包装容器完好使用情况，严防出现泄漏事故。原料仓库四周</w:t>
                  </w:r>
                  <w:r>
                    <w:rPr>
                      <w:rFonts w:hint="eastAsia"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均</w:t>
                  </w: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设置围堰，泄露物料及时收集后作为危废处理，危废间设置“六防”措施。一旦发生泄漏情况，应迅速撤离污染区人员至上风处，设置一定隔离距离，严格限制无关人员出入；建议应急处理人员戴自给正压式呼吸器，穿防护服，从上风处进入现场，及时清理现场泄漏物料，防止外排污染水环境。</w:t>
                  </w:r>
                </w:p>
                <w:p w14:paraId="29FA881F">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both"/>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w:t>
                  </w:r>
                  <w:r>
                    <w:rPr>
                      <w:rFonts w:hint="eastAsia" w:cs="Times New Roman"/>
                      <w:color w:val="000000" w:themeColor="text1"/>
                      <w:sz w:val="21"/>
                      <w:szCs w:val="21"/>
                      <w:highlight w:val="none"/>
                      <w:u w:val="none" w:color="auto"/>
                      <w:lang w:val="en-US" w:eastAsia="zh-CN"/>
                      <w14:textFill>
                        <w14:solidFill>
                          <w14:schemeClr w14:val="tx1"/>
                        </w14:solidFill>
                      </w14:textFill>
                    </w:rPr>
                    <w:t>3</w:t>
                  </w: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w:t>
                  </w:r>
                  <w:r>
                    <w:rPr>
                      <w:rFonts w:hint="eastAsia"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木焦油、木醋液、废润滑油等</w:t>
                  </w: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危废暂存过程中风险防范措施：</w:t>
                  </w:r>
                </w:p>
                <w:p w14:paraId="3627BBE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both"/>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①危废暂存间贮存区域应符合有关安全、防火规定，并设置相应的通风、防爆、防火、灭火等安全设施。</w:t>
                  </w:r>
                </w:p>
                <w:p w14:paraId="23C7F60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both"/>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②储存地点设置围堰，防止事故泄露</w:t>
                  </w:r>
                </w:p>
                <w:p w14:paraId="6D09688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both"/>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③危废暂存间设置事故沟等风险防范措施；</w:t>
                  </w:r>
                </w:p>
                <w:p w14:paraId="35EDE2F6">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both"/>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④建立安全生产岗位责任制，制定安全生产规章制度、安全操作规程，加强员工安全环保意识教育，树立安全生产意识，防止人为事故发生。</w:t>
                  </w:r>
                </w:p>
                <w:p w14:paraId="6BE28429">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both"/>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w:t>
                  </w:r>
                  <w:r>
                    <w:rPr>
                      <w:rFonts w:hint="eastAsia" w:cs="Times New Roman"/>
                      <w:color w:val="000000" w:themeColor="text1"/>
                      <w:sz w:val="21"/>
                      <w:szCs w:val="21"/>
                      <w:highlight w:val="none"/>
                      <w:u w:val="none" w:color="auto"/>
                      <w:lang w:val="en-US" w:eastAsia="zh-CN"/>
                      <w14:textFill>
                        <w14:solidFill>
                          <w14:schemeClr w14:val="tx1"/>
                        </w14:solidFill>
                      </w14:textFill>
                    </w:rPr>
                    <w:t>4</w:t>
                  </w: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）火灾事故风险防范措施</w:t>
                  </w:r>
                </w:p>
                <w:p w14:paraId="1AC88A1C">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both"/>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①在工程设计中，应严格按照国家有关规范和标准进行平面布置、建筑设计。生产区与办公室之间根据消防部门意见保持足够的安全距离。原料及产品库区设计按规范要求进行；平面布置上建筑物间的距离必须符合有关防火设计规范，各区可利用道路进行功能分区，必须满足交通和消防两方面要求。</w:t>
                  </w:r>
                </w:p>
                <w:p w14:paraId="341ADA3D">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both"/>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②建立健全安全、环境管理体系及高效的安全生产机构，一旦发生事故，要做到快速、高效、安全处置。</w:t>
                  </w:r>
                </w:p>
                <w:p w14:paraId="4EB950A4">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both"/>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③厂内的电气设备严格按照防爆区划分配置。</w:t>
                  </w:r>
                </w:p>
                <w:p w14:paraId="5CA60737">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both"/>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④如突发火灾，应立即采取急救措施，并及时向当地环保局等有关部门报告。一旦发生火灾事故，迅速按灭火作战预案紧急处理。</w:t>
                  </w:r>
                </w:p>
                <w:p w14:paraId="1533802B">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⑤</w:t>
                  </w:r>
                  <w:r>
                    <w:rPr>
                      <w:rFonts w:hint="default" w:ascii="Times New Roman" w:hAnsi="Times New Roman" w:eastAsia="宋体" w:cs="Times New Roman"/>
                      <w:bCs/>
                      <w:color w:val="000000" w:themeColor="text1"/>
                      <w:sz w:val="21"/>
                      <w:szCs w:val="21"/>
                      <w:highlight w:val="none"/>
                      <w:u w:val="none" w:color="auto"/>
                      <w14:textFill>
                        <w14:solidFill>
                          <w14:schemeClr w14:val="tx1"/>
                        </w14:solidFill>
                      </w14:textFill>
                    </w:rPr>
                    <w:t>一旦发生事故，建设单位应及时采用正确方法处理所发生事故，应急处理人员穿戴全身专用防护服，佩戴氧气呼吸器对事故进行应急处理，尽量减轻对人员的影响，发生小范围火灾事故时，使用干粉灭火器及时灭火；发生大范围火灾事故时，使用消防水及时灭火。若发生大范围火灾事故时，使用消防水进行灭火，会产生消防废水，建设单位应及时用沙袋封堵厂区雨水总排口，截留有限的消防废水，</w:t>
                  </w:r>
                  <w:r>
                    <w:rPr>
                      <w:rFonts w:hint="default" w:ascii="Times New Roman" w:hAnsi="Times New Roman" w:eastAsia="宋体" w:cs="Times New Roman"/>
                      <w:color w:val="000000" w:themeColor="text1"/>
                      <w:kern w:val="0"/>
                      <w:sz w:val="21"/>
                      <w:szCs w:val="21"/>
                      <w:highlight w:val="none"/>
                      <w:u w:val="none" w:color="auto"/>
                      <w:lang w:bidi="ar"/>
                      <w14:textFill>
                        <w14:solidFill>
                          <w14:schemeClr w14:val="tx1"/>
                        </w14:solidFill>
                      </w14:textFill>
                    </w:rPr>
                    <w:t>参考《水体污染防控紧急措施设计导则》，消防废水储存设施总有效容积计算公式为：</w:t>
                  </w:r>
                </w:p>
                <w:p w14:paraId="3DA1E503">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u w:val="none" w:color="auto"/>
                      <w:lang w:bidi="ar"/>
                      <w14:textFill>
                        <w14:solidFill>
                          <w14:schemeClr w14:val="tx1"/>
                        </w14:solidFill>
                      </w14:textFill>
                    </w:rPr>
                    <w:t>V2—发生事故的储罐或装置的消防水量，m</w:t>
                  </w:r>
                  <w:r>
                    <w:rPr>
                      <w:rFonts w:hint="default" w:ascii="Times New Roman" w:hAnsi="Times New Roman" w:eastAsia="宋体" w:cs="Times New Roman"/>
                      <w:color w:val="000000" w:themeColor="text1"/>
                      <w:kern w:val="0"/>
                      <w:sz w:val="21"/>
                      <w:szCs w:val="21"/>
                      <w:highlight w:val="none"/>
                      <w:u w:val="none" w:color="auto"/>
                      <w:vertAlign w:val="superscript"/>
                      <w:lang w:bidi="ar"/>
                      <w14:textFill>
                        <w14:solidFill>
                          <w14:schemeClr w14:val="tx1"/>
                        </w14:solidFill>
                      </w14:textFill>
                    </w:rPr>
                    <w:t>3</w:t>
                  </w:r>
                  <w:r>
                    <w:rPr>
                      <w:rFonts w:hint="default" w:ascii="Times New Roman" w:hAnsi="Times New Roman" w:eastAsia="宋体" w:cs="Times New Roman"/>
                      <w:color w:val="000000" w:themeColor="text1"/>
                      <w:kern w:val="0"/>
                      <w:sz w:val="21"/>
                      <w:szCs w:val="21"/>
                      <w:highlight w:val="none"/>
                      <w:u w:val="none" w:color="auto"/>
                      <w:lang w:bidi="ar"/>
                      <w14:textFill>
                        <w14:solidFill>
                          <w14:schemeClr w14:val="tx1"/>
                        </w14:solidFill>
                      </w14:textFill>
                    </w:rPr>
                    <w:t>；</w:t>
                  </w:r>
                </w:p>
                <w:p w14:paraId="53D3A33F">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u w:val="none" w:color="auto"/>
                      <w:lang w:bidi="ar"/>
                      <w14:textFill>
                        <w14:solidFill>
                          <w14:schemeClr w14:val="tx1"/>
                        </w14:solidFill>
                      </w14:textFill>
                    </w:rPr>
                    <w:t>V2=∑Q</w:t>
                  </w:r>
                  <w:r>
                    <w:rPr>
                      <w:rFonts w:hint="default" w:ascii="Times New Roman" w:hAnsi="Times New Roman" w:eastAsia="宋体" w:cs="Times New Roman"/>
                      <w:color w:val="000000" w:themeColor="text1"/>
                      <w:kern w:val="0"/>
                      <w:sz w:val="21"/>
                      <w:szCs w:val="21"/>
                      <w:highlight w:val="none"/>
                      <w:u w:val="none" w:color="auto"/>
                      <w:vertAlign w:val="subscript"/>
                      <w:lang w:bidi="ar"/>
                      <w14:textFill>
                        <w14:solidFill>
                          <w14:schemeClr w14:val="tx1"/>
                        </w14:solidFill>
                      </w14:textFill>
                    </w:rPr>
                    <w:t>消</w:t>
                  </w:r>
                  <w:r>
                    <w:rPr>
                      <w:rFonts w:hint="default" w:ascii="Times New Roman" w:hAnsi="Times New Roman" w:eastAsia="宋体" w:cs="Times New Roman"/>
                      <w:color w:val="000000" w:themeColor="text1"/>
                      <w:kern w:val="0"/>
                      <w:sz w:val="21"/>
                      <w:szCs w:val="21"/>
                      <w:highlight w:val="none"/>
                      <w:u w:val="none" w:color="auto"/>
                      <w:lang w:bidi="ar"/>
                      <w14:textFill>
                        <w14:solidFill>
                          <w14:schemeClr w14:val="tx1"/>
                        </w14:solidFill>
                      </w14:textFill>
                    </w:rPr>
                    <w:t>t</w:t>
                  </w:r>
                  <w:r>
                    <w:rPr>
                      <w:rFonts w:hint="default" w:ascii="Times New Roman" w:hAnsi="Times New Roman" w:eastAsia="宋体" w:cs="Times New Roman"/>
                      <w:color w:val="000000" w:themeColor="text1"/>
                      <w:kern w:val="0"/>
                      <w:sz w:val="21"/>
                      <w:szCs w:val="21"/>
                      <w:highlight w:val="none"/>
                      <w:u w:val="none" w:color="auto"/>
                      <w:vertAlign w:val="subscript"/>
                      <w:lang w:bidi="ar"/>
                      <w14:textFill>
                        <w14:solidFill>
                          <w14:schemeClr w14:val="tx1"/>
                        </w14:solidFill>
                      </w14:textFill>
                    </w:rPr>
                    <w:t>消</w:t>
                  </w:r>
                </w:p>
                <w:p w14:paraId="5EE00606">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u w:val="none" w:color="auto"/>
                      <w:lang w:bidi="ar"/>
                      <w14:textFill>
                        <w14:solidFill>
                          <w14:schemeClr w14:val="tx1"/>
                        </w14:solidFill>
                      </w14:textFill>
                    </w:rPr>
                    <w:t>Q 消—发生事故时的储罐或装置同时使用的消防设施给水流量，m</w:t>
                  </w:r>
                  <w:r>
                    <w:rPr>
                      <w:rFonts w:hint="default" w:ascii="Times New Roman" w:hAnsi="Times New Roman" w:eastAsia="宋体" w:cs="Times New Roman"/>
                      <w:color w:val="000000" w:themeColor="text1"/>
                      <w:kern w:val="0"/>
                      <w:sz w:val="21"/>
                      <w:szCs w:val="21"/>
                      <w:highlight w:val="none"/>
                      <w:u w:val="none" w:color="auto"/>
                      <w:vertAlign w:val="superscript"/>
                      <w:lang w:bidi="ar"/>
                      <w14:textFill>
                        <w14:solidFill>
                          <w14:schemeClr w14:val="tx1"/>
                        </w14:solidFill>
                      </w14:textFill>
                    </w:rPr>
                    <w:t>3</w:t>
                  </w:r>
                  <w:r>
                    <w:rPr>
                      <w:rFonts w:hint="default" w:ascii="Times New Roman" w:hAnsi="Times New Roman" w:eastAsia="宋体" w:cs="Times New Roman"/>
                      <w:color w:val="000000" w:themeColor="text1"/>
                      <w:kern w:val="0"/>
                      <w:sz w:val="21"/>
                      <w:szCs w:val="21"/>
                      <w:highlight w:val="none"/>
                      <w:u w:val="none" w:color="auto"/>
                      <w:lang w:bidi="ar"/>
                      <w14:textFill>
                        <w14:solidFill>
                          <w14:schemeClr w14:val="tx1"/>
                        </w14:solidFill>
                      </w14:textFill>
                    </w:rPr>
                    <w:t xml:space="preserve">/h；综合考虑灭火喷淋消防给水量，取10L/s； </w:t>
                  </w:r>
                </w:p>
                <w:p w14:paraId="23F31469">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u w:val="none" w:color="auto"/>
                      <w:lang w:bidi="ar"/>
                      <w14:textFill>
                        <w14:solidFill>
                          <w14:schemeClr w14:val="tx1"/>
                        </w14:solidFill>
                      </w14:textFill>
                    </w:rPr>
                    <w:t>t消—消防设施对应的设计消防历时（h），取2.0h；</w:t>
                  </w:r>
                </w:p>
                <w:p w14:paraId="12B67834">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u w:val="none" w:color="auto"/>
                      <w:lang w:bidi="ar"/>
                      <w14:textFill>
                        <w14:solidFill>
                          <w14:schemeClr w14:val="tx1"/>
                        </w14:solidFill>
                      </w14:textFill>
                    </w:rPr>
                    <w:t>经计算，消防用水量为72m</w:t>
                  </w:r>
                  <w:r>
                    <w:rPr>
                      <w:rFonts w:hint="default" w:ascii="Times New Roman" w:hAnsi="Times New Roman" w:eastAsia="宋体" w:cs="Times New Roman"/>
                      <w:color w:val="000000" w:themeColor="text1"/>
                      <w:kern w:val="0"/>
                      <w:sz w:val="21"/>
                      <w:szCs w:val="21"/>
                      <w:highlight w:val="none"/>
                      <w:u w:val="none" w:color="auto"/>
                      <w:vertAlign w:val="superscript"/>
                      <w:lang w:bidi="ar"/>
                      <w14:textFill>
                        <w14:solidFill>
                          <w14:schemeClr w14:val="tx1"/>
                        </w14:solidFill>
                      </w14:textFill>
                    </w:rPr>
                    <w:t>3</w:t>
                  </w:r>
                  <w:r>
                    <w:rPr>
                      <w:rFonts w:hint="default" w:ascii="Times New Roman" w:hAnsi="Times New Roman" w:eastAsia="宋体" w:cs="Times New Roman"/>
                      <w:color w:val="000000" w:themeColor="text1"/>
                      <w:kern w:val="0"/>
                      <w:sz w:val="21"/>
                      <w:szCs w:val="21"/>
                      <w:highlight w:val="none"/>
                      <w:u w:val="none" w:color="auto"/>
                      <w:lang w:bidi="ar"/>
                      <w14:textFill>
                        <w14:solidFill>
                          <w14:schemeClr w14:val="tx1"/>
                        </w14:solidFill>
                      </w14:textFill>
                    </w:rPr>
                    <w:t>。项目设计1座100m</w:t>
                  </w:r>
                  <w:r>
                    <w:rPr>
                      <w:rFonts w:hint="default" w:ascii="Times New Roman" w:hAnsi="Times New Roman" w:eastAsia="宋体" w:cs="Times New Roman"/>
                      <w:color w:val="000000" w:themeColor="text1"/>
                      <w:kern w:val="0"/>
                      <w:sz w:val="21"/>
                      <w:szCs w:val="21"/>
                      <w:highlight w:val="none"/>
                      <w:u w:val="none" w:color="auto"/>
                      <w:vertAlign w:val="superscript"/>
                      <w:lang w:bidi="ar"/>
                      <w14:textFill>
                        <w14:solidFill>
                          <w14:schemeClr w14:val="tx1"/>
                        </w14:solidFill>
                      </w14:textFill>
                    </w:rPr>
                    <w:t>3</w:t>
                  </w:r>
                  <w:r>
                    <w:rPr>
                      <w:rFonts w:hint="default" w:ascii="Times New Roman" w:hAnsi="Times New Roman" w:eastAsia="宋体" w:cs="Times New Roman"/>
                      <w:color w:val="000000" w:themeColor="text1"/>
                      <w:kern w:val="0"/>
                      <w:sz w:val="21"/>
                      <w:szCs w:val="21"/>
                      <w:highlight w:val="none"/>
                      <w:u w:val="none" w:color="auto"/>
                      <w:lang w:bidi="ar"/>
                      <w14:textFill>
                        <w14:solidFill>
                          <w14:schemeClr w14:val="tx1"/>
                        </w14:solidFill>
                      </w14:textFill>
                    </w:rPr>
                    <w:t>消防废水池</w:t>
                  </w:r>
                  <w:r>
                    <w:rPr>
                      <w:rFonts w:hint="default" w:ascii="Times New Roman" w:hAnsi="Times New Roman" w:eastAsia="宋体" w:cs="Times New Roman"/>
                      <w:bCs/>
                      <w:color w:val="000000" w:themeColor="text1"/>
                      <w:sz w:val="21"/>
                      <w:szCs w:val="21"/>
                      <w:highlight w:val="none"/>
                      <w:u w:val="none" w:color="auto"/>
                      <w14:textFill>
                        <w14:solidFill>
                          <w14:schemeClr w14:val="tx1"/>
                        </w14:solidFill>
                      </w14:textFill>
                    </w:rPr>
                    <w:t>，待事故结束后，委托有资质单位对截留的消防废水水质进行检测，若水质满足污水处理厂进水水质要求，将消防废水外运至污水处理厂处理；若水质不能满足污水处理厂进水水质要求，将消防废水外运委托有资质单位处理。</w:t>
                  </w:r>
                </w:p>
              </w:tc>
            </w:tr>
            <w:tr w14:paraId="380B4D2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5000" w:type="pct"/>
                  <w:gridSpan w:val="5"/>
                  <w:noWrap w:val="0"/>
                  <w:vAlign w:val="center"/>
                </w:tcPr>
                <w:p w14:paraId="40096889">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pacing w:val="14"/>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pacing w:val="16"/>
                      <w:sz w:val="21"/>
                      <w:szCs w:val="21"/>
                      <w:highlight w:val="none"/>
                      <w:u w:val="none" w:color="auto"/>
                      <w14:textFill>
                        <w14:solidFill>
                          <w14:schemeClr w14:val="tx1"/>
                        </w14:solidFill>
                      </w14:textFill>
                    </w:rPr>
                    <w:t>填表</w:t>
                  </w:r>
                  <w:r>
                    <w:rPr>
                      <w:rFonts w:hint="default" w:ascii="Times New Roman" w:hAnsi="Times New Roman" w:eastAsia="宋体" w:cs="Times New Roman"/>
                      <w:color w:val="000000" w:themeColor="text1"/>
                      <w:spacing w:val="9"/>
                      <w:sz w:val="21"/>
                      <w:szCs w:val="21"/>
                      <w:highlight w:val="none"/>
                      <w:u w:val="none" w:color="auto"/>
                      <w14:textFill>
                        <w14:solidFill>
                          <w14:schemeClr w14:val="tx1"/>
                        </w14:solidFill>
                      </w14:textFill>
                    </w:rPr>
                    <w:t>说</w:t>
                  </w:r>
                  <w:r>
                    <w:rPr>
                      <w:rFonts w:hint="default" w:ascii="Times New Roman" w:hAnsi="Times New Roman" w:eastAsia="宋体" w:cs="Times New Roman"/>
                      <w:color w:val="000000" w:themeColor="text1"/>
                      <w:spacing w:val="8"/>
                      <w:sz w:val="21"/>
                      <w:szCs w:val="21"/>
                      <w:highlight w:val="none"/>
                      <w:u w:val="none" w:color="auto"/>
                      <w14:textFill>
                        <w14:solidFill>
                          <w14:schemeClr w14:val="tx1"/>
                        </w14:solidFill>
                      </w14:textFill>
                    </w:rPr>
                    <w:t>明 (列出项目相关信息及评价说明) ：项目风险物质储量较小，风险物质毒性小。</w:t>
                  </w: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 xml:space="preserve"> </w:t>
                  </w:r>
                  <w:r>
                    <w:rPr>
                      <w:rFonts w:hint="default" w:ascii="Times New Roman" w:hAnsi="Times New Roman" w:eastAsia="宋体" w:cs="Times New Roman"/>
                      <w:color w:val="000000" w:themeColor="text1"/>
                      <w:spacing w:val="17"/>
                      <w:sz w:val="21"/>
                      <w:szCs w:val="21"/>
                      <w:highlight w:val="none"/>
                      <w:u w:val="none" w:color="auto"/>
                      <w14:textFill>
                        <w14:solidFill>
                          <w14:schemeClr w14:val="tx1"/>
                        </w14:solidFill>
                      </w14:textFill>
                    </w:rPr>
                    <w:t>经</w:t>
                  </w:r>
                  <w:r>
                    <w:rPr>
                      <w:rFonts w:hint="default" w:ascii="Times New Roman" w:hAnsi="Times New Roman" w:eastAsia="宋体" w:cs="Times New Roman"/>
                      <w:color w:val="000000" w:themeColor="text1"/>
                      <w:spacing w:val="9"/>
                      <w:sz w:val="21"/>
                      <w:szCs w:val="21"/>
                      <w:highlight w:val="none"/>
                      <w:u w:val="none" w:color="auto"/>
                      <w14:textFill>
                        <w14:solidFill>
                          <w14:schemeClr w14:val="tx1"/>
                        </w14:solidFill>
                      </w14:textFill>
                    </w:rPr>
                    <w:t>采取风险防范措施后，项目风险可以接受</w:t>
                  </w:r>
                </w:p>
              </w:tc>
            </w:tr>
          </w:tbl>
          <w:p w14:paraId="6DF5BB88">
            <w:pPr>
              <w:keepNext w:val="0"/>
              <w:keepLines w:val="0"/>
              <w:pageBreakBefore w:val="0"/>
              <w:widowControl w:val="0"/>
              <w:suppressLineNumbers w:val="0"/>
              <w:tabs>
                <w:tab w:val="left" w:pos="1081"/>
              </w:tabs>
              <w:kinsoku/>
              <w:wordWrap/>
              <w:overflowPunct/>
              <w:topLinePunct w:val="0"/>
              <w:autoSpaceDE/>
              <w:autoSpaceDN/>
              <w:bidi w:val="0"/>
              <w:adjustRightInd w:val="0"/>
              <w:snapToGrid w:val="0"/>
              <w:spacing w:before="0" w:beforeAutospacing="0" w:after="0" w:afterAutospacing="0" w:line="360" w:lineRule="auto"/>
              <w:ind w:left="0" w:right="0" w:firstLine="482" w:firstLineChars="200"/>
              <w:textAlignment w:val="auto"/>
              <w:rPr>
                <w:rFonts w:hint="default" w:ascii="Times New Roman" w:hAnsi="Times New Roman" w:eastAsia="宋体" w:cs="Times New Roman"/>
                <w:b/>
                <w:bCs/>
                <w:color w:val="000000" w:themeColor="text1"/>
                <w:sz w:val="24"/>
                <w:szCs w:val="24"/>
                <w:highlight w:val="none"/>
                <w:u w:val="none" w:color="auto"/>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u w:val="none" w:color="auto"/>
                <w14:textFill>
                  <w14:solidFill>
                    <w14:schemeClr w14:val="tx1"/>
                  </w14:solidFill>
                </w14:textFill>
              </w:rPr>
              <w:t>8、环境管理和监测计划</w:t>
            </w:r>
          </w:p>
          <w:p w14:paraId="3BC933A6">
            <w:pPr>
              <w:keepNext w:val="0"/>
              <w:keepLines w:val="0"/>
              <w:pageBreakBefore w:val="0"/>
              <w:widowControl w:val="0"/>
              <w:suppressLineNumbers w:val="0"/>
              <w:tabs>
                <w:tab w:val="left" w:pos="1081"/>
              </w:tabs>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bCs/>
                <w:color w:val="000000" w:themeColor="text1"/>
                <w:sz w:val="24"/>
                <w:szCs w:val="24"/>
                <w:highlight w:val="none"/>
                <w:u w:val="none" w:color="auto"/>
                <w14:textFill>
                  <w14:solidFill>
                    <w14:schemeClr w14:val="tx1"/>
                  </w14:solidFill>
                </w14:textFill>
              </w:rPr>
            </w:pPr>
            <w:r>
              <w:rPr>
                <w:rFonts w:hint="default" w:ascii="Times New Roman" w:hAnsi="Times New Roman" w:eastAsia="宋体" w:cs="Times New Roman"/>
                <w:bCs/>
                <w:color w:val="000000" w:themeColor="text1"/>
                <w:sz w:val="24"/>
                <w:szCs w:val="24"/>
                <w:highlight w:val="none"/>
                <w:u w:val="none" w:color="auto"/>
                <w14:textFill>
                  <w14:solidFill>
                    <w14:schemeClr w14:val="tx1"/>
                  </w14:solidFill>
                </w14:textFill>
              </w:rPr>
              <w:t>8.1环境管理</w:t>
            </w:r>
          </w:p>
          <w:p w14:paraId="26E989A5">
            <w:pPr>
              <w:keepNext w:val="0"/>
              <w:keepLines w:val="0"/>
              <w:pageBreakBefore w:val="0"/>
              <w:widowControl w:val="0"/>
              <w:suppressLineNumbers w:val="0"/>
              <w:tabs>
                <w:tab w:val="left" w:pos="1081"/>
              </w:tabs>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bCs/>
                <w:color w:val="000000" w:themeColor="text1"/>
                <w:sz w:val="24"/>
                <w:szCs w:val="24"/>
                <w:highlight w:val="none"/>
                <w:u w:val="none" w:color="auto"/>
                <w14:textFill>
                  <w14:solidFill>
                    <w14:schemeClr w14:val="tx1"/>
                  </w14:solidFill>
                </w14:textFill>
              </w:rPr>
            </w:pPr>
            <w:r>
              <w:rPr>
                <w:rFonts w:hint="default" w:ascii="Times New Roman" w:hAnsi="Times New Roman" w:eastAsia="宋体" w:cs="Times New Roman"/>
                <w:bCs/>
                <w:color w:val="000000" w:themeColor="text1"/>
                <w:sz w:val="24"/>
                <w:szCs w:val="24"/>
                <w:highlight w:val="none"/>
                <w:u w:val="none" w:color="auto"/>
                <w14:textFill>
                  <w14:solidFill>
                    <w14:schemeClr w14:val="tx1"/>
                  </w14:solidFill>
                </w14:textFill>
              </w:rPr>
              <w:t>环境管理是协调发展经济与保护环境之间关系的重要手段，也是实现经济战略发展的重要环节之一，对环境保护工作起主导作用。企业环境管理是“全过程污染控制”的重要措施，它不仅是我国有关法规的规定，也是清洁生产的要求。本次工程环境管理主要内容如下：</w:t>
            </w:r>
          </w:p>
          <w:p w14:paraId="4ED7D0A0">
            <w:pPr>
              <w:keepNext w:val="0"/>
              <w:keepLines w:val="0"/>
              <w:pageBreakBefore w:val="0"/>
              <w:widowControl w:val="0"/>
              <w:suppressLineNumbers w:val="0"/>
              <w:tabs>
                <w:tab w:val="left" w:pos="1081"/>
              </w:tabs>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bCs/>
                <w:color w:val="000000" w:themeColor="text1"/>
                <w:sz w:val="24"/>
                <w:szCs w:val="24"/>
                <w:highlight w:val="none"/>
                <w:u w:val="none" w:color="auto"/>
                <w14:textFill>
                  <w14:solidFill>
                    <w14:schemeClr w14:val="tx1"/>
                  </w14:solidFill>
                </w14:textFill>
              </w:rPr>
            </w:pPr>
            <w:r>
              <w:rPr>
                <w:rFonts w:hint="default" w:ascii="Times New Roman" w:hAnsi="Times New Roman" w:eastAsia="宋体" w:cs="Times New Roman"/>
                <w:bCs/>
                <w:color w:val="000000" w:themeColor="text1"/>
                <w:sz w:val="24"/>
                <w:szCs w:val="24"/>
                <w:highlight w:val="none"/>
                <w:u w:val="none" w:color="auto"/>
                <w14:textFill>
                  <w14:solidFill>
                    <w14:schemeClr w14:val="tx1"/>
                  </w14:solidFill>
                </w14:textFill>
              </w:rPr>
              <w:t>（1）企业应根据《建设项目环境保护设计规定》，建立健全企业内部环境保护管理机构，完善环境保护管理制度，落实污染防治主体责任；</w:t>
            </w:r>
          </w:p>
          <w:p w14:paraId="6D74FFC7">
            <w:pPr>
              <w:keepNext w:val="0"/>
              <w:keepLines w:val="0"/>
              <w:pageBreakBefore w:val="0"/>
              <w:widowControl w:val="0"/>
              <w:suppressLineNumbers w:val="0"/>
              <w:tabs>
                <w:tab w:val="left" w:pos="1081"/>
              </w:tabs>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bCs/>
                <w:color w:val="000000" w:themeColor="text1"/>
                <w:sz w:val="24"/>
                <w:szCs w:val="24"/>
                <w:highlight w:val="none"/>
                <w:u w:val="none" w:color="auto"/>
                <w14:textFill>
                  <w14:solidFill>
                    <w14:schemeClr w14:val="tx1"/>
                  </w14:solidFill>
                </w14:textFill>
              </w:rPr>
            </w:pPr>
            <w:r>
              <w:rPr>
                <w:rFonts w:hint="default" w:ascii="Times New Roman" w:hAnsi="Times New Roman" w:eastAsia="宋体" w:cs="Times New Roman"/>
                <w:bCs/>
                <w:color w:val="000000" w:themeColor="text1"/>
                <w:sz w:val="24"/>
                <w:szCs w:val="24"/>
                <w:highlight w:val="none"/>
                <w:u w:val="none" w:color="auto"/>
                <w14:textFill>
                  <w14:solidFill>
                    <w14:schemeClr w14:val="tx1"/>
                  </w14:solidFill>
                </w14:textFill>
              </w:rPr>
              <w:t>（2）落实本次工程施工期及营运期污染防治措施，确保污染防治资金到位；</w:t>
            </w:r>
          </w:p>
          <w:p w14:paraId="04F42B65">
            <w:pPr>
              <w:keepNext w:val="0"/>
              <w:keepLines w:val="0"/>
              <w:pageBreakBefore w:val="0"/>
              <w:widowControl w:val="0"/>
              <w:suppressLineNumbers w:val="0"/>
              <w:tabs>
                <w:tab w:val="left" w:pos="1081"/>
              </w:tabs>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bCs/>
                <w:color w:val="000000" w:themeColor="text1"/>
                <w:sz w:val="24"/>
                <w:szCs w:val="24"/>
                <w:highlight w:val="none"/>
                <w:u w:val="none" w:color="auto"/>
                <w14:textFill>
                  <w14:solidFill>
                    <w14:schemeClr w14:val="tx1"/>
                  </w14:solidFill>
                </w14:textFill>
              </w:rPr>
            </w:pPr>
            <w:r>
              <w:rPr>
                <w:rFonts w:hint="default" w:ascii="Times New Roman" w:hAnsi="Times New Roman" w:eastAsia="宋体" w:cs="Times New Roman"/>
                <w:bCs/>
                <w:color w:val="000000" w:themeColor="text1"/>
                <w:sz w:val="24"/>
                <w:szCs w:val="24"/>
                <w:highlight w:val="none"/>
                <w:u w:val="none" w:color="auto"/>
                <w14:textFill>
                  <w14:solidFill>
                    <w14:schemeClr w14:val="tx1"/>
                  </w14:solidFill>
                </w14:textFill>
              </w:rPr>
              <w:t>（3）贯彻执行国家和地方各项环保方针、政策和法规，制定全厂环境保护制度，组织开展职工环保教育，提高职工的环保意识；完成政府部门下达的有关环保任务，配合当地生态环境部门的环境管理工作；</w:t>
            </w:r>
          </w:p>
          <w:p w14:paraId="1525414F">
            <w:pPr>
              <w:keepNext w:val="0"/>
              <w:keepLines w:val="0"/>
              <w:pageBreakBefore w:val="0"/>
              <w:widowControl w:val="0"/>
              <w:suppressLineNumbers w:val="0"/>
              <w:tabs>
                <w:tab w:val="left" w:pos="1081"/>
              </w:tabs>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bCs/>
                <w:color w:val="000000" w:themeColor="text1"/>
                <w:sz w:val="24"/>
                <w:szCs w:val="24"/>
                <w:highlight w:val="none"/>
                <w:u w:val="none" w:color="auto"/>
                <w14:textFill>
                  <w14:solidFill>
                    <w14:schemeClr w14:val="tx1"/>
                  </w14:solidFill>
                </w14:textFill>
              </w:rPr>
            </w:pPr>
            <w:r>
              <w:rPr>
                <w:rFonts w:hint="default" w:ascii="Times New Roman" w:hAnsi="Times New Roman" w:eastAsia="宋体" w:cs="Times New Roman"/>
                <w:bCs/>
                <w:color w:val="000000" w:themeColor="text1"/>
                <w:sz w:val="24"/>
                <w:szCs w:val="24"/>
                <w:highlight w:val="none"/>
                <w:u w:val="none" w:color="auto"/>
                <w14:textFill>
                  <w14:solidFill>
                    <w14:schemeClr w14:val="tx1"/>
                  </w14:solidFill>
                </w14:textFill>
              </w:rPr>
              <w:t>（4）不断完善企业环境保护管理制度，做好有关环保工作的资料收集、整理、记录、建档、宣传等工作；进行全厂的环保及环境监测数据的统计、分析，并建立相应的环保资料档案。</w:t>
            </w:r>
          </w:p>
          <w:p w14:paraId="55751606">
            <w:pPr>
              <w:keepNext w:val="0"/>
              <w:keepLines w:val="0"/>
              <w:pageBreakBefore w:val="0"/>
              <w:widowControl w:val="0"/>
              <w:suppressLineNumbers w:val="0"/>
              <w:tabs>
                <w:tab w:val="left" w:pos="1081"/>
              </w:tabs>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bCs/>
                <w:color w:val="000000" w:themeColor="text1"/>
                <w:sz w:val="24"/>
                <w:szCs w:val="24"/>
                <w:highlight w:val="none"/>
                <w:u w:val="none" w:color="auto"/>
                <w14:textFill>
                  <w14:solidFill>
                    <w14:schemeClr w14:val="tx1"/>
                  </w14:solidFill>
                </w14:textFill>
              </w:rPr>
            </w:pPr>
            <w:r>
              <w:rPr>
                <w:rFonts w:hint="default" w:ascii="Times New Roman" w:hAnsi="Times New Roman" w:eastAsia="宋体" w:cs="Times New Roman"/>
                <w:bCs/>
                <w:color w:val="000000" w:themeColor="text1"/>
                <w:sz w:val="24"/>
                <w:szCs w:val="24"/>
                <w:highlight w:val="none"/>
                <w:u w:val="none" w:color="auto"/>
                <w14:textFill>
                  <w14:solidFill>
                    <w14:schemeClr w14:val="tx1"/>
                  </w14:solidFill>
                </w14:textFill>
              </w:rPr>
              <w:t>（5）制定并加强污染治理设施操作规范和操作规程学习，建立污染源监测制度，按规定定期对污染源进行监测，保证处理效果达到设计要求，污染物稳定达标排放。</w:t>
            </w:r>
          </w:p>
          <w:p w14:paraId="47AD611D">
            <w:pPr>
              <w:keepNext w:val="0"/>
              <w:keepLines w:val="0"/>
              <w:pageBreakBefore w:val="0"/>
              <w:widowControl w:val="0"/>
              <w:suppressLineNumbers w:val="0"/>
              <w:tabs>
                <w:tab w:val="left" w:pos="1081"/>
              </w:tabs>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bCs/>
                <w:color w:val="000000" w:themeColor="text1"/>
                <w:sz w:val="24"/>
                <w:szCs w:val="24"/>
                <w:highlight w:val="none"/>
                <w:u w:val="none" w:color="auto"/>
                <w14:textFill>
                  <w14:solidFill>
                    <w14:schemeClr w14:val="tx1"/>
                  </w14:solidFill>
                </w14:textFill>
              </w:rPr>
            </w:pPr>
            <w:r>
              <w:rPr>
                <w:rFonts w:hint="default" w:ascii="Times New Roman" w:hAnsi="Times New Roman" w:eastAsia="宋体" w:cs="Times New Roman"/>
                <w:bCs/>
                <w:color w:val="000000" w:themeColor="text1"/>
                <w:sz w:val="24"/>
                <w:szCs w:val="24"/>
                <w:highlight w:val="none"/>
                <w:u w:val="none" w:color="auto"/>
                <w14:textFill>
                  <w14:solidFill>
                    <w14:schemeClr w14:val="tx1"/>
                  </w14:solidFill>
                </w14:textFill>
              </w:rPr>
              <w:t>（6）负责检查各污染治理设施运行情况，发现问题及时处理；并负责调查出现环境问题的缘由，协助有关部门解决问题，处理环境问题带来的纠纷等。</w:t>
            </w:r>
          </w:p>
          <w:p w14:paraId="6FDAF2E2">
            <w:pPr>
              <w:keepNext w:val="0"/>
              <w:keepLines w:val="0"/>
              <w:pageBreakBefore w:val="0"/>
              <w:widowControl w:val="0"/>
              <w:suppressLineNumbers w:val="0"/>
              <w:tabs>
                <w:tab w:val="left" w:pos="1081"/>
              </w:tabs>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bCs/>
                <w:color w:val="000000" w:themeColor="text1"/>
                <w:sz w:val="24"/>
                <w:szCs w:val="24"/>
                <w:highlight w:val="none"/>
                <w:u w:val="none" w:color="auto"/>
                <w14:textFill>
                  <w14:solidFill>
                    <w14:schemeClr w14:val="tx1"/>
                  </w14:solidFill>
                </w14:textFill>
              </w:rPr>
            </w:pPr>
            <w:r>
              <w:rPr>
                <w:rFonts w:hint="default" w:ascii="Times New Roman" w:hAnsi="Times New Roman" w:eastAsia="宋体" w:cs="Times New Roman"/>
                <w:bCs/>
                <w:color w:val="000000" w:themeColor="text1"/>
                <w:sz w:val="24"/>
                <w:szCs w:val="24"/>
                <w:highlight w:val="none"/>
                <w:u w:val="none" w:color="auto"/>
                <w14:textFill>
                  <w14:solidFill>
                    <w14:schemeClr w14:val="tx1"/>
                  </w14:solidFill>
                </w14:textFill>
              </w:rPr>
              <w:t>（7）按照《建设项目竣工环境保护验收暂行办法》（国环规环评[2017]4号）的规定，完成本次工程竣工环保自主验收工作。按照《固定污染源排污许可登记工作指南（试行）》（环办环评函[2020]9号）和《排污许可申请与核发技术规范 总则》（HJ942-2018）的规定，自觉执行排污许可制度。按照《企业事业单位环境信息公开办法》（环境保护部部令第31号）的规定，定期公开企业环境信息。</w:t>
            </w:r>
          </w:p>
          <w:p w14:paraId="71CD7819">
            <w:pPr>
              <w:keepNext w:val="0"/>
              <w:keepLines w:val="0"/>
              <w:pageBreakBefore w:val="0"/>
              <w:widowControl w:val="0"/>
              <w:suppressLineNumbers w:val="0"/>
              <w:tabs>
                <w:tab w:val="left" w:pos="1081"/>
              </w:tabs>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bCs/>
                <w:color w:val="000000" w:themeColor="text1"/>
                <w:sz w:val="24"/>
                <w:szCs w:val="24"/>
                <w:highlight w:val="none"/>
                <w:u w:val="none" w:color="auto"/>
                <w14:textFill>
                  <w14:solidFill>
                    <w14:schemeClr w14:val="tx1"/>
                  </w14:solidFill>
                </w14:textFill>
              </w:rPr>
            </w:pPr>
            <w:r>
              <w:rPr>
                <w:rFonts w:hint="default" w:ascii="Times New Roman" w:hAnsi="Times New Roman" w:eastAsia="宋体" w:cs="Times New Roman"/>
                <w:bCs/>
                <w:color w:val="000000" w:themeColor="text1"/>
                <w:sz w:val="24"/>
                <w:szCs w:val="24"/>
                <w:highlight w:val="none"/>
                <w:u w:val="none" w:color="auto"/>
                <w14:textFill>
                  <w14:solidFill>
                    <w14:schemeClr w14:val="tx1"/>
                  </w14:solidFill>
                </w14:textFill>
              </w:rPr>
              <w:t>8.2环境监测计划</w:t>
            </w:r>
          </w:p>
          <w:p w14:paraId="54723A75">
            <w:pPr>
              <w:keepNext w:val="0"/>
              <w:keepLines w:val="0"/>
              <w:pageBreakBefore w:val="0"/>
              <w:widowControl w:val="0"/>
              <w:suppressLineNumbers w:val="0"/>
              <w:tabs>
                <w:tab w:val="left" w:pos="1081"/>
              </w:tabs>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bCs/>
                <w:color w:val="000000" w:themeColor="text1"/>
                <w:sz w:val="24"/>
                <w:szCs w:val="24"/>
                <w:highlight w:val="none"/>
                <w:u w:val="none" w:color="auto"/>
                <w14:textFill>
                  <w14:solidFill>
                    <w14:schemeClr w14:val="tx1"/>
                  </w14:solidFill>
                </w14:textFill>
              </w:rPr>
            </w:pPr>
            <w:r>
              <w:rPr>
                <w:rFonts w:hint="default" w:ascii="Times New Roman" w:hAnsi="Times New Roman" w:eastAsia="宋体" w:cs="Times New Roman"/>
                <w:bCs/>
                <w:color w:val="000000" w:themeColor="text1"/>
                <w:sz w:val="24"/>
                <w:szCs w:val="24"/>
                <w:highlight w:val="none"/>
                <w:u w:val="none" w:color="auto"/>
                <w14:textFill>
                  <w14:solidFill>
                    <w14:schemeClr w14:val="tx1"/>
                  </w14:solidFill>
                </w14:textFill>
              </w:rPr>
              <w:t>环境监测是环境管理的基础，并为企业制定污染防治对策和规划提供依据。根据本次工程污染物排放的实际情况和就近方便的原则，建议本项目环境监测工作委托有资质的环境监测机构完成。主要任务如下：</w:t>
            </w:r>
          </w:p>
          <w:p w14:paraId="43BC5309">
            <w:pPr>
              <w:keepNext w:val="0"/>
              <w:keepLines w:val="0"/>
              <w:pageBreakBefore w:val="0"/>
              <w:widowControl w:val="0"/>
              <w:suppressLineNumbers w:val="0"/>
              <w:tabs>
                <w:tab w:val="left" w:pos="1081"/>
              </w:tabs>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bCs/>
                <w:color w:val="000000" w:themeColor="text1"/>
                <w:sz w:val="24"/>
                <w:szCs w:val="24"/>
                <w:highlight w:val="none"/>
                <w:u w:val="none" w:color="auto"/>
                <w14:textFill>
                  <w14:solidFill>
                    <w14:schemeClr w14:val="tx1"/>
                  </w14:solidFill>
                </w14:textFill>
              </w:rPr>
            </w:pPr>
            <w:r>
              <w:rPr>
                <w:rFonts w:hint="default" w:ascii="Times New Roman" w:hAnsi="Times New Roman" w:eastAsia="宋体" w:cs="Times New Roman"/>
                <w:bCs/>
                <w:color w:val="000000" w:themeColor="text1"/>
                <w:sz w:val="24"/>
                <w:szCs w:val="24"/>
                <w:highlight w:val="none"/>
                <w:u w:val="none" w:color="auto"/>
                <w14:textFill>
                  <w14:solidFill>
                    <w14:schemeClr w14:val="tx1"/>
                  </w14:solidFill>
                </w14:textFill>
              </w:rPr>
              <w:t>（1）定期监测建设项目排放的污染物是否符合国家所规定的排放标准；</w:t>
            </w:r>
          </w:p>
          <w:p w14:paraId="6707A36E">
            <w:pPr>
              <w:keepNext w:val="0"/>
              <w:keepLines w:val="0"/>
              <w:pageBreakBefore w:val="0"/>
              <w:widowControl w:val="0"/>
              <w:suppressLineNumbers w:val="0"/>
              <w:tabs>
                <w:tab w:val="left" w:pos="1081"/>
              </w:tabs>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bCs/>
                <w:color w:val="000000" w:themeColor="text1"/>
                <w:sz w:val="24"/>
                <w:szCs w:val="24"/>
                <w:highlight w:val="none"/>
                <w:u w:val="none" w:color="auto"/>
                <w14:textFill>
                  <w14:solidFill>
                    <w14:schemeClr w14:val="tx1"/>
                  </w14:solidFill>
                </w14:textFill>
              </w:rPr>
            </w:pPr>
            <w:r>
              <w:rPr>
                <w:rFonts w:hint="default" w:ascii="Times New Roman" w:hAnsi="Times New Roman" w:eastAsia="宋体" w:cs="Times New Roman"/>
                <w:bCs/>
                <w:color w:val="000000" w:themeColor="text1"/>
                <w:sz w:val="24"/>
                <w:szCs w:val="24"/>
                <w:highlight w:val="none"/>
                <w:u w:val="none" w:color="auto"/>
                <w14:textFill>
                  <w14:solidFill>
                    <w14:schemeClr w14:val="tx1"/>
                  </w14:solidFill>
                </w14:textFill>
              </w:rPr>
              <w:t>（2）分析污染物排放变化规律，为制定污染控制措施提供依据；</w:t>
            </w:r>
          </w:p>
          <w:p w14:paraId="6AE2D4AD">
            <w:pPr>
              <w:keepNext w:val="0"/>
              <w:keepLines w:val="0"/>
              <w:pageBreakBefore w:val="0"/>
              <w:widowControl w:val="0"/>
              <w:suppressLineNumbers w:val="0"/>
              <w:tabs>
                <w:tab w:val="left" w:pos="1081"/>
              </w:tabs>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bCs/>
                <w:color w:val="000000" w:themeColor="text1"/>
                <w:sz w:val="24"/>
                <w:szCs w:val="24"/>
                <w:highlight w:val="none"/>
                <w:u w:val="none" w:color="auto"/>
                <w14:textFill>
                  <w14:solidFill>
                    <w14:schemeClr w14:val="tx1"/>
                  </w14:solidFill>
                </w14:textFill>
              </w:rPr>
            </w:pPr>
            <w:r>
              <w:rPr>
                <w:rFonts w:hint="default" w:ascii="Times New Roman" w:hAnsi="Times New Roman" w:eastAsia="宋体" w:cs="Times New Roman"/>
                <w:bCs/>
                <w:color w:val="000000" w:themeColor="text1"/>
                <w:sz w:val="24"/>
                <w:szCs w:val="24"/>
                <w:highlight w:val="none"/>
                <w:u w:val="none" w:color="auto"/>
                <w14:textFill>
                  <w14:solidFill>
                    <w14:schemeClr w14:val="tx1"/>
                  </w14:solidFill>
                </w14:textFill>
              </w:rPr>
              <w:t>（3）负责污染事故的监测及报告；</w:t>
            </w:r>
          </w:p>
          <w:p w14:paraId="68EFDB83">
            <w:pPr>
              <w:keepNext w:val="0"/>
              <w:keepLines w:val="0"/>
              <w:pageBreakBefore w:val="0"/>
              <w:widowControl w:val="0"/>
              <w:suppressLineNumbers w:val="0"/>
              <w:tabs>
                <w:tab w:val="left" w:pos="1081"/>
              </w:tabs>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bCs/>
                <w:color w:val="000000" w:themeColor="text1"/>
                <w:sz w:val="24"/>
                <w:szCs w:val="24"/>
                <w:highlight w:val="none"/>
                <w:u w:val="none" w:color="auto"/>
                <w14:textFill>
                  <w14:solidFill>
                    <w14:schemeClr w14:val="tx1"/>
                  </w14:solidFill>
                </w14:textFill>
              </w:rPr>
            </w:pPr>
            <w:r>
              <w:rPr>
                <w:rFonts w:hint="default" w:ascii="Times New Roman" w:hAnsi="Times New Roman" w:eastAsia="宋体" w:cs="Times New Roman"/>
                <w:bCs/>
                <w:color w:val="000000" w:themeColor="text1"/>
                <w:sz w:val="24"/>
                <w:szCs w:val="24"/>
                <w:highlight w:val="none"/>
                <w:u w:val="none" w:color="auto"/>
                <w14:textFill>
                  <w14:solidFill>
                    <w14:schemeClr w14:val="tx1"/>
                  </w14:solidFill>
                </w14:textFill>
              </w:rPr>
              <w:t>（4）环境监测对象主要为污染源监测。</w:t>
            </w:r>
          </w:p>
          <w:p w14:paraId="32DA426B">
            <w:pPr>
              <w:keepNext w:val="0"/>
              <w:keepLines w:val="0"/>
              <w:pageBreakBefore w:val="0"/>
              <w:widowControl w:val="0"/>
              <w:suppressLineNumbers w:val="0"/>
              <w:tabs>
                <w:tab w:val="left" w:pos="1081"/>
              </w:tabs>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bCs/>
                <w:color w:val="000000" w:themeColor="text1"/>
                <w:sz w:val="24"/>
                <w:szCs w:val="24"/>
                <w:highlight w:val="none"/>
                <w:u w:val="none" w:color="auto"/>
                <w14:textFill>
                  <w14:solidFill>
                    <w14:schemeClr w14:val="tx1"/>
                  </w14:solidFill>
                </w14:textFill>
              </w:rPr>
            </w:pPr>
            <w:r>
              <w:rPr>
                <w:rFonts w:hint="default" w:ascii="Times New Roman" w:hAnsi="Times New Roman" w:eastAsia="宋体" w:cs="Times New Roman"/>
                <w:bCs/>
                <w:color w:val="000000" w:themeColor="text1"/>
                <w:sz w:val="24"/>
                <w:szCs w:val="24"/>
                <w:highlight w:val="none"/>
                <w:u w:val="none" w:color="auto"/>
                <w14:textFill>
                  <w14:solidFill>
                    <w14:schemeClr w14:val="tx1"/>
                  </w14:solidFill>
                </w14:textFill>
              </w:rPr>
              <w:t>根据</w:t>
            </w: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《排污单位自行监测技术指南 总则》</w:t>
            </w:r>
            <w:r>
              <w:rPr>
                <w:rFonts w:hint="default" w:ascii="Times New Roman" w:hAnsi="Times New Roman" w:eastAsia="宋体" w:cs="Times New Roman"/>
                <w:color w:val="000000" w:themeColor="text1"/>
                <w:sz w:val="24"/>
                <w:szCs w:val="24"/>
                <w:highlight w:val="none"/>
                <w:u w:val="none" w:color="auto"/>
                <w:lang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HJ819-2017</w:t>
            </w:r>
            <w:r>
              <w:rPr>
                <w:rFonts w:hint="default" w:ascii="Times New Roman" w:hAnsi="Times New Roman" w:eastAsia="宋体" w:cs="Times New Roman"/>
                <w:color w:val="000000" w:themeColor="text1"/>
                <w:sz w:val="24"/>
                <w:szCs w:val="24"/>
                <w:highlight w:val="none"/>
                <w:u w:val="none" w:color="auto"/>
                <w:lang w:eastAsia="zh-CN"/>
                <w14:textFill>
                  <w14:solidFill>
                    <w14:schemeClr w14:val="tx1"/>
                  </w14:solidFill>
                </w14:textFill>
              </w:rPr>
              <w:t>）</w:t>
            </w:r>
            <w:r>
              <w:rPr>
                <w:rFonts w:hint="default" w:ascii="Times New Roman" w:hAnsi="Times New Roman" w:eastAsia="宋体" w:cs="Times New Roman"/>
                <w:bCs/>
                <w:color w:val="000000" w:themeColor="text1"/>
                <w:sz w:val="24"/>
                <w:szCs w:val="24"/>
                <w:highlight w:val="none"/>
                <w:u w:val="none" w:color="auto"/>
                <w14:textFill>
                  <w14:solidFill>
                    <w14:schemeClr w14:val="tx1"/>
                  </w14:solidFill>
                </w14:textFill>
              </w:rPr>
              <w:t>、</w:t>
            </w:r>
            <w:r>
              <w:rPr>
                <w:rFonts w:hint="default" w:ascii="Times New Roman" w:hAnsi="Times New Roman" w:eastAsia="宋体" w:cs="Times New Roman"/>
                <w:bCs/>
                <w:color w:val="000000" w:themeColor="text1"/>
                <w:sz w:val="24"/>
                <w:szCs w:val="24"/>
                <w:highlight w:val="none"/>
                <w:u w:val="none" w:color="auto"/>
                <w:lang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排污许可证申请与核发技术规范 工业噪声</w:t>
            </w:r>
            <w:r>
              <w:rPr>
                <w:rFonts w:hint="default" w:ascii="Times New Roman" w:hAnsi="Times New Roman" w:eastAsia="宋体" w:cs="Times New Roman"/>
                <w:color w:val="000000" w:themeColor="text1"/>
                <w:sz w:val="24"/>
                <w:szCs w:val="24"/>
                <w:highlight w:val="none"/>
                <w:u w:val="none" w:color="auto"/>
                <w:lang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HJ 1301-2023</w:t>
            </w:r>
            <w:r>
              <w:rPr>
                <w:rFonts w:hint="default" w:ascii="Times New Roman" w:hAnsi="Times New Roman" w:eastAsia="宋体" w:cs="Times New Roman"/>
                <w:color w:val="000000" w:themeColor="text1"/>
                <w:sz w:val="24"/>
                <w:szCs w:val="24"/>
                <w:highlight w:val="none"/>
                <w:u w:val="none" w:color="auto"/>
                <w:lang w:eastAsia="zh-CN"/>
                <w14:textFill>
                  <w14:solidFill>
                    <w14:schemeClr w14:val="tx1"/>
                  </w14:solidFill>
                </w14:textFill>
              </w:rPr>
              <w:t>）</w:t>
            </w:r>
            <w:r>
              <w:rPr>
                <w:rFonts w:hint="default" w:ascii="Times New Roman" w:hAnsi="Times New Roman" w:eastAsia="宋体" w:cs="Times New Roman"/>
                <w:bCs/>
                <w:color w:val="000000" w:themeColor="text1"/>
                <w:sz w:val="24"/>
                <w:szCs w:val="24"/>
                <w:highlight w:val="none"/>
                <w:u w:val="none" w:color="auto"/>
                <w14:textFill>
                  <w14:solidFill>
                    <w14:schemeClr w14:val="tx1"/>
                  </w14:solidFill>
                </w14:textFill>
              </w:rPr>
              <w:t>中相关要求，本项目营运期环境监测计划见下表。</w:t>
            </w:r>
          </w:p>
          <w:p w14:paraId="1A2BD739">
            <w:pPr>
              <w:keepNext w:val="0"/>
              <w:keepLines w:val="0"/>
              <w:suppressLineNumbers w:val="0"/>
              <w:adjustRightInd w:val="0"/>
              <w:snapToGrid w:val="0"/>
              <w:spacing w:before="0" w:beforeAutospacing="0" w:after="0" w:afterAutospacing="0" w:line="360" w:lineRule="auto"/>
              <w:ind w:left="720" w:right="0" w:hanging="720"/>
              <w:jc w:val="center"/>
              <w:textAlignment w:val="baseline"/>
              <w:rPr>
                <w:rFonts w:hint="default" w:ascii="Times New Roman" w:hAnsi="Times New Roman" w:eastAsia="宋体" w:cs="Times New Roman"/>
                <w:b/>
                <w:color w:val="000000" w:themeColor="text1"/>
                <w:kern w:val="2"/>
                <w:sz w:val="24"/>
                <w:szCs w:val="24"/>
                <w:highlight w:val="none"/>
                <w:u w:val="none" w:color="auto"/>
                <w:lang w:val="en-GB" w:eastAsia="zh-TW" w:bidi="ar-SA"/>
                <w14:textFill>
                  <w14:solidFill>
                    <w14:schemeClr w14:val="tx1"/>
                  </w14:solidFill>
                </w14:textFill>
              </w:rPr>
            </w:pPr>
            <w:r>
              <w:rPr>
                <w:rFonts w:hint="default" w:ascii="Times New Roman" w:hAnsi="Times New Roman" w:eastAsia="宋体" w:cs="Times New Roman"/>
                <w:b/>
                <w:color w:val="000000" w:themeColor="text1"/>
                <w:kern w:val="2"/>
                <w:sz w:val="24"/>
                <w:szCs w:val="24"/>
                <w:highlight w:val="none"/>
                <w:u w:val="none" w:color="auto"/>
                <w:lang w:val="en-US" w:eastAsia="zh-CN" w:bidi="ar-SA"/>
                <w14:textFill>
                  <w14:solidFill>
                    <w14:schemeClr w14:val="tx1"/>
                  </w14:solidFill>
                </w14:textFill>
              </w:rPr>
              <w:t>表4-</w:t>
            </w:r>
            <w:r>
              <w:rPr>
                <w:rFonts w:hint="eastAsia" w:cs="Times New Roman"/>
                <w:b/>
                <w:color w:val="000000" w:themeColor="text1"/>
                <w:kern w:val="2"/>
                <w:sz w:val="24"/>
                <w:szCs w:val="24"/>
                <w:highlight w:val="none"/>
                <w:u w:val="none" w:color="auto"/>
                <w:lang w:val="en-US" w:eastAsia="zh-CN" w:bidi="ar-SA"/>
                <w14:textFill>
                  <w14:solidFill>
                    <w14:schemeClr w14:val="tx1"/>
                  </w14:solidFill>
                </w14:textFill>
              </w:rPr>
              <w:t>30</w:t>
            </w:r>
            <w:r>
              <w:rPr>
                <w:rFonts w:hint="eastAsia" w:ascii="Times New Roman" w:hAnsi="Times New Roman" w:eastAsia="宋体" w:cs="Times New Roman"/>
                <w:b/>
                <w:color w:val="000000" w:themeColor="text1"/>
                <w:kern w:val="2"/>
                <w:sz w:val="24"/>
                <w:szCs w:val="24"/>
                <w:highlight w:val="none"/>
                <w:u w:val="none" w:color="auto"/>
                <w:lang w:val="en-US" w:eastAsia="zh-CN" w:bidi="ar-SA"/>
                <w14:textFill>
                  <w14:solidFill>
                    <w14:schemeClr w14:val="tx1"/>
                  </w14:solidFill>
                </w14:textFill>
              </w:rPr>
              <w:t xml:space="preserve">  </w:t>
            </w:r>
            <w:r>
              <w:rPr>
                <w:rFonts w:hint="default" w:ascii="Times New Roman" w:hAnsi="Times New Roman" w:eastAsia="宋体" w:cs="Times New Roman"/>
                <w:b/>
                <w:color w:val="000000" w:themeColor="text1"/>
                <w:kern w:val="2"/>
                <w:sz w:val="24"/>
                <w:szCs w:val="24"/>
                <w:highlight w:val="none"/>
                <w:u w:val="none" w:color="auto"/>
                <w:lang w:val="en-US" w:eastAsia="zh-CN" w:bidi="ar-SA"/>
                <w14:textFill>
                  <w14:solidFill>
                    <w14:schemeClr w14:val="tx1"/>
                  </w14:solidFill>
                </w14:textFill>
              </w:rPr>
              <w:t xml:space="preserve">  </w:t>
            </w:r>
            <w:r>
              <w:rPr>
                <w:rFonts w:hint="default" w:ascii="Times New Roman" w:hAnsi="Times New Roman" w:eastAsia="宋体" w:cs="Times New Roman"/>
                <w:b/>
                <w:color w:val="000000" w:themeColor="text1"/>
                <w:kern w:val="2"/>
                <w:sz w:val="24"/>
                <w:szCs w:val="24"/>
                <w:highlight w:val="none"/>
                <w:u w:val="none" w:color="auto"/>
                <w:lang w:val="en-GB" w:eastAsia="zh-TW" w:bidi="ar-SA"/>
                <w14:textFill>
                  <w14:solidFill>
                    <w14:schemeClr w14:val="tx1"/>
                  </w14:solidFill>
                </w14:textFill>
              </w:rPr>
              <w:t>污染源监测计划表</w:t>
            </w:r>
          </w:p>
          <w:tbl>
            <w:tblPr>
              <w:tblStyle w:val="29"/>
              <w:tblW w:w="4991"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729"/>
              <w:gridCol w:w="668"/>
              <w:gridCol w:w="1095"/>
              <w:gridCol w:w="1399"/>
              <w:gridCol w:w="1031"/>
              <w:gridCol w:w="4509"/>
            </w:tblGrid>
            <w:tr w14:paraId="27B5E6E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741" w:type="pct"/>
                  <w:gridSpan w:val="2"/>
                  <w:tcBorders>
                    <w:right w:val="single" w:color="auto" w:sz="4" w:space="0"/>
                  </w:tcBorders>
                  <w:noWrap w:val="0"/>
                  <w:vAlign w:val="center"/>
                </w:tcPr>
                <w:p w14:paraId="2F0649F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项目</w:t>
                  </w:r>
                </w:p>
              </w:tc>
              <w:tc>
                <w:tcPr>
                  <w:tcW w:w="580" w:type="pct"/>
                  <w:tcBorders>
                    <w:left w:val="single" w:color="auto" w:sz="4" w:space="0"/>
                    <w:bottom w:val="single" w:color="auto" w:sz="4" w:space="0"/>
                  </w:tcBorders>
                  <w:noWrap w:val="0"/>
                  <w:vAlign w:val="center"/>
                </w:tcPr>
                <w:p w14:paraId="17F81BB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监测点位</w:t>
                  </w:r>
                </w:p>
              </w:tc>
              <w:tc>
                <w:tcPr>
                  <w:tcW w:w="741" w:type="pct"/>
                  <w:noWrap w:val="0"/>
                  <w:vAlign w:val="center"/>
                </w:tcPr>
                <w:p w14:paraId="649C8C2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监测因子</w:t>
                  </w:r>
                </w:p>
              </w:tc>
              <w:tc>
                <w:tcPr>
                  <w:tcW w:w="546" w:type="pct"/>
                  <w:noWrap w:val="0"/>
                  <w:vAlign w:val="center"/>
                </w:tcPr>
                <w:p w14:paraId="52854AA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监测频次</w:t>
                  </w:r>
                </w:p>
              </w:tc>
              <w:tc>
                <w:tcPr>
                  <w:tcW w:w="2389" w:type="pct"/>
                  <w:noWrap w:val="0"/>
                  <w:vAlign w:val="center"/>
                </w:tcPr>
                <w:p w14:paraId="4D81411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执行标准</w:t>
                  </w:r>
                </w:p>
              </w:tc>
            </w:tr>
            <w:tr w14:paraId="43D0737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387" w:type="pct"/>
                  <w:vMerge w:val="restart"/>
                  <w:tcBorders>
                    <w:right w:val="single" w:color="auto" w:sz="4" w:space="0"/>
                  </w:tcBorders>
                  <w:noWrap w:val="0"/>
                  <w:vAlign w:val="center"/>
                </w:tcPr>
                <w:p w14:paraId="1D6F448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废气</w:t>
                  </w:r>
                </w:p>
              </w:tc>
              <w:tc>
                <w:tcPr>
                  <w:tcW w:w="354" w:type="pct"/>
                  <w:vMerge w:val="restart"/>
                  <w:tcBorders>
                    <w:left w:val="single" w:color="auto" w:sz="4" w:space="0"/>
                    <w:right w:val="single" w:color="auto" w:sz="4" w:space="0"/>
                  </w:tcBorders>
                  <w:noWrap w:val="0"/>
                  <w:vAlign w:val="center"/>
                </w:tcPr>
                <w:p w14:paraId="2DC6EEE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有组织</w:t>
                  </w:r>
                </w:p>
              </w:tc>
              <w:tc>
                <w:tcPr>
                  <w:tcW w:w="580" w:type="pct"/>
                  <w:vMerge w:val="restart"/>
                  <w:tcBorders>
                    <w:top w:val="single" w:color="auto" w:sz="4" w:space="0"/>
                    <w:left w:val="single" w:color="auto" w:sz="4" w:space="0"/>
                  </w:tcBorders>
                  <w:noWrap w:val="0"/>
                  <w:vAlign w:val="center"/>
                </w:tcPr>
                <w:p w14:paraId="5926F4B3">
                  <w:pPr>
                    <w:keepNext w:val="0"/>
                    <w:keepLines w:val="0"/>
                    <w:pageBreakBefore w:val="0"/>
                    <w:widowControl/>
                    <w:suppressLineNumbers w:val="0"/>
                    <w:kinsoku/>
                    <w:wordWrap/>
                    <w:overflowPunct/>
                    <w:topLinePunct w:val="0"/>
                    <w:autoSpaceDE/>
                    <w:autoSpaceDN/>
                    <w:bidi w:val="0"/>
                    <w:spacing w:before="0" w:beforeAutospacing="0" w:after="0" w:afterAutospacing="0"/>
                    <w:ind w:left="0" w:right="0"/>
                    <w:jc w:val="center"/>
                    <w:textAlignment w:val="center"/>
                    <w:outlineLvl w:val="9"/>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color="auto"/>
                      <w:lang w:val="en-US" w:eastAsia="zh-CN" w:bidi="ar"/>
                      <w14:textFill>
                        <w14:solidFill>
                          <w14:schemeClr w14:val="tx1"/>
                        </w14:solidFill>
                      </w14:textFill>
                    </w:rPr>
                    <w:t>DA001</w:t>
                  </w:r>
                </w:p>
              </w:tc>
              <w:tc>
                <w:tcPr>
                  <w:tcW w:w="741" w:type="pct"/>
                  <w:vMerge w:val="restart"/>
                  <w:noWrap w:val="0"/>
                  <w:vAlign w:val="center"/>
                </w:tcPr>
                <w:p w14:paraId="2CC4A868">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颗粒物</w:t>
                  </w:r>
                </w:p>
              </w:tc>
              <w:tc>
                <w:tcPr>
                  <w:tcW w:w="546" w:type="pct"/>
                  <w:vMerge w:val="restart"/>
                  <w:noWrap w:val="0"/>
                  <w:vAlign w:val="center"/>
                </w:tcPr>
                <w:p w14:paraId="0C1139B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b/>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u w:val="none" w:color="auto"/>
                      <w14:textFill>
                        <w14:solidFill>
                          <w14:schemeClr w14:val="tx1"/>
                        </w14:solidFill>
                      </w14:textFill>
                    </w:rPr>
                    <w:t>1次/年</w:t>
                  </w:r>
                </w:p>
              </w:tc>
              <w:tc>
                <w:tcPr>
                  <w:tcW w:w="2389" w:type="pct"/>
                  <w:shd w:val="clear" w:color="auto" w:fill="auto"/>
                  <w:noWrap w:val="0"/>
                  <w:vAlign w:val="center"/>
                </w:tcPr>
                <w:p w14:paraId="5E59575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kern w:val="0"/>
                      <w:sz w:val="21"/>
                      <w:szCs w:val="21"/>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u w:val="none" w:color="auto"/>
                      <w14:textFill>
                        <w14:solidFill>
                          <w14:schemeClr w14:val="tx1"/>
                        </w14:solidFill>
                      </w14:textFill>
                    </w:rPr>
                    <w:t>《大气污染物综合排放标准》（GB16297-1996）表2中二级标准</w:t>
                  </w:r>
                </w:p>
              </w:tc>
            </w:tr>
            <w:tr w14:paraId="011A583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387" w:type="pct"/>
                  <w:vMerge w:val="continue"/>
                  <w:tcBorders>
                    <w:right w:val="single" w:color="auto" w:sz="4" w:space="0"/>
                  </w:tcBorders>
                  <w:noWrap w:val="0"/>
                  <w:vAlign w:val="center"/>
                </w:tcPr>
                <w:p w14:paraId="11A4408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354" w:type="pct"/>
                  <w:vMerge w:val="continue"/>
                  <w:tcBorders>
                    <w:left w:val="single" w:color="auto" w:sz="4" w:space="0"/>
                    <w:right w:val="single" w:color="auto" w:sz="4" w:space="0"/>
                  </w:tcBorders>
                  <w:noWrap w:val="0"/>
                  <w:vAlign w:val="center"/>
                </w:tcPr>
                <w:p w14:paraId="0BFE8C7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580" w:type="pct"/>
                  <w:vMerge w:val="continue"/>
                  <w:tcBorders>
                    <w:left w:val="single" w:color="auto" w:sz="4" w:space="0"/>
                  </w:tcBorders>
                  <w:noWrap w:val="0"/>
                  <w:vAlign w:val="center"/>
                </w:tcPr>
                <w:p w14:paraId="0929094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741" w:type="pct"/>
                  <w:vMerge w:val="continue"/>
                  <w:noWrap w:val="0"/>
                  <w:vAlign w:val="center"/>
                </w:tcPr>
                <w:p w14:paraId="1D98224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546" w:type="pct"/>
                  <w:vMerge w:val="continue"/>
                  <w:tcBorders>
                    <w:bottom w:val="single" w:color="auto" w:sz="4" w:space="0"/>
                  </w:tcBorders>
                  <w:noWrap w:val="0"/>
                  <w:vAlign w:val="center"/>
                </w:tcPr>
                <w:p w14:paraId="03DF382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2389" w:type="pct"/>
                  <w:shd w:val="clear" w:color="auto" w:fill="auto"/>
                  <w:noWrap w:val="0"/>
                  <w:vAlign w:val="center"/>
                </w:tcPr>
                <w:p w14:paraId="199130A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kern w:val="0"/>
                      <w:sz w:val="21"/>
                      <w:szCs w:val="21"/>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《河南省重污染天气重点行业应急减排措施制定技术指南》（202</w:t>
                  </w:r>
                  <w:r>
                    <w:rPr>
                      <w:rFonts w:hint="default" w:ascii="Times New Roman" w:hAnsi="Times New Roman" w:cs="Times New Roman"/>
                      <w:color w:val="000000" w:themeColor="text1"/>
                      <w:sz w:val="21"/>
                      <w:szCs w:val="21"/>
                      <w:highlight w:val="none"/>
                      <w:u w:val="none" w:color="auto"/>
                      <w:lang w:val="en-US" w:eastAsia="zh-CN"/>
                      <w14:textFill>
                        <w14:solidFill>
                          <w14:schemeClr w14:val="tx1"/>
                        </w14:solidFill>
                      </w14:textFill>
                    </w:rPr>
                    <w:t>4</w:t>
                  </w: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年修订版）</w:t>
                  </w:r>
                  <w:r>
                    <w:rPr>
                      <w:rFonts w:hint="default" w:ascii="Times New Roman" w:hAnsi="Times New Roman" w:cs="Times New Roman"/>
                      <w:b w:val="0"/>
                      <w:bCs w:val="0"/>
                      <w:color w:val="000000" w:themeColor="text1"/>
                      <w:sz w:val="21"/>
                      <w:szCs w:val="21"/>
                      <w:u w:val="none" w:color="auto"/>
                      <w:lang w:val="en-US" w:eastAsia="zh-CN"/>
                      <w14:textFill>
                        <w14:solidFill>
                          <w14:schemeClr w14:val="tx1"/>
                        </w14:solidFill>
                      </w14:textFill>
                    </w:rPr>
                    <w:t>通用</w:t>
                  </w:r>
                  <w:r>
                    <w:rPr>
                      <w:rFonts w:hint="default" w:ascii="Times New Roman" w:hAnsi="Times New Roman" w:cs="Times New Roman"/>
                      <w:b w:val="0"/>
                      <w:bCs w:val="0"/>
                      <w:color w:val="000000" w:themeColor="text1"/>
                      <w:sz w:val="21"/>
                      <w:szCs w:val="21"/>
                      <w:u w:val="none" w:color="auto"/>
                      <w14:textFill>
                        <w14:solidFill>
                          <w14:schemeClr w14:val="tx1"/>
                        </w14:solidFill>
                      </w14:textFill>
                    </w:rPr>
                    <w:t>涉</w:t>
                  </w:r>
                  <w:r>
                    <w:rPr>
                      <w:rFonts w:hint="default" w:ascii="Times New Roman" w:hAnsi="Times New Roman" w:cs="Times New Roman"/>
                      <w:b w:val="0"/>
                      <w:bCs w:val="0"/>
                      <w:color w:val="000000" w:themeColor="text1"/>
                      <w:sz w:val="21"/>
                      <w:szCs w:val="21"/>
                      <w:u w:val="none" w:color="auto"/>
                      <w:lang w:val="en-US" w:eastAsia="zh-CN"/>
                      <w14:textFill>
                        <w14:solidFill>
                          <w14:schemeClr w14:val="tx1"/>
                        </w14:solidFill>
                      </w14:textFill>
                    </w:rPr>
                    <w:t>PM</w:t>
                  </w:r>
                  <w:r>
                    <w:rPr>
                      <w:rFonts w:hint="default" w:ascii="Times New Roman" w:hAnsi="Times New Roman" w:cs="Times New Roman"/>
                      <w:b w:val="0"/>
                      <w:bCs w:val="0"/>
                      <w:color w:val="000000" w:themeColor="text1"/>
                      <w:sz w:val="21"/>
                      <w:szCs w:val="21"/>
                      <w:u w:val="none" w:color="auto"/>
                      <w14:textFill>
                        <w14:solidFill>
                          <w14:schemeClr w14:val="tx1"/>
                        </w14:solidFill>
                      </w14:textFill>
                    </w:rPr>
                    <w:t>企业</w:t>
                  </w: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排放限值</w:t>
                  </w:r>
                </w:p>
              </w:tc>
            </w:tr>
            <w:tr w14:paraId="09AFD4D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387" w:type="pct"/>
                  <w:vMerge w:val="continue"/>
                  <w:tcBorders>
                    <w:right w:val="single" w:color="auto" w:sz="4" w:space="0"/>
                  </w:tcBorders>
                  <w:noWrap w:val="0"/>
                  <w:vAlign w:val="center"/>
                </w:tcPr>
                <w:p w14:paraId="7CFC01E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354" w:type="pct"/>
                  <w:vMerge w:val="continue"/>
                  <w:tcBorders>
                    <w:left w:val="single" w:color="auto" w:sz="4" w:space="0"/>
                    <w:right w:val="single" w:color="auto" w:sz="4" w:space="0"/>
                  </w:tcBorders>
                  <w:noWrap w:val="0"/>
                  <w:vAlign w:val="center"/>
                </w:tcPr>
                <w:p w14:paraId="6BCF1AB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580" w:type="pct"/>
                  <w:vMerge w:val="restart"/>
                  <w:tcBorders>
                    <w:left w:val="single" w:color="auto" w:sz="4" w:space="0"/>
                  </w:tcBorders>
                  <w:noWrap w:val="0"/>
                  <w:vAlign w:val="center"/>
                </w:tcPr>
                <w:p w14:paraId="3AC18CDD">
                  <w:pPr>
                    <w:keepNext w:val="0"/>
                    <w:keepLines w:val="0"/>
                    <w:pageBreakBefore w:val="0"/>
                    <w:widowControl/>
                    <w:suppressLineNumbers w:val="0"/>
                    <w:kinsoku/>
                    <w:wordWrap/>
                    <w:overflowPunct/>
                    <w:topLinePunct w:val="0"/>
                    <w:autoSpaceDE/>
                    <w:autoSpaceDN/>
                    <w:bidi w:val="0"/>
                    <w:spacing w:before="0" w:beforeAutospacing="0" w:after="0" w:afterAutospacing="0"/>
                    <w:ind w:left="0" w:right="0"/>
                    <w:jc w:val="center"/>
                    <w:textAlignment w:val="center"/>
                    <w:outlineLvl w:val="9"/>
                    <w:rPr>
                      <w:rFonts w:hint="default" w:ascii="Times New Roman" w:hAnsi="Times New Roman" w:eastAsia="宋体" w:cs="Times New Roman"/>
                      <w:color w:val="000000" w:themeColor="text1"/>
                      <w:sz w:val="21"/>
                      <w:szCs w:val="21"/>
                      <w:highlight w:val="none"/>
                      <w:u w:val="none" w:color="auto"/>
                      <w:lang w:val="en-US"/>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color="auto"/>
                      <w:lang w:val="en-US" w:eastAsia="zh-CN" w:bidi="ar"/>
                      <w14:textFill>
                        <w14:solidFill>
                          <w14:schemeClr w14:val="tx1"/>
                        </w14:solidFill>
                      </w14:textFill>
                    </w:rPr>
                    <w:t>DA002</w:t>
                  </w:r>
                </w:p>
              </w:tc>
              <w:tc>
                <w:tcPr>
                  <w:tcW w:w="741" w:type="pct"/>
                  <w:vMerge w:val="restart"/>
                  <w:noWrap w:val="0"/>
                  <w:vAlign w:val="center"/>
                </w:tcPr>
                <w:p w14:paraId="34DA2CD1">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cs="Times New Roman"/>
                      <w:color w:val="000000" w:themeColor="text1"/>
                      <w:sz w:val="21"/>
                      <w:szCs w:val="21"/>
                      <w:u w:val="none" w:color="auto"/>
                      <w14:textFill>
                        <w14:solidFill>
                          <w14:schemeClr w14:val="tx1"/>
                        </w14:solidFill>
                      </w14:textFill>
                    </w:rPr>
                    <w:t>颗粒物、二氧化硫、氮氧化物、烟气黑度</w:t>
                  </w:r>
                </w:p>
              </w:tc>
              <w:tc>
                <w:tcPr>
                  <w:tcW w:w="546" w:type="pct"/>
                  <w:vMerge w:val="restart"/>
                  <w:noWrap w:val="0"/>
                  <w:vAlign w:val="center"/>
                </w:tcPr>
                <w:p w14:paraId="31F5AB2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u w:val="none" w:color="auto"/>
                      <w14:textFill>
                        <w14:solidFill>
                          <w14:schemeClr w14:val="tx1"/>
                        </w14:solidFill>
                      </w14:textFill>
                    </w:rPr>
                    <w:t>1次/年</w:t>
                  </w:r>
                </w:p>
              </w:tc>
              <w:tc>
                <w:tcPr>
                  <w:tcW w:w="2389" w:type="pct"/>
                  <w:shd w:val="clear" w:color="auto" w:fill="auto"/>
                  <w:noWrap w:val="0"/>
                  <w:vAlign w:val="center"/>
                </w:tcPr>
                <w:p w14:paraId="73686620">
                  <w:pPr>
                    <w:keepNext w:val="0"/>
                    <w:keepLines w:val="0"/>
                    <w:pageBreakBefore w:val="0"/>
                    <w:widowControl w:val="0"/>
                    <w:suppressLineNumbers w:val="0"/>
                    <w:kinsoku/>
                    <w:wordWrap/>
                    <w:overflowPunct/>
                    <w:topLinePunct w:val="0"/>
                    <w:autoSpaceDE/>
                    <w:autoSpaceDN/>
                    <w:bidi w:val="0"/>
                    <w:spacing w:before="0" w:beforeAutospacing="0" w:after="0" w:afterAutospacing="0"/>
                    <w:ind w:left="0" w:leftChars="0" w:right="0" w:rightChars="0"/>
                    <w:jc w:val="center"/>
                    <w:textAlignment w:val="auto"/>
                    <w:outlineLvl w:val="9"/>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《大气污染物综合排放标准》（GB16297-1996）表2中二级标准</w:t>
                  </w:r>
                  <w:r>
                    <w:rPr>
                      <w:rFonts w:hint="default" w:ascii="Times New Roman" w:hAnsi="Times New Roman" w:cs="Times New Roman"/>
                      <w:color w:val="000000" w:themeColor="text1"/>
                      <w:sz w:val="21"/>
                      <w:szCs w:val="21"/>
                      <w:highlight w:val="none"/>
                      <w:u w:val="none" w:color="auto"/>
                      <w:lang w:val="en-US" w:eastAsia="zh-CN"/>
                      <w14:textFill>
                        <w14:solidFill>
                          <w14:schemeClr w14:val="tx1"/>
                        </w14:solidFill>
                      </w14:textFill>
                    </w:rPr>
                    <w:t>、</w:t>
                  </w:r>
                  <w:r>
                    <w:rPr>
                      <w:rFonts w:hint="default" w:ascii="Times New Roman" w:hAnsi="Times New Roman" w:cs="Times New Roman"/>
                      <w:b w:val="0"/>
                      <w:bCs/>
                      <w:color w:val="000000" w:themeColor="text1"/>
                      <w:sz w:val="21"/>
                      <w:szCs w:val="21"/>
                      <w:highlight w:val="none"/>
                      <w:u w:val="none" w:color="auto"/>
                      <w:lang w:val="en-US" w:eastAsia="zh-CN"/>
                      <w14:textFill>
                        <w14:solidFill>
                          <w14:schemeClr w14:val="tx1"/>
                        </w14:solidFill>
                      </w14:textFill>
                    </w:rPr>
                    <w:t>《河南省工业炉窑大气污染物排放标准》(DB41/1066-2020)排放限值</w:t>
                  </w:r>
                </w:p>
              </w:tc>
            </w:tr>
            <w:tr w14:paraId="2B3E364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387" w:type="pct"/>
                  <w:vMerge w:val="continue"/>
                  <w:tcBorders>
                    <w:right w:val="single" w:color="auto" w:sz="4" w:space="0"/>
                  </w:tcBorders>
                  <w:noWrap w:val="0"/>
                  <w:vAlign w:val="center"/>
                </w:tcPr>
                <w:p w14:paraId="02490FA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354" w:type="pct"/>
                  <w:vMerge w:val="continue"/>
                  <w:tcBorders>
                    <w:left w:val="single" w:color="auto" w:sz="4" w:space="0"/>
                    <w:right w:val="single" w:color="auto" w:sz="4" w:space="0"/>
                  </w:tcBorders>
                  <w:noWrap w:val="0"/>
                  <w:vAlign w:val="center"/>
                </w:tcPr>
                <w:p w14:paraId="3629B7D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580" w:type="pct"/>
                  <w:vMerge w:val="continue"/>
                  <w:tcBorders>
                    <w:left w:val="single" w:color="auto" w:sz="4" w:space="0"/>
                  </w:tcBorders>
                  <w:noWrap w:val="0"/>
                  <w:vAlign w:val="center"/>
                </w:tcPr>
                <w:p w14:paraId="75A84FA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741" w:type="pct"/>
                  <w:vMerge w:val="continue"/>
                  <w:noWrap w:val="0"/>
                  <w:vAlign w:val="center"/>
                </w:tcPr>
                <w:p w14:paraId="1568681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546" w:type="pct"/>
                  <w:vMerge w:val="continue"/>
                  <w:tcBorders>
                    <w:bottom w:val="single" w:color="auto" w:sz="4" w:space="0"/>
                  </w:tcBorders>
                  <w:noWrap w:val="0"/>
                  <w:vAlign w:val="center"/>
                </w:tcPr>
                <w:p w14:paraId="55E864B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2389" w:type="pct"/>
                  <w:shd w:val="clear" w:color="auto" w:fill="auto"/>
                  <w:noWrap w:val="0"/>
                  <w:vAlign w:val="center"/>
                </w:tcPr>
                <w:p w14:paraId="370924D3">
                  <w:pPr>
                    <w:keepNext w:val="0"/>
                    <w:keepLines w:val="0"/>
                    <w:pageBreakBefore w:val="0"/>
                    <w:widowControl w:val="0"/>
                    <w:suppressLineNumbers w:val="0"/>
                    <w:kinsoku/>
                    <w:wordWrap/>
                    <w:overflowPunct/>
                    <w:topLinePunct w:val="0"/>
                    <w:autoSpaceDE/>
                    <w:autoSpaceDN/>
                    <w:bidi w:val="0"/>
                    <w:spacing w:before="0" w:beforeAutospacing="0" w:after="0" w:afterAutospacing="0"/>
                    <w:ind w:left="0" w:leftChars="0" w:right="0" w:rightChars="0"/>
                    <w:jc w:val="center"/>
                    <w:textAlignment w:val="auto"/>
                    <w:outlineLvl w:val="9"/>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《河南省重污染天气重点行业应急减排措施制定技术指南》（202</w:t>
                  </w:r>
                  <w:r>
                    <w:rPr>
                      <w:rFonts w:hint="default" w:ascii="Times New Roman" w:hAnsi="Times New Roman" w:cs="Times New Roman"/>
                      <w:color w:val="000000" w:themeColor="text1"/>
                      <w:sz w:val="21"/>
                      <w:szCs w:val="21"/>
                      <w:highlight w:val="none"/>
                      <w:u w:val="none" w:color="auto"/>
                      <w:lang w:val="en-US" w:eastAsia="zh-CN"/>
                      <w14:textFill>
                        <w14:solidFill>
                          <w14:schemeClr w14:val="tx1"/>
                        </w14:solidFill>
                      </w14:textFill>
                    </w:rPr>
                    <w:t>4</w:t>
                  </w: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年修订版）</w:t>
                  </w:r>
                  <w:r>
                    <w:rPr>
                      <w:rFonts w:hint="default" w:ascii="Times New Roman" w:hAnsi="Times New Roman" w:cs="Times New Roman"/>
                      <w:b w:val="0"/>
                      <w:bCs/>
                      <w:color w:val="000000" w:themeColor="text1"/>
                      <w:sz w:val="21"/>
                      <w:szCs w:val="21"/>
                      <w:highlight w:val="none"/>
                      <w:u w:val="none" w:color="auto"/>
                      <w:lang w:val="en-US" w:eastAsia="zh-CN"/>
                      <w14:textFill>
                        <w14:solidFill>
                          <w14:schemeClr w14:val="tx1"/>
                        </w14:solidFill>
                      </w14:textFill>
                    </w:rPr>
                    <w:t>涉锅炉/炉窑企业绩效分级</w:t>
                  </w: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排放限值</w:t>
                  </w:r>
                  <w:r>
                    <w:rPr>
                      <w:rFonts w:hint="default" w:ascii="Times New Roman" w:hAnsi="Times New Roman" w:cs="Times New Roman"/>
                      <w:color w:val="000000" w:themeColor="text1"/>
                      <w:sz w:val="21"/>
                      <w:szCs w:val="21"/>
                      <w:highlight w:val="none"/>
                      <w:u w:val="none" w:color="auto"/>
                      <w:lang w:val="en-US" w:eastAsia="zh-CN"/>
                      <w14:textFill>
                        <w14:solidFill>
                          <w14:schemeClr w14:val="tx1"/>
                        </w14:solidFill>
                      </w14:textFill>
                    </w:rPr>
                    <w:t>、</w:t>
                  </w:r>
                  <w:r>
                    <w:rPr>
                      <w:rFonts w:hint="default" w:ascii="Times New Roman" w:hAnsi="Times New Roman" w:cs="Times New Roman"/>
                      <w:b w:val="0"/>
                      <w:bCs w:val="0"/>
                      <w:color w:val="000000" w:themeColor="text1"/>
                      <w:sz w:val="21"/>
                      <w:szCs w:val="21"/>
                      <w:u w:val="none" w:color="auto"/>
                      <w:lang w:val="en-US" w:eastAsia="zh-CN"/>
                      <w14:textFill>
                        <w14:solidFill>
                          <w14:schemeClr w14:val="tx1"/>
                        </w14:solidFill>
                      </w14:textFill>
                    </w:rPr>
                    <w:t>通用</w:t>
                  </w:r>
                  <w:r>
                    <w:rPr>
                      <w:rFonts w:hint="default" w:ascii="Times New Roman" w:hAnsi="Times New Roman" w:cs="Times New Roman"/>
                      <w:b w:val="0"/>
                      <w:bCs w:val="0"/>
                      <w:color w:val="000000" w:themeColor="text1"/>
                      <w:sz w:val="21"/>
                      <w:szCs w:val="21"/>
                      <w:u w:val="none" w:color="auto"/>
                      <w14:textFill>
                        <w14:solidFill>
                          <w14:schemeClr w14:val="tx1"/>
                        </w14:solidFill>
                      </w14:textFill>
                    </w:rPr>
                    <w:t>涉</w:t>
                  </w:r>
                  <w:r>
                    <w:rPr>
                      <w:rFonts w:hint="default" w:ascii="Times New Roman" w:hAnsi="Times New Roman" w:cs="Times New Roman"/>
                      <w:b w:val="0"/>
                      <w:bCs w:val="0"/>
                      <w:color w:val="000000" w:themeColor="text1"/>
                      <w:sz w:val="21"/>
                      <w:szCs w:val="21"/>
                      <w:u w:val="none" w:color="auto"/>
                      <w:lang w:val="en-US" w:eastAsia="zh-CN"/>
                      <w14:textFill>
                        <w14:solidFill>
                          <w14:schemeClr w14:val="tx1"/>
                        </w14:solidFill>
                      </w14:textFill>
                    </w:rPr>
                    <w:t>PM</w:t>
                  </w:r>
                  <w:r>
                    <w:rPr>
                      <w:rFonts w:hint="default" w:ascii="Times New Roman" w:hAnsi="Times New Roman" w:cs="Times New Roman"/>
                      <w:b w:val="0"/>
                      <w:bCs w:val="0"/>
                      <w:color w:val="000000" w:themeColor="text1"/>
                      <w:sz w:val="21"/>
                      <w:szCs w:val="21"/>
                      <w:u w:val="none" w:color="auto"/>
                      <w14:textFill>
                        <w14:solidFill>
                          <w14:schemeClr w14:val="tx1"/>
                        </w14:solidFill>
                      </w14:textFill>
                    </w:rPr>
                    <w:t>企业</w:t>
                  </w: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排放限值</w:t>
                  </w:r>
                </w:p>
              </w:tc>
            </w:tr>
            <w:tr w14:paraId="5BC26FE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387" w:type="pct"/>
                  <w:vMerge w:val="continue"/>
                  <w:tcBorders>
                    <w:right w:val="single" w:color="auto" w:sz="4" w:space="0"/>
                  </w:tcBorders>
                  <w:noWrap w:val="0"/>
                  <w:vAlign w:val="center"/>
                </w:tcPr>
                <w:p w14:paraId="4237227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354" w:type="pct"/>
                  <w:vMerge w:val="continue"/>
                  <w:tcBorders>
                    <w:left w:val="single" w:color="auto" w:sz="4" w:space="0"/>
                    <w:right w:val="single" w:color="auto" w:sz="4" w:space="0"/>
                  </w:tcBorders>
                  <w:noWrap w:val="0"/>
                  <w:vAlign w:val="center"/>
                </w:tcPr>
                <w:p w14:paraId="4F30C54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580" w:type="pct"/>
                  <w:vMerge w:val="restart"/>
                  <w:tcBorders>
                    <w:left w:val="single" w:color="auto" w:sz="4" w:space="0"/>
                  </w:tcBorders>
                  <w:noWrap w:val="0"/>
                  <w:vAlign w:val="center"/>
                </w:tcPr>
                <w:p w14:paraId="33B47300">
                  <w:pPr>
                    <w:keepNext w:val="0"/>
                    <w:keepLines w:val="0"/>
                    <w:pageBreakBefore w:val="0"/>
                    <w:widowControl/>
                    <w:suppressLineNumbers w:val="0"/>
                    <w:kinsoku/>
                    <w:wordWrap/>
                    <w:overflowPunct/>
                    <w:topLinePunct w:val="0"/>
                    <w:autoSpaceDE/>
                    <w:autoSpaceDN/>
                    <w:bidi w:val="0"/>
                    <w:spacing w:before="0" w:beforeAutospacing="0" w:after="0" w:afterAutospacing="0"/>
                    <w:ind w:left="0" w:leftChars="0" w:right="0" w:rightChars="0"/>
                    <w:jc w:val="center"/>
                    <w:textAlignment w:val="center"/>
                    <w:outlineLvl w:val="9"/>
                    <w:rPr>
                      <w:rFonts w:hint="default" w:ascii="Times New Roman" w:hAnsi="Times New Roman" w:eastAsia="宋体" w:cs="Times New Roman"/>
                      <w:color w:val="000000" w:themeColor="text1"/>
                      <w:sz w:val="21"/>
                      <w:szCs w:val="21"/>
                      <w:highlight w:val="none"/>
                      <w:u w:val="none" w:color="auto"/>
                      <w:lang w:val="en-US"/>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color="auto"/>
                      <w:lang w:val="en-US" w:eastAsia="zh-CN" w:bidi="ar"/>
                      <w14:textFill>
                        <w14:solidFill>
                          <w14:schemeClr w14:val="tx1"/>
                        </w14:solidFill>
                      </w14:textFill>
                    </w:rPr>
                    <w:t>DA003</w:t>
                  </w:r>
                </w:p>
              </w:tc>
              <w:tc>
                <w:tcPr>
                  <w:tcW w:w="741" w:type="pct"/>
                  <w:vMerge w:val="restart"/>
                  <w:noWrap w:val="0"/>
                  <w:vAlign w:val="center"/>
                </w:tcPr>
                <w:p w14:paraId="7046D68C">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颗粒物</w:t>
                  </w:r>
                  <w:r>
                    <w:rPr>
                      <w:rFonts w:hint="default" w:ascii="Times New Roman" w:hAnsi="Times New Roman" w:cs="Times New Roman"/>
                      <w:color w:val="000000" w:themeColor="text1"/>
                      <w:sz w:val="21"/>
                      <w:szCs w:val="21"/>
                      <w:highlight w:val="none"/>
                      <w:u w:val="none" w:color="auto"/>
                      <w:lang w:val="en-US" w:eastAsia="zh-CN"/>
                      <w14:textFill>
                        <w14:solidFill>
                          <w14:schemeClr w14:val="tx1"/>
                        </w14:solidFill>
                      </w14:textFill>
                    </w:rPr>
                    <w:t>、</w:t>
                  </w:r>
                </w:p>
              </w:tc>
              <w:tc>
                <w:tcPr>
                  <w:tcW w:w="546" w:type="pct"/>
                  <w:vMerge w:val="restart"/>
                  <w:noWrap w:val="0"/>
                  <w:vAlign w:val="center"/>
                </w:tcPr>
                <w:p w14:paraId="0E369AD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u w:val="none" w:color="auto"/>
                      <w14:textFill>
                        <w14:solidFill>
                          <w14:schemeClr w14:val="tx1"/>
                        </w14:solidFill>
                      </w14:textFill>
                    </w:rPr>
                    <w:t>1次/年</w:t>
                  </w:r>
                </w:p>
              </w:tc>
              <w:tc>
                <w:tcPr>
                  <w:tcW w:w="2389" w:type="pct"/>
                  <w:shd w:val="clear" w:color="auto" w:fill="auto"/>
                  <w:noWrap w:val="0"/>
                  <w:vAlign w:val="center"/>
                </w:tcPr>
                <w:p w14:paraId="355F37E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u w:val="none" w:color="auto"/>
                      <w14:textFill>
                        <w14:solidFill>
                          <w14:schemeClr w14:val="tx1"/>
                        </w14:solidFill>
                      </w14:textFill>
                    </w:rPr>
                    <w:t>《大气污染物综合排放标准》（GB16297-1996）表2中二级标准</w:t>
                  </w:r>
                </w:p>
              </w:tc>
            </w:tr>
            <w:tr w14:paraId="455491B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387" w:type="pct"/>
                  <w:vMerge w:val="continue"/>
                  <w:tcBorders>
                    <w:right w:val="single" w:color="auto" w:sz="4" w:space="0"/>
                  </w:tcBorders>
                  <w:noWrap w:val="0"/>
                  <w:vAlign w:val="center"/>
                </w:tcPr>
                <w:p w14:paraId="51AE3DF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354" w:type="pct"/>
                  <w:vMerge w:val="continue"/>
                  <w:tcBorders>
                    <w:left w:val="single" w:color="auto" w:sz="4" w:space="0"/>
                    <w:right w:val="single" w:color="auto" w:sz="4" w:space="0"/>
                  </w:tcBorders>
                  <w:noWrap w:val="0"/>
                  <w:vAlign w:val="center"/>
                </w:tcPr>
                <w:p w14:paraId="608856C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580" w:type="pct"/>
                  <w:vMerge w:val="continue"/>
                  <w:tcBorders>
                    <w:left w:val="single" w:color="auto" w:sz="4" w:space="0"/>
                  </w:tcBorders>
                  <w:noWrap w:val="0"/>
                  <w:vAlign w:val="center"/>
                </w:tcPr>
                <w:p w14:paraId="3B8C1FE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741" w:type="pct"/>
                  <w:vMerge w:val="continue"/>
                  <w:noWrap w:val="0"/>
                  <w:vAlign w:val="center"/>
                </w:tcPr>
                <w:p w14:paraId="341D179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546" w:type="pct"/>
                  <w:vMerge w:val="continue"/>
                  <w:tcBorders>
                    <w:bottom w:val="single" w:color="auto" w:sz="4" w:space="0"/>
                  </w:tcBorders>
                  <w:noWrap w:val="0"/>
                  <w:vAlign w:val="center"/>
                </w:tcPr>
                <w:p w14:paraId="48FD288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2389" w:type="pct"/>
                  <w:shd w:val="clear" w:color="auto" w:fill="auto"/>
                  <w:noWrap w:val="0"/>
                  <w:vAlign w:val="center"/>
                </w:tcPr>
                <w:p w14:paraId="1294061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《河南省重污染天气重点行业应急减排措施制定技术指南》（202</w:t>
                  </w:r>
                  <w:r>
                    <w:rPr>
                      <w:rFonts w:hint="default" w:ascii="Times New Roman" w:hAnsi="Times New Roman" w:cs="Times New Roman"/>
                      <w:color w:val="000000" w:themeColor="text1"/>
                      <w:sz w:val="21"/>
                      <w:szCs w:val="21"/>
                      <w:highlight w:val="none"/>
                      <w:u w:val="none" w:color="auto"/>
                      <w:lang w:val="en-US" w:eastAsia="zh-CN"/>
                      <w14:textFill>
                        <w14:solidFill>
                          <w14:schemeClr w14:val="tx1"/>
                        </w14:solidFill>
                      </w14:textFill>
                    </w:rPr>
                    <w:t>4</w:t>
                  </w: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年修订版）</w:t>
                  </w:r>
                  <w:r>
                    <w:rPr>
                      <w:rFonts w:hint="default" w:ascii="Times New Roman" w:hAnsi="Times New Roman" w:cs="Times New Roman"/>
                      <w:b w:val="0"/>
                      <w:bCs w:val="0"/>
                      <w:color w:val="000000" w:themeColor="text1"/>
                      <w:sz w:val="21"/>
                      <w:szCs w:val="21"/>
                      <w:u w:val="none" w:color="auto"/>
                      <w:lang w:val="en-US" w:eastAsia="zh-CN"/>
                      <w14:textFill>
                        <w14:solidFill>
                          <w14:schemeClr w14:val="tx1"/>
                        </w14:solidFill>
                      </w14:textFill>
                    </w:rPr>
                    <w:t>通用</w:t>
                  </w:r>
                  <w:r>
                    <w:rPr>
                      <w:rFonts w:hint="default" w:ascii="Times New Roman" w:hAnsi="Times New Roman" w:cs="Times New Roman"/>
                      <w:b w:val="0"/>
                      <w:bCs w:val="0"/>
                      <w:color w:val="000000" w:themeColor="text1"/>
                      <w:sz w:val="21"/>
                      <w:szCs w:val="21"/>
                      <w:u w:val="none" w:color="auto"/>
                      <w14:textFill>
                        <w14:solidFill>
                          <w14:schemeClr w14:val="tx1"/>
                        </w14:solidFill>
                      </w14:textFill>
                    </w:rPr>
                    <w:t>涉</w:t>
                  </w:r>
                  <w:r>
                    <w:rPr>
                      <w:rFonts w:hint="default" w:ascii="Times New Roman" w:hAnsi="Times New Roman" w:cs="Times New Roman"/>
                      <w:b w:val="0"/>
                      <w:bCs w:val="0"/>
                      <w:color w:val="000000" w:themeColor="text1"/>
                      <w:sz w:val="21"/>
                      <w:szCs w:val="21"/>
                      <w:u w:val="none" w:color="auto"/>
                      <w:lang w:val="en-US" w:eastAsia="zh-CN"/>
                      <w14:textFill>
                        <w14:solidFill>
                          <w14:schemeClr w14:val="tx1"/>
                        </w14:solidFill>
                      </w14:textFill>
                    </w:rPr>
                    <w:t>PM</w:t>
                  </w:r>
                  <w:r>
                    <w:rPr>
                      <w:rFonts w:hint="default" w:ascii="Times New Roman" w:hAnsi="Times New Roman" w:cs="Times New Roman"/>
                      <w:b w:val="0"/>
                      <w:bCs w:val="0"/>
                      <w:color w:val="000000" w:themeColor="text1"/>
                      <w:sz w:val="21"/>
                      <w:szCs w:val="21"/>
                      <w:u w:val="none" w:color="auto"/>
                      <w14:textFill>
                        <w14:solidFill>
                          <w14:schemeClr w14:val="tx1"/>
                        </w14:solidFill>
                      </w14:textFill>
                    </w:rPr>
                    <w:t>企业</w:t>
                  </w: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排放限值</w:t>
                  </w:r>
                </w:p>
              </w:tc>
            </w:tr>
            <w:tr w14:paraId="3380F3B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387" w:type="pct"/>
                  <w:vMerge w:val="continue"/>
                  <w:tcBorders>
                    <w:right w:val="single" w:color="auto" w:sz="4" w:space="0"/>
                  </w:tcBorders>
                  <w:noWrap w:val="0"/>
                  <w:vAlign w:val="center"/>
                </w:tcPr>
                <w:p w14:paraId="7F032F0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7030A0"/>
                      <w:sz w:val="21"/>
                      <w:szCs w:val="21"/>
                      <w:highlight w:val="none"/>
                      <w:u w:val="none" w:color="auto"/>
                    </w:rPr>
                  </w:pPr>
                </w:p>
              </w:tc>
              <w:tc>
                <w:tcPr>
                  <w:tcW w:w="354" w:type="pct"/>
                  <w:tcBorders>
                    <w:top w:val="single" w:color="auto" w:sz="4" w:space="0"/>
                    <w:left w:val="single" w:color="auto" w:sz="4" w:space="0"/>
                  </w:tcBorders>
                  <w:noWrap w:val="0"/>
                  <w:vAlign w:val="center"/>
                </w:tcPr>
                <w:p w14:paraId="1A8D247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无组织</w:t>
                  </w:r>
                </w:p>
              </w:tc>
              <w:tc>
                <w:tcPr>
                  <w:tcW w:w="580" w:type="pct"/>
                  <w:noWrap w:val="0"/>
                  <w:vAlign w:val="center"/>
                </w:tcPr>
                <w:p w14:paraId="44EE739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厂界</w:t>
                  </w:r>
                </w:p>
              </w:tc>
              <w:tc>
                <w:tcPr>
                  <w:tcW w:w="741" w:type="pct"/>
                  <w:noWrap w:val="0"/>
                  <w:vAlign w:val="center"/>
                </w:tcPr>
                <w:p w14:paraId="4768C6F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颗粒物</w:t>
                  </w:r>
                </w:p>
              </w:tc>
              <w:tc>
                <w:tcPr>
                  <w:tcW w:w="546" w:type="pct"/>
                  <w:noWrap w:val="0"/>
                  <w:vAlign w:val="center"/>
                </w:tcPr>
                <w:p w14:paraId="3A5B3BE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bCs/>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u w:val="none" w:color="auto"/>
                      <w14:textFill>
                        <w14:solidFill>
                          <w14:schemeClr w14:val="tx1"/>
                        </w14:solidFill>
                      </w14:textFill>
                    </w:rPr>
                    <w:t>1次/年</w:t>
                  </w:r>
                </w:p>
              </w:tc>
              <w:tc>
                <w:tcPr>
                  <w:tcW w:w="2389" w:type="pct"/>
                  <w:tcBorders>
                    <w:top w:val="single" w:color="auto" w:sz="4" w:space="0"/>
                    <w:bottom w:val="single" w:color="auto" w:sz="4" w:space="0"/>
                  </w:tcBorders>
                  <w:noWrap w:val="0"/>
                  <w:vAlign w:val="center"/>
                </w:tcPr>
                <w:p w14:paraId="48888D7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kern w:val="0"/>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u w:val="none" w:color="auto"/>
                      <w14:textFill>
                        <w14:solidFill>
                          <w14:schemeClr w14:val="tx1"/>
                        </w14:solidFill>
                      </w14:textFill>
                    </w:rPr>
                    <w:t>《大气污染物综合排放标准》（GB16297-1996）表2无组织排放限值</w:t>
                  </w:r>
                </w:p>
              </w:tc>
            </w:tr>
            <w:tr w14:paraId="7366770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741" w:type="pct"/>
                  <w:gridSpan w:val="2"/>
                  <w:noWrap w:val="0"/>
                  <w:vAlign w:val="center"/>
                </w:tcPr>
                <w:p w14:paraId="6547C1C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kern w:val="0"/>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u w:val="none" w:color="auto"/>
                      <w:lang w:val="en-US" w:eastAsia="zh-CN"/>
                      <w14:textFill>
                        <w14:solidFill>
                          <w14:schemeClr w14:val="tx1"/>
                        </w14:solidFill>
                      </w14:textFill>
                    </w:rPr>
                    <w:t>噪声</w:t>
                  </w:r>
                </w:p>
              </w:tc>
              <w:tc>
                <w:tcPr>
                  <w:tcW w:w="580" w:type="pct"/>
                  <w:noWrap w:val="0"/>
                  <w:vAlign w:val="center"/>
                </w:tcPr>
                <w:p w14:paraId="70AC6CBC">
                  <w:pPr>
                    <w:keepNext w:val="0"/>
                    <w:keepLines w:val="0"/>
                    <w:pageBreakBefore w:val="0"/>
                    <w:suppressLineNumbers w:val="0"/>
                    <w:kinsoku/>
                    <w:wordWrap/>
                    <w:overflowPunct/>
                    <w:topLinePunct w:val="0"/>
                    <w:bidi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Style w:val="33"/>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东、南、西、北厂界</w:t>
                  </w:r>
                </w:p>
              </w:tc>
              <w:tc>
                <w:tcPr>
                  <w:tcW w:w="741" w:type="pct"/>
                  <w:noWrap w:val="0"/>
                  <w:vAlign w:val="center"/>
                </w:tcPr>
                <w:p w14:paraId="474B7786">
                  <w:pPr>
                    <w:keepNext w:val="0"/>
                    <w:keepLines w:val="0"/>
                    <w:pageBreakBefore w:val="0"/>
                    <w:suppressLineNumbers w:val="0"/>
                    <w:kinsoku/>
                    <w:wordWrap/>
                    <w:overflowPunct/>
                    <w:topLinePunct w:val="0"/>
                    <w:bidi w:val="0"/>
                    <w:adjustRightInd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bCs/>
                      <w:color w:val="000000" w:themeColor="text1"/>
                      <w:sz w:val="21"/>
                      <w:szCs w:val="21"/>
                      <w:highlight w:val="none"/>
                      <w:u w:val="none" w:color="auto"/>
                      <w14:textFill>
                        <w14:solidFill>
                          <w14:schemeClr w14:val="tx1"/>
                        </w14:solidFill>
                      </w14:textFill>
                    </w:rPr>
                    <w:t>等效连续A声级</w:t>
                  </w:r>
                  <w:r>
                    <w:rPr>
                      <w:rFonts w:hint="default" w:ascii="Times New Roman" w:hAnsi="Times New Roman" w:eastAsia="宋体" w:cs="Times New Roman"/>
                      <w:bCs/>
                      <w:color w:val="000000" w:themeColor="text1"/>
                      <w:sz w:val="21"/>
                      <w:szCs w:val="21"/>
                      <w:highlight w:val="none"/>
                      <w:u w:val="none" w:color="auto"/>
                      <w:lang w:eastAsia="zh-CN"/>
                      <w14:textFill>
                        <w14:solidFill>
                          <w14:schemeClr w14:val="tx1"/>
                        </w14:solidFill>
                      </w14:textFill>
                    </w:rPr>
                    <w:t>、</w:t>
                  </w:r>
                  <w:r>
                    <w:rPr>
                      <w:rFonts w:hint="default" w:ascii="Times New Roman" w:hAnsi="Times New Roman" w:eastAsia="宋体" w:cs="Times New Roman"/>
                      <w:bCs/>
                      <w:color w:val="000000" w:themeColor="text1"/>
                      <w:sz w:val="21"/>
                      <w:szCs w:val="21"/>
                      <w:highlight w:val="none"/>
                      <w:u w:val="none" w:color="auto"/>
                      <w:lang w:val="en-US" w:eastAsia="zh-CN"/>
                      <w14:textFill>
                        <w14:solidFill>
                          <w14:schemeClr w14:val="tx1"/>
                        </w14:solidFill>
                      </w14:textFill>
                    </w:rPr>
                    <w:t>最大声级</w:t>
                  </w:r>
                </w:p>
              </w:tc>
              <w:tc>
                <w:tcPr>
                  <w:tcW w:w="546" w:type="pct"/>
                  <w:noWrap w:val="0"/>
                  <w:vAlign w:val="center"/>
                </w:tcPr>
                <w:p w14:paraId="3B9C7305">
                  <w:pPr>
                    <w:keepNext w:val="0"/>
                    <w:keepLines w:val="0"/>
                    <w:pageBreakBefore w:val="0"/>
                    <w:suppressLineNumbers w:val="0"/>
                    <w:kinsoku/>
                    <w:wordWrap/>
                    <w:overflowPunct/>
                    <w:topLinePunct w:val="0"/>
                    <w:bidi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1次/季度</w:t>
                  </w:r>
                </w:p>
              </w:tc>
              <w:tc>
                <w:tcPr>
                  <w:tcW w:w="2389" w:type="pct"/>
                  <w:tcBorders>
                    <w:top w:val="single" w:color="auto" w:sz="4" w:space="0"/>
                  </w:tcBorders>
                  <w:noWrap w:val="0"/>
                  <w:vAlign w:val="center"/>
                </w:tcPr>
                <w:p w14:paraId="31E19011">
                  <w:pPr>
                    <w:keepNext w:val="0"/>
                    <w:keepLines w:val="0"/>
                    <w:pageBreakBefore w:val="0"/>
                    <w:suppressLineNumbers w:val="0"/>
                    <w:kinsoku/>
                    <w:wordWrap/>
                    <w:overflowPunct/>
                    <w:topLinePunct w:val="0"/>
                    <w:bidi w:val="0"/>
                    <w:spacing w:before="0" w:beforeAutospacing="0" w:after="0" w:afterAutospacing="0"/>
                    <w:ind w:left="0" w:right="0"/>
                    <w:jc w:val="cente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《工业企业厂界环境噪声排放标准》（GB12348-2008）2类标准</w:t>
                  </w:r>
                </w:p>
              </w:tc>
            </w:tr>
          </w:tbl>
          <w:p w14:paraId="7A68160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2" w:firstLineChars="200"/>
              <w:textAlignment w:val="auto"/>
              <w:rPr>
                <w:rFonts w:hint="default" w:ascii="Times New Roman" w:hAnsi="Times New Roman" w:eastAsia="宋体" w:cs="Times New Roman"/>
                <w:b/>
                <w:color w:val="000000" w:themeColor="text1"/>
                <w:kern w:val="0"/>
                <w:sz w:val="24"/>
                <w:szCs w:val="24"/>
                <w:highlight w:val="none"/>
                <w:u w:val="none" w:color="auto"/>
                <w14:textFill>
                  <w14:solidFill>
                    <w14:schemeClr w14:val="tx1"/>
                  </w14:solidFill>
                </w14:textFill>
              </w:rPr>
            </w:pPr>
            <w:r>
              <w:rPr>
                <w:rFonts w:hint="default" w:ascii="Times New Roman" w:hAnsi="Times New Roman" w:eastAsia="宋体" w:cs="Times New Roman"/>
                <w:b/>
                <w:color w:val="000000" w:themeColor="text1"/>
                <w:kern w:val="0"/>
                <w:sz w:val="24"/>
                <w:szCs w:val="24"/>
                <w:highlight w:val="none"/>
                <w:u w:val="none" w:color="auto"/>
                <w14:textFill>
                  <w14:solidFill>
                    <w14:schemeClr w14:val="tx1"/>
                  </w14:solidFill>
                </w14:textFill>
              </w:rPr>
              <w:t>9、排污口规范化</w:t>
            </w:r>
          </w:p>
          <w:p w14:paraId="17057283">
            <w:pPr>
              <w:keepNext w:val="0"/>
              <w:keepLines w:val="0"/>
              <w:pageBreakBefore w:val="0"/>
              <w:widowControl w:val="0"/>
              <w:suppressLineNumbers w:val="0"/>
              <w:tabs>
                <w:tab w:val="left" w:pos="1081"/>
              </w:tabs>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pP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项目设置</w:t>
            </w:r>
            <w:r>
              <w:rPr>
                <w:rFonts w:hint="eastAsia" w:cs="Times New Roman"/>
                <w:color w:val="000000" w:themeColor="text1"/>
                <w:sz w:val="24"/>
                <w:szCs w:val="24"/>
                <w:highlight w:val="none"/>
                <w:u w:val="none" w:color="auto"/>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个废气排放口（DA0</w:t>
            </w:r>
            <w:r>
              <w:rPr>
                <w:rFonts w:hint="default" w:ascii="Times New Roman" w:hAnsi="Times New Roman" w:eastAsia="宋体" w:cs="Times New Roman"/>
                <w:color w:val="000000" w:themeColor="text1"/>
                <w:sz w:val="24"/>
                <w:szCs w:val="24"/>
                <w:highlight w:val="none"/>
                <w:u w:val="none" w:color="auto"/>
                <w:lang w:val="en-US" w:eastAsia="zh-CN"/>
                <w14:textFill>
                  <w14:solidFill>
                    <w14:schemeClr w14:val="tx1"/>
                  </w14:solidFill>
                </w14:textFill>
              </w:rPr>
              <w:t>01</w:t>
            </w: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-DA0</w:t>
            </w:r>
            <w:r>
              <w:rPr>
                <w:rFonts w:hint="default" w:ascii="Times New Roman" w:hAnsi="Times New Roman" w:eastAsia="宋体" w:cs="Times New Roman"/>
                <w:color w:val="000000" w:themeColor="text1"/>
                <w:sz w:val="24"/>
                <w:szCs w:val="24"/>
                <w:highlight w:val="none"/>
                <w:u w:val="none" w:color="auto"/>
                <w:lang w:val="en-US" w:eastAsia="zh-CN"/>
                <w14:textFill>
                  <w14:solidFill>
                    <w14:schemeClr w14:val="tx1"/>
                  </w14:solidFill>
                </w14:textFill>
              </w:rPr>
              <w:t>0</w:t>
            </w:r>
            <w:r>
              <w:rPr>
                <w:rFonts w:hint="eastAsia" w:cs="Times New Roman"/>
                <w:color w:val="000000" w:themeColor="text1"/>
                <w:sz w:val="24"/>
                <w:szCs w:val="24"/>
                <w:highlight w:val="none"/>
                <w:u w:val="none" w:color="auto"/>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w:t>
            </w:r>
          </w:p>
          <w:p w14:paraId="62EC5E3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pP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根据《排污口规范化整治技术要求》（环监[1996]470号）提出如下建议：</w:t>
            </w:r>
          </w:p>
          <w:p w14:paraId="1D48B7D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pP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①排污口规范化整治应遵循便于采集样品，便于计量监测，便于日常现场监督检查的原则；</w:t>
            </w:r>
          </w:p>
          <w:p w14:paraId="084447A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pP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②排气筒应设置便于采样、监测的采样口。采样口的设置应符合《污染源监测技术规范》要求；</w:t>
            </w:r>
          </w:p>
          <w:p w14:paraId="5811792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pP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③采样口位置无法满足“规范”要求的，其监测位置由当地环境监测部门确认；</w:t>
            </w:r>
          </w:p>
          <w:p w14:paraId="768281B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pP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④污染物排放口必须实行规范化整治，按照国家标准《环境保护图形标志 排放口（源）》（GB15562.1-1995）、《环境保护图形标志 固体废物贮存（处置）场》（GB15562.2-1995）及2023年修改单等标准规定，设置与之相适应的环境保护图形标志牌；</w:t>
            </w:r>
          </w:p>
          <w:p w14:paraId="09E862C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pP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⑤排放口必须使用由国家统一定点制作和监制的环境保护图形标志牌；</w:t>
            </w:r>
          </w:p>
          <w:p w14:paraId="561DE51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pP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⑥环境保护图形标志牌设置位置应距污染物排放口（源）及采样点较近且醒目处，并能长久保留，设置高度一般为：环境保护图形标志牌上缘距离地面2m；</w:t>
            </w:r>
          </w:p>
          <w:p w14:paraId="4027E07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pP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⑦环境保护图形标志牌的辅助标志上，需要填写的栏目，要求字迹工整，字的颜色，与标志牌颜色要总体协调。</w:t>
            </w:r>
          </w:p>
          <w:p w14:paraId="0FAC252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pP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项目环境保护图形符号见下表。</w:t>
            </w:r>
          </w:p>
          <w:p w14:paraId="3D886FA8">
            <w:pPr>
              <w:keepNext w:val="0"/>
              <w:keepLines w:val="0"/>
              <w:suppressLineNumbers w:val="0"/>
              <w:adjustRightInd w:val="0"/>
              <w:snapToGrid w:val="0"/>
              <w:spacing w:before="0" w:beforeAutospacing="0" w:after="0" w:afterAutospacing="0" w:line="360" w:lineRule="auto"/>
              <w:ind w:left="720" w:right="0" w:hanging="720"/>
              <w:jc w:val="center"/>
              <w:textAlignment w:val="baseline"/>
              <w:rPr>
                <w:rFonts w:hint="default" w:ascii="Times New Roman" w:hAnsi="Times New Roman" w:eastAsia="宋体" w:cs="Times New Roman"/>
                <w:b/>
                <w:color w:val="000000" w:themeColor="text1"/>
                <w:kern w:val="2"/>
                <w:sz w:val="24"/>
                <w:szCs w:val="24"/>
                <w:highlight w:val="none"/>
                <w:u w:val="none" w:color="auto"/>
                <w:lang w:val="en-GB" w:eastAsia="zh-TW" w:bidi="ar-SA"/>
                <w14:textFill>
                  <w14:solidFill>
                    <w14:schemeClr w14:val="tx1"/>
                  </w14:solidFill>
                </w14:textFill>
              </w:rPr>
            </w:pPr>
            <w:r>
              <w:rPr>
                <w:rFonts w:hint="default" w:ascii="Times New Roman" w:hAnsi="Times New Roman" w:eastAsia="宋体" w:cs="Times New Roman"/>
                <w:b/>
                <w:color w:val="000000" w:themeColor="text1"/>
                <w:kern w:val="2"/>
                <w:sz w:val="24"/>
                <w:szCs w:val="24"/>
                <w:highlight w:val="none"/>
                <w:u w:val="none" w:color="auto"/>
                <w:lang w:val="en-US" w:eastAsia="zh-CN" w:bidi="ar-SA"/>
                <w14:textFill>
                  <w14:solidFill>
                    <w14:schemeClr w14:val="tx1"/>
                  </w14:solidFill>
                </w14:textFill>
              </w:rPr>
              <w:t>表4-</w:t>
            </w:r>
            <w:r>
              <w:rPr>
                <w:rFonts w:hint="eastAsia" w:cs="Times New Roman"/>
                <w:b/>
                <w:color w:val="000000" w:themeColor="text1"/>
                <w:kern w:val="2"/>
                <w:sz w:val="24"/>
                <w:szCs w:val="24"/>
                <w:highlight w:val="none"/>
                <w:u w:val="none" w:color="auto"/>
                <w:lang w:val="en-US" w:eastAsia="zh-CN" w:bidi="ar-SA"/>
                <w14:textFill>
                  <w14:solidFill>
                    <w14:schemeClr w14:val="tx1"/>
                  </w14:solidFill>
                </w14:textFill>
              </w:rPr>
              <w:t>31</w:t>
            </w:r>
            <w:r>
              <w:rPr>
                <w:rFonts w:hint="eastAsia" w:ascii="Times New Roman" w:hAnsi="Times New Roman" w:eastAsia="宋体" w:cs="Times New Roman"/>
                <w:b/>
                <w:color w:val="000000" w:themeColor="text1"/>
                <w:kern w:val="2"/>
                <w:sz w:val="24"/>
                <w:szCs w:val="24"/>
                <w:highlight w:val="none"/>
                <w:u w:val="none" w:color="auto"/>
                <w:lang w:val="en-US" w:eastAsia="zh-CN" w:bidi="ar-SA"/>
                <w14:textFill>
                  <w14:solidFill>
                    <w14:schemeClr w14:val="tx1"/>
                  </w14:solidFill>
                </w14:textFill>
              </w:rPr>
              <w:t xml:space="preserve">  </w:t>
            </w:r>
            <w:r>
              <w:rPr>
                <w:rFonts w:hint="default" w:ascii="Times New Roman" w:hAnsi="Times New Roman" w:eastAsia="宋体" w:cs="Times New Roman"/>
                <w:b/>
                <w:color w:val="000000" w:themeColor="text1"/>
                <w:kern w:val="2"/>
                <w:sz w:val="24"/>
                <w:szCs w:val="24"/>
                <w:highlight w:val="none"/>
                <w:u w:val="none" w:color="auto"/>
                <w:lang w:val="en-US" w:eastAsia="zh-CN" w:bidi="ar-SA"/>
                <w14:textFill>
                  <w14:solidFill>
                    <w14:schemeClr w14:val="tx1"/>
                  </w14:solidFill>
                </w14:textFill>
              </w:rPr>
              <w:t xml:space="preserve">  </w:t>
            </w:r>
            <w:r>
              <w:rPr>
                <w:rFonts w:hint="default" w:ascii="Times New Roman" w:hAnsi="Times New Roman" w:eastAsia="宋体" w:cs="Times New Roman"/>
                <w:b/>
                <w:color w:val="000000" w:themeColor="text1"/>
                <w:kern w:val="2"/>
                <w:sz w:val="24"/>
                <w:szCs w:val="24"/>
                <w:highlight w:val="none"/>
                <w:u w:val="none" w:color="auto"/>
                <w:lang w:val="en-GB" w:eastAsia="zh-TW" w:bidi="ar-SA"/>
                <w14:textFill>
                  <w14:solidFill>
                    <w14:schemeClr w14:val="tx1"/>
                  </w14:solidFill>
                </w14:textFill>
              </w:rPr>
              <w:t>各排污口环境保护图形标志</w:t>
            </w:r>
          </w:p>
          <w:tbl>
            <w:tblPr>
              <w:tblStyle w:val="29"/>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133"/>
              <w:gridCol w:w="3175"/>
              <w:gridCol w:w="3139"/>
            </w:tblGrid>
            <w:tr w14:paraId="102F5C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58" w:type="pct"/>
                  <w:noWrap w:val="0"/>
                  <w:vAlign w:val="center"/>
                </w:tcPr>
                <w:p w14:paraId="1FCFFB1A">
                  <w:pPr>
                    <w:keepNext w:val="0"/>
                    <w:keepLines w:val="0"/>
                    <w:pageBreakBefore w:val="0"/>
                    <w:widowControl w:val="0"/>
                    <w:suppressLineNumbers w:val="0"/>
                    <w:kinsoku/>
                    <w:wordWrap/>
                    <w:overflowPunct/>
                    <w:topLinePunct w:val="0"/>
                    <w:bidi w:val="0"/>
                    <w:snapToGrid w:val="0"/>
                    <w:spacing w:before="0" w:beforeAutospacing="0" w:after="0" w:afterAutospacing="0"/>
                    <w:ind w:left="0" w:right="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排放口名称</w:t>
                  </w:r>
                </w:p>
              </w:tc>
              <w:tc>
                <w:tcPr>
                  <w:tcW w:w="1680" w:type="pct"/>
                  <w:noWrap w:val="0"/>
                  <w:vAlign w:val="center"/>
                </w:tcPr>
                <w:p w14:paraId="27B501DD">
                  <w:pPr>
                    <w:keepNext w:val="0"/>
                    <w:keepLines w:val="0"/>
                    <w:pageBreakBefore w:val="0"/>
                    <w:widowControl w:val="0"/>
                    <w:suppressLineNumbers w:val="0"/>
                    <w:kinsoku/>
                    <w:wordWrap/>
                    <w:overflowPunct/>
                    <w:topLinePunct w:val="0"/>
                    <w:bidi w:val="0"/>
                    <w:snapToGrid w:val="0"/>
                    <w:spacing w:before="0" w:beforeAutospacing="0" w:after="0" w:afterAutospacing="0"/>
                    <w:ind w:left="0" w:right="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编号</w:t>
                  </w:r>
                </w:p>
              </w:tc>
              <w:tc>
                <w:tcPr>
                  <w:tcW w:w="1661" w:type="pct"/>
                  <w:noWrap w:val="0"/>
                  <w:vAlign w:val="center"/>
                </w:tcPr>
                <w:p w14:paraId="054F24C5">
                  <w:pPr>
                    <w:keepNext w:val="0"/>
                    <w:keepLines w:val="0"/>
                    <w:pageBreakBefore w:val="0"/>
                    <w:widowControl w:val="0"/>
                    <w:suppressLineNumbers w:val="0"/>
                    <w:kinsoku/>
                    <w:wordWrap/>
                    <w:overflowPunct/>
                    <w:topLinePunct w:val="0"/>
                    <w:bidi w:val="0"/>
                    <w:snapToGrid w:val="0"/>
                    <w:spacing w:before="0" w:beforeAutospacing="0" w:after="0" w:afterAutospacing="0"/>
                    <w:ind w:left="0" w:right="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图形标志</w:t>
                  </w:r>
                </w:p>
              </w:tc>
            </w:tr>
            <w:tr w14:paraId="366BB8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58" w:type="pct"/>
                  <w:noWrap w:val="0"/>
                  <w:vAlign w:val="center"/>
                </w:tcPr>
                <w:p w14:paraId="00627AC9">
                  <w:pPr>
                    <w:keepNext w:val="0"/>
                    <w:keepLines w:val="0"/>
                    <w:pageBreakBefore w:val="0"/>
                    <w:widowControl w:val="0"/>
                    <w:suppressLineNumbers w:val="0"/>
                    <w:kinsoku/>
                    <w:wordWrap/>
                    <w:overflowPunct/>
                    <w:topLinePunct w:val="0"/>
                    <w:bidi w:val="0"/>
                    <w:snapToGrid w:val="0"/>
                    <w:spacing w:before="0" w:beforeAutospacing="0" w:after="0" w:afterAutospacing="0"/>
                    <w:ind w:left="0" w:right="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雨水排放口</w:t>
                  </w:r>
                </w:p>
              </w:tc>
              <w:tc>
                <w:tcPr>
                  <w:tcW w:w="1680" w:type="pct"/>
                  <w:noWrap w:val="0"/>
                  <w:vAlign w:val="center"/>
                </w:tcPr>
                <w:p w14:paraId="74675B5E">
                  <w:pPr>
                    <w:keepNext w:val="0"/>
                    <w:keepLines w:val="0"/>
                    <w:pageBreakBefore w:val="0"/>
                    <w:widowControl w:val="0"/>
                    <w:suppressLineNumbers w:val="0"/>
                    <w:kinsoku/>
                    <w:wordWrap/>
                    <w:overflowPunct/>
                    <w:topLinePunct w:val="0"/>
                    <w:bidi w:val="0"/>
                    <w:snapToGrid w:val="0"/>
                    <w:spacing w:before="0" w:beforeAutospacing="0" w:after="0" w:afterAutospacing="0"/>
                    <w:ind w:left="0" w:right="0"/>
                    <w:jc w:val="center"/>
                    <w:textAlignment w:val="auto"/>
                    <w:rPr>
                      <w:rFonts w:hint="eastAsia"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DW00</w:t>
                  </w:r>
                  <w:r>
                    <w:rPr>
                      <w:rFonts w:hint="eastAsia"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1</w:t>
                  </w:r>
                </w:p>
              </w:tc>
              <w:tc>
                <w:tcPr>
                  <w:tcW w:w="1661" w:type="pct"/>
                  <w:noWrap w:val="0"/>
                  <w:vAlign w:val="center"/>
                </w:tcPr>
                <w:p w14:paraId="2EBE5C3F">
                  <w:pPr>
                    <w:keepNext w:val="0"/>
                    <w:keepLines w:val="0"/>
                    <w:pageBreakBefore w:val="0"/>
                    <w:widowControl w:val="0"/>
                    <w:suppressLineNumbers w:val="0"/>
                    <w:kinsoku/>
                    <w:wordWrap/>
                    <w:overflowPunct/>
                    <w:topLinePunct w:val="0"/>
                    <w:bidi w:val="0"/>
                    <w:snapToGrid w:val="0"/>
                    <w:spacing w:before="0" w:beforeAutospacing="0" w:after="0" w:afterAutospacing="0"/>
                    <w:ind w:left="0" w:right="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drawing>
                      <wp:inline distT="0" distB="0" distL="114300" distR="114300">
                        <wp:extent cx="1028700" cy="612775"/>
                        <wp:effectExtent l="0" t="0" r="0" b="15875"/>
                        <wp:docPr id="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
                                <pic:cNvPicPr>
                                  <a:picLocks noChangeAspect="1"/>
                                </pic:cNvPicPr>
                              </pic:nvPicPr>
                              <pic:blipFill>
                                <a:blip r:embed="rId27"/>
                                <a:stretch>
                                  <a:fillRect/>
                                </a:stretch>
                              </pic:blipFill>
                              <pic:spPr>
                                <a:xfrm>
                                  <a:off x="0" y="0"/>
                                  <a:ext cx="1028700" cy="612775"/>
                                </a:xfrm>
                                <a:prstGeom prst="rect">
                                  <a:avLst/>
                                </a:prstGeom>
                                <a:noFill/>
                                <a:ln>
                                  <a:noFill/>
                                </a:ln>
                              </pic:spPr>
                            </pic:pic>
                          </a:graphicData>
                        </a:graphic>
                      </wp:inline>
                    </w:drawing>
                  </w:r>
                </w:p>
              </w:tc>
            </w:tr>
            <w:tr w14:paraId="09C88C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58" w:type="pct"/>
                  <w:noWrap w:val="0"/>
                  <w:vAlign w:val="center"/>
                </w:tcPr>
                <w:p w14:paraId="57E99EF6">
                  <w:pPr>
                    <w:keepNext w:val="0"/>
                    <w:keepLines w:val="0"/>
                    <w:pageBreakBefore w:val="0"/>
                    <w:widowControl w:val="0"/>
                    <w:suppressLineNumbers w:val="0"/>
                    <w:kinsoku/>
                    <w:wordWrap/>
                    <w:overflowPunct/>
                    <w:topLinePunct w:val="0"/>
                    <w:bidi w:val="0"/>
                    <w:snapToGrid w:val="0"/>
                    <w:spacing w:before="0" w:beforeAutospacing="0" w:after="0" w:afterAutospacing="0"/>
                    <w:ind w:left="0" w:right="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排气筒</w:t>
                  </w:r>
                </w:p>
              </w:tc>
              <w:tc>
                <w:tcPr>
                  <w:tcW w:w="1680" w:type="pct"/>
                  <w:noWrap w:val="0"/>
                  <w:vAlign w:val="center"/>
                </w:tcPr>
                <w:p w14:paraId="77B001E1">
                  <w:pPr>
                    <w:keepNext w:val="0"/>
                    <w:keepLines w:val="0"/>
                    <w:pageBreakBefore w:val="0"/>
                    <w:widowControl w:val="0"/>
                    <w:suppressLineNumbers w:val="0"/>
                    <w:kinsoku/>
                    <w:wordWrap/>
                    <w:overflowPunct/>
                    <w:topLinePunct w:val="0"/>
                    <w:bidi w:val="0"/>
                    <w:snapToGrid w:val="0"/>
                    <w:spacing w:before="0" w:beforeAutospacing="0" w:after="0" w:afterAutospacing="0"/>
                    <w:ind w:left="0" w:right="0"/>
                    <w:jc w:val="center"/>
                    <w:textAlignment w:val="auto"/>
                    <w:rPr>
                      <w:rFonts w:hint="default" w:ascii="Times New Roman" w:hAnsi="Times New Roman" w:eastAsia="宋体" w:cs="Times New Roman"/>
                      <w:color w:val="000000" w:themeColor="text1"/>
                      <w:sz w:val="21"/>
                      <w:szCs w:val="21"/>
                      <w:highlight w:val="none"/>
                      <w:u w:val="none" w:color="auto"/>
                      <w:lang w:val="en-US"/>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DA0</w:t>
                  </w: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01</w:t>
                  </w: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-DA0</w:t>
                  </w: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0</w:t>
                  </w:r>
                  <w:r>
                    <w:rPr>
                      <w:rFonts w:hint="eastAsia" w:cs="Times New Roman"/>
                      <w:color w:val="000000" w:themeColor="text1"/>
                      <w:sz w:val="21"/>
                      <w:szCs w:val="21"/>
                      <w:highlight w:val="none"/>
                      <w:u w:val="none" w:color="auto"/>
                      <w:lang w:val="en-US" w:eastAsia="zh-CN"/>
                      <w14:textFill>
                        <w14:solidFill>
                          <w14:schemeClr w14:val="tx1"/>
                        </w14:solidFill>
                      </w14:textFill>
                    </w:rPr>
                    <w:t>3</w:t>
                  </w:r>
                </w:p>
              </w:tc>
              <w:tc>
                <w:tcPr>
                  <w:tcW w:w="1661" w:type="pct"/>
                  <w:noWrap w:val="0"/>
                  <w:vAlign w:val="center"/>
                </w:tcPr>
                <w:p w14:paraId="5B1F32FA">
                  <w:pPr>
                    <w:keepNext w:val="0"/>
                    <w:keepLines w:val="0"/>
                    <w:pageBreakBefore w:val="0"/>
                    <w:widowControl w:val="0"/>
                    <w:suppressLineNumbers w:val="0"/>
                    <w:kinsoku/>
                    <w:wordWrap/>
                    <w:overflowPunct/>
                    <w:topLinePunct w:val="0"/>
                    <w:bidi w:val="0"/>
                    <w:snapToGrid w:val="0"/>
                    <w:spacing w:before="0" w:beforeAutospacing="0" w:after="0" w:afterAutospacing="0"/>
                    <w:ind w:left="0" w:right="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drawing>
                      <wp:anchor distT="0" distB="0" distL="114300" distR="114300" simplePos="0" relativeHeight="251659264" behindDoc="0" locked="0" layoutInCell="1" allowOverlap="1">
                        <wp:simplePos x="0" y="0"/>
                        <wp:positionH relativeFrom="margin">
                          <wp:align>center</wp:align>
                        </wp:positionH>
                        <wp:positionV relativeFrom="margin">
                          <wp:align>top</wp:align>
                        </wp:positionV>
                        <wp:extent cx="970915" cy="608965"/>
                        <wp:effectExtent l="0" t="0" r="635" b="635"/>
                        <wp:wrapSquare wrapText="bothSides"/>
                        <wp:docPr id="21" name="图片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30"/>
                                <pic:cNvPicPr>
                                  <a:picLocks noChangeAspect="1"/>
                                </pic:cNvPicPr>
                              </pic:nvPicPr>
                              <pic:blipFill>
                                <a:blip r:embed="rId28"/>
                                <a:stretch>
                                  <a:fillRect/>
                                </a:stretch>
                              </pic:blipFill>
                              <pic:spPr>
                                <a:xfrm>
                                  <a:off x="0" y="0"/>
                                  <a:ext cx="970915" cy="608965"/>
                                </a:xfrm>
                                <a:prstGeom prst="rect">
                                  <a:avLst/>
                                </a:prstGeom>
                                <a:noFill/>
                                <a:ln>
                                  <a:noFill/>
                                </a:ln>
                              </pic:spPr>
                            </pic:pic>
                          </a:graphicData>
                        </a:graphic>
                      </wp:anchor>
                    </w:drawing>
                  </w:r>
                </w:p>
              </w:tc>
            </w:tr>
            <w:tr w14:paraId="2DDD08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58" w:type="pct"/>
                  <w:noWrap w:val="0"/>
                  <w:vAlign w:val="center"/>
                </w:tcPr>
                <w:p w14:paraId="664572CA">
                  <w:pPr>
                    <w:keepNext w:val="0"/>
                    <w:keepLines w:val="0"/>
                    <w:pageBreakBefore w:val="0"/>
                    <w:widowControl w:val="0"/>
                    <w:suppressLineNumbers w:val="0"/>
                    <w:kinsoku/>
                    <w:wordWrap/>
                    <w:overflowPunct/>
                    <w:topLinePunct w:val="0"/>
                    <w:bidi w:val="0"/>
                    <w:snapToGrid w:val="0"/>
                    <w:spacing w:before="0" w:beforeAutospacing="0" w:after="0" w:afterAutospacing="0"/>
                    <w:ind w:left="0" w:right="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噪声源</w:t>
                  </w:r>
                </w:p>
              </w:tc>
              <w:tc>
                <w:tcPr>
                  <w:tcW w:w="1680" w:type="pct"/>
                  <w:noWrap w:val="0"/>
                  <w:vAlign w:val="center"/>
                </w:tcPr>
                <w:p w14:paraId="70523F27">
                  <w:pPr>
                    <w:keepNext w:val="0"/>
                    <w:keepLines w:val="0"/>
                    <w:pageBreakBefore w:val="0"/>
                    <w:widowControl w:val="0"/>
                    <w:suppressLineNumbers w:val="0"/>
                    <w:kinsoku/>
                    <w:wordWrap/>
                    <w:overflowPunct/>
                    <w:topLinePunct w:val="0"/>
                    <w:bidi w:val="0"/>
                    <w:snapToGrid w:val="0"/>
                    <w:spacing w:before="0" w:beforeAutospacing="0" w:after="0" w:afterAutospacing="0"/>
                    <w:ind w:left="0" w:right="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ZS001</w:t>
                  </w:r>
                </w:p>
              </w:tc>
              <w:tc>
                <w:tcPr>
                  <w:tcW w:w="1661" w:type="pct"/>
                  <w:noWrap w:val="0"/>
                  <w:vAlign w:val="center"/>
                </w:tcPr>
                <w:p w14:paraId="0385F7C9">
                  <w:pPr>
                    <w:keepNext w:val="0"/>
                    <w:keepLines w:val="0"/>
                    <w:pageBreakBefore w:val="0"/>
                    <w:widowControl w:val="0"/>
                    <w:suppressLineNumbers w:val="0"/>
                    <w:kinsoku/>
                    <w:wordWrap/>
                    <w:overflowPunct/>
                    <w:topLinePunct w:val="0"/>
                    <w:bidi w:val="0"/>
                    <w:snapToGrid w:val="0"/>
                    <w:spacing w:before="0" w:beforeAutospacing="0" w:after="0" w:afterAutospacing="0"/>
                    <w:ind w:left="0" w:right="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drawing>
                      <wp:anchor distT="0" distB="0" distL="114300" distR="114300" simplePos="0" relativeHeight="251660288" behindDoc="0" locked="0" layoutInCell="1" allowOverlap="1">
                        <wp:simplePos x="0" y="0"/>
                        <wp:positionH relativeFrom="margin">
                          <wp:posOffset>278130</wp:posOffset>
                        </wp:positionH>
                        <wp:positionV relativeFrom="margin">
                          <wp:posOffset>12700</wp:posOffset>
                        </wp:positionV>
                        <wp:extent cx="939165" cy="607060"/>
                        <wp:effectExtent l="0" t="0" r="13335" b="2540"/>
                        <wp:wrapSquare wrapText="bothSides"/>
                        <wp:docPr id="22" name="图片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31"/>
                                <pic:cNvPicPr>
                                  <a:picLocks noChangeAspect="1"/>
                                </pic:cNvPicPr>
                              </pic:nvPicPr>
                              <pic:blipFill>
                                <a:blip r:embed="rId29"/>
                                <a:stretch>
                                  <a:fillRect/>
                                </a:stretch>
                              </pic:blipFill>
                              <pic:spPr>
                                <a:xfrm>
                                  <a:off x="0" y="0"/>
                                  <a:ext cx="939165" cy="607060"/>
                                </a:xfrm>
                                <a:prstGeom prst="rect">
                                  <a:avLst/>
                                </a:prstGeom>
                                <a:noFill/>
                                <a:ln>
                                  <a:noFill/>
                                </a:ln>
                              </pic:spPr>
                            </pic:pic>
                          </a:graphicData>
                        </a:graphic>
                      </wp:anchor>
                    </w:drawing>
                  </w:r>
                </w:p>
              </w:tc>
            </w:tr>
            <w:tr w14:paraId="24478D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58" w:type="pct"/>
                  <w:noWrap w:val="0"/>
                  <w:vAlign w:val="center"/>
                </w:tcPr>
                <w:p w14:paraId="47BABB47">
                  <w:pPr>
                    <w:keepNext w:val="0"/>
                    <w:keepLines w:val="0"/>
                    <w:pageBreakBefore w:val="0"/>
                    <w:widowControl w:val="0"/>
                    <w:suppressLineNumbers w:val="0"/>
                    <w:kinsoku/>
                    <w:wordWrap/>
                    <w:overflowPunct/>
                    <w:topLinePunct w:val="0"/>
                    <w:bidi w:val="0"/>
                    <w:snapToGrid w:val="0"/>
                    <w:spacing w:before="0" w:beforeAutospacing="0" w:after="0" w:afterAutospacing="0"/>
                    <w:ind w:left="0" w:right="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固废堆放场所</w:t>
                  </w:r>
                </w:p>
              </w:tc>
              <w:tc>
                <w:tcPr>
                  <w:tcW w:w="1680" w:type="pct"/>
                  <w:noWrap w:val="0"/>
                  <w:vAlign w:val="center"/>
                </w:tcPr>
                <w:p w14:paraId="21579733">
                  <w:pPr>
                    <w:keepNext w:val="0"/>
                    <w:keepLines w:val="0"/>
                    <w:pageBreakBefore w:val="0"/>
                    <w:widowControl w:val="0"/>
                    <w:suppressLineNumbers w:val="0"/>
                    <w:kinsoku/>
                    <w:wordWrap/>
                    <w:overflowPunct/>
                    <w:topLinePunct w:val="0"/>
                    <w:bidi w:val="0"/>
                    <w:snapToGrid w:val="0"/>
                    <w:spacing w:before="0" w:beforeAutospacing="0" w:after="0" w:afterAutospacing="0"/>
                    <w:ind w:left="0" w:right="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TS001</w:t>
                  </w:r>
                </w:p>
              </w:tc>
              <w:tc>
                <w:tcPr>
                  <w:tcW w:w="1661" w:type="pct"/>
                  <w:noWrap w:val="0"/>
                  <w:vAlign w:val="center"/>
                </w:tcPr>
                <w:p w14:paraId="3D277B14">
                  <w:pPr>
                    <w:keepNext w:val="0"/>
                    <w:keepLines w:val="0"/>
                    <w:pageBreakBefore w:val="0"/>
                    <w:widowControl w:val="0"/>
                    <w:suppressLineNumbers w:val="0"/>
                    <w:kinsoku/>
                    <w:wordWrap/>
                    <w:overflowPunct/>
                    <w:topLinePunct w:val="0"/>
                    <w:bidi w:val="0"/>
                    <w:snapToGrid w:val="0"/>
                    <w:spacing w:before="0" w:beforeAutospacing="0" w:after="0" w:afterAutospacing="0"/>
                    <w:ind w:left="0" w:right="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drawing>
                      <wp:anchor distT="0" distB="0" distL="114300" distR="114300" simplePos="0" relativeHeight="251661312" behindDoc="0" locked="0" layoutInCell="1" allowOverlap="1">
                        <wp:simplePos x="0" y="0"/>
                        <wp:positionH relativeFrom="margin">
                          <wp:posOffset>248920</wp:posOffset>
                        </wp:positionH>
                        <wp:positionV relativeFrom="margin">
                          <wp:posOffset>0</wp:posOffset>
                        </wp:positionV>
                        <wp:extent cx="911225" cy="593090"/>
                        <wp:effectExtent l="0" t="0" r="3175" b="16510"/>
                        <wp:wrapSquare wrapText="bothSides"/>
                        <wp:docPr id="23" name="图片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2"/>
                                <pic:cNvPicPr>
                                  <a:picLocks noChangeAspect="1"/>
                                </pic:cNvPicPr>
                              </pic:nvPicPr>
                              <pic:blipFill>
                                <a:blip r:embed="rId30"/>
                                <a:stretch>
                                  <a:fillRect/>
                                </a:stretch>
                              </pic:blipFill>
                              <pic:spPr>
                                <a:xfrm>
                                  <a:off x="0" y="0"/>
                                  <a:ext cx="911225" cy="593090"/>
                                </a:xfrm>
                                <a:prstGeom prst="rect">
                                  <a:avLst/>
                                </a:prstGeom>
                                <a:noFill/>
                                <a:ln>
                                  <a:noFill/>
                                </a:ln>
                              </pic:spPr>
                            </pic:pic>
                          </a:graphicData>
                        </a:graphic>
                      </wp:anchor>
                    </w:drawing>
                  </w:r>
                </w:p>
              </w:tc>
            </w:tr>
            <w:tr w14:paraId="20212F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58" w:type="pct"/>
                  <w:noWrap w:val="0"/>
                  <w:vAlign w:val="center"/>
                </w:tcPr>
                <w:p w14:paraId="3A0B4E66">
                  <w:pPr>
                    <w:keepNext w:val="0"/>
                    <w:keepLines w:val="0"/>
                    <w:pageBreakBefore w:val="0"/>
                    <w:widowControl w:val="0"/>
                    <w:suppressLineNumbers w:val="0"/>
                    <w:kinsoku/>
                    <w:wordWrap/>
                    <w:overflowPunct/>
                    <w:topLinePunct w:val="0"/>
                    <w:bidi w:val="0"/>
                    <w:snapToGrid w:val="0"/>
                    <w:spacing w:before="0" w:beforeAutospacing="0" w:after="0" w:afterAutospacing="0"/>
                    <w:ind w:left="0" w:right="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危废暂存间</w:t>
                  </w:r>
                </w:p>
              </w:tc>
              <w:tc>
                <w:tcPr>
                  <w:tcW w:w="1680" w:type="pct"/>
                  <w:noWrap w:val="0"/>
                  <w:vAlign w:val="center"/>
                </w:tcPr>
                <w:p w14:paraId="41DD2C1C">
                  <w:pPr>
                    <w:keepNext w:val="0"/>
                    <w:keepLines w:val="0"/>
                    <w:pageBreakBefore w:val="0"/>
                    <w:widowControl w:val="0"/>
                    <w:suppressLineNumbers w:val="0"/>
                    <w:kinsoku/>
                    <w:wordWrap/>
                    <w:overflowPunct/>
                    <w:topLinePunct w:val="0"/>
                    <w:bidi w:val="0"/>
                    <w:snapToGrid w:val="0"/>
                    <w:spacing w:before="0" w:beforeAutospacing="0" w:after="0" w:afterAutospacing="0"/>
                    <w:ind w:left="0" w:right="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TS002</w:t>
                  </w:r>
                </w:p>
              </w:tc>
              <w:tc>
                <w:tcPr>
                  <w:tcW w:w="1661" w:type="pct"/>
                  <w:noWrap w:val="0"/>
                  <w:vAlign w:val="center"/>
                </w:tcPr>
                <w:p w14:paraId="76914CA1">
                  <w:pPr>
                    <w:keepNext w:val="0"/>
                    <w:keepLines w:val="0"/>
                    <w:pageBreakBefore w:val="0"/>
                    <w:widowControl w:val="0"/>
                    <w:suppressLineNumbers w:val="0"/>
                    <w:kinsoku/>
                    <w:wordWrap/>
                    <w:overflowPunct/>
                    <w:topLinePunct w:val="0"/>
                    <w:bidi w:val="0"/>
                    <w:snapToGrid w:val="0"/>
                    <w:spacing w:before="0" w:beforeAutospacing="0" w:after="0" w:afterAutospacing="0"/>
                    <w:ind w:left="0" w:right="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drawing>
                      <wp:anchor distT="0" distB="0" distL="114300" distR="114300" simplePos="0" relativeHeight="251662336" behindDoc="1" locked="0" layoutInCell="1" allowOverlap="1">
                        <wp:simplePos x="0" y="0"/>
                        <wp:positionH relativeFrom="column">
                          <wp:posOffset>21590</wp:posOffset>
                        </wp:positionH>
                        <wp:positionV relativeFrom="paragraph">
                          <wp:posOffset>4445</wp:posOffset>
                        </wp:positionV>
                        <wp:extent cx="1312545" cy="811530"/>
                        <wp:effectExtent l="0" t="0" r="1905" b="7620"/>
                        <wp:wrapTight wrapText="bothSides">
                          <wp:wrapPolygon>
                            <wp:start x="0" y="0"/>
                            <wp:lineTo x="0" y="21296"/>
                            <wp:lineTo x="21318" y="21296"/>
                            <wp:lineTo x="21318" y="0"/>
                            <wp:lineTo x="0" y="0"/>
                          </wp:wrapPolygon>
                        </wp:wrapTight>
                        <wp:docPr id="24" name="图片 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837"/>
                                <pic:cNvPicPr>
                                  <a:picLocks noChangeAspect="1"/>
                                </pic:cNvPicPr>
                              </pic:nvPicPr>
                              <pic:blipFill>
                                <a:blip r:embed="rId31"/>
                                <a:stretch>
                                  <a:fillRect/>
                                </a:stretch>
                              </pic:blipFill>
                              <pic:spPr>
                                <a:xfrm>
                                  <a:off x="0" y="0"/>
                                  <a:ext cx="1312545" cy="811530"/>
                                </a:xfrm>
                                <a:prstGeom prst="rect">
                                  <a:avLst/>
                                </a:prstGeom>
                                <a:noFill/>
                                <a:ln>
                                  <a:noFill/>
                                </a:ln>
                              </pic:spPr>
                            </pic:pic>
                          </a:graphicData>
                        </a:graphic>
                      </wp:anchor>
                    </w:drawing>
                  </w:r>
                </w:p>
                <w:p w14:paraId="3CDBC547">
                  <w:pPr>
                    <w:keepNext w:val="0"/>
                    <w:keepLines w:val="0"/>
                    <w:pageBreakBefore w:val="0"/>
                    <w:widowControl w:val="0"/>
                    <w:suppressLineNumbers w:val="0"/>
                    <w:kinsoku/>
                    <w:wordWrap/>
                    <w:overflowPunct/>
                    <w:topLinePunct w:val="0"/>
                    <w:bidi w:val="0"/>
                    <w:snapToGrid w:val="0"/>
                    <w:spacing w:before="0" w:beforeAutospacing="0" w:after="0" w:afterAutospacing="0"/>
                    <w:ind w:left="0" w:right="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p w14:paraId="4DBF05E7">
                  <w:pPr>
                    <w:pStyle w:val="47"/>
                    <w:keepNext w:val="0"/>
                    <w:keepLines w:val="0"/>
                    <w:pageBreakBefore w:val="0"/>
                    <w:widowControl w:val="0"/>
                    <w:suppressLineNumbers w:val="0"/>
                    <w:kinsoku/>
                    <w:wordWrap/>
                    <w:overflowPunct/>
                    <w:topLinePunct w:val="0"/>
                    <w:bidi w:val="0"/>
                    <w:spacing w:before="0" w:beforeAutospacing="0" w:after="0" w:afterAutospacing="0"/>
                    <w:ind w:left="0" w:right="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p w14:paraId="434A12A7">
                  <w:pPr>
                    <w:pStyle w:val="47"/>
                    <w:keepNext w:val="0"/>
                    <w:keepLines w:val="0"/>
                    <w:pageBreakBefore w:val="0"/>
                    <w:widowControl w:val="0"/>
                    <w:suppressLineNumbers w:val="0"/>
                    <w:kinsoku/>
                    <w:wordWrap/>
                    <w:overflowPunct/>
                    <w:topLinePunct w:val="0"/>
                    <w:bidi w:val="0"/>
                    <w:spacing w:before="0" w:beforeAutospacing="0" w:after="0" w:afterAutospacing="0"/>
                    <w:ind w:left="0" w:right="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r>
          </w:tbl>
          <w:p w14:paraId="7766D5A4">
            <w:pPr>
              <w:keepNext w:val="0"/>
              <w:keepLines w:val="0"/>
              <w:suppressLineNumbers w:val="0"/>
              <w:adjustRightInd w:val="0"/>
              <w:snapToGrid w:val="0"/>
              <w:spacing w:before="0" w:beforeAutospacing="0" w:after="0" w:afterAutospacing="0" w:line="360" w:lineRule="auto"/>
              <w:ind w:left="0" w:right="0" w:firstLine="482" w:firstLineChars="200"/>
              <w:rPr>
                <w:rFonts w:hint="default" w:ascii="Times New Roman" w:hAnsi="Times New Roman" w:eastAsia="宋体" w:cs="Times New Roman"/>
                <w:b/>
                <w:color w:val="000000" w:themeColor="text1"/>
                <w:sz w:val="24"/>
                <w:szCs w:val="24"/>
                <w:highlight w:val="none"/>
                <w:u w:val="none" w:color="auto"/>
                <w14:textFill>
                  <w14:solidFill>
                    <w14:schemeClr w14:val="tx1"/>
                  </w14:solidFill>
                </w14:textFill>
              </w:rPr>
            </w:pPr>
            <w:r>
              <w:rPr>
                <w:rFonts w:hint="default" w:ascii="Times New Roman" w:hAnsi="Times New Roman" w:eastAsia="宋体" w:cs="Times New Roman"/>
                <w:b/>
                <w:color w:val="000000" w:themeColor="text1"/>
                <w:sz w:val="24"/>
                <w:szCs w:val="24"/>
                <w:highlight w:val="none"/>
                <w:u w:val="none" w:color="auto"/>
                <w14:textFill>
                  <w14:solidFill>
                    <w14:schemeClr w14:val="tx1"/>
                  </w14:solidFill>
                </w14:textFill>
              </w:rPr>
              <w:t>10、环保投资</w:t>
            </w:r>
          </w:p>
          <w:p w14:paraId="4BDF93F9">
            <w:pPr>
              <w:keepNext w:val="0"/>
              <w:keepLines w:val="0"/>
              <w:suppressLineNumbers w:val="0"/>
              <w:adjustRightInd w:val="0"/>
              <w:snapToGrid w:val="0"/>
              <w:spacing w:before="0" w:beforeAutospacing="0" w:after="0" w:afterAutospacing="0" w:line="360" w:lineRule="auto"/>
              <w:ind w:left="720" w:right="0" w:hanging="720"/>
              <w:jc w:val="center"/>
              <w:textAlignment w:val="baseline"/>
              <w:rPr>
                <w:rFonts w:hint="default" w:ascii="Times New Roman" w:hAnsi="Times New Roman" w:eastAsia="宋体" w:cs="Times New Roman"/>
                <w:b/>
                <w:color w:val="000000" w:themeColor="text1"/>
                <w:kern w:val="2"/>
                <w:sz w:val="24"/>
                <w:szCs w:val="24"/>
                <w:highlight w:val="none"/>
                <w:u w:val="none" w:color="auto"/>
                <w:lang w:val="en-GB" w:eastAsia="zh-TW" w:bidi="ar-SA"/>
                <w14:textFill>
                  <w14:solidFill>
                    <w14:schemeClr w14:val="tx1"/>
                  </w14:solidFill>
                </w14:textFill>
              </w:rPr>
            </w:pPr>
            <w:r>
              <w:rPr>
                <w:rFonts w:hint="default" w:ascii="Times New Roman" w:hAnsi="Times New Roman" w:eastAsia="宋体" w:cs="Times New Roman"/>
                <w:b/>
                <w:color w:val="000000" w:themeColor="text1"/>
                <w:kern w:val="2"/>
                <w:sz w:val="24"/>
                <w:szCs w:val="24"/>
                <w:highlight w:val="none"/>
                <w:u w:val="none" w:color="auto"/>
                <w:lang w:val="en-US" w:eastAsia="zh-CN" w:bidi="ar-SA"/>
                <w14:textFill>
                  <w14:solidFill>
                    <w14:schemeClr w14:val="tx1"/>
                  </w14:solidFill>
                </w14:textFill>
              </w:rPr>
              <w:t>表4-</w:t>
            </w:r>
            <w:r>
              <w:rPr>
                <w:rFonts w:hint="eastAsia" w:ascii="Times New Roman" w:hAnsi="Times New Roman" w:eastAsia="宋体" w:cs="Times New Roman"/>
                <w:b/>
                <w:color w:val="000000" w:themeColor="text1"/>
                <w:kern w:val="2"/>
                <w:sz w:val="24"/>
                <w:szCs w:val="24"/>
                <w:highlight w:val="none"/>
                <w:u w:val="none" w:color="auto"/>
                <w:lang w:val="en-US" w:eastAsia="zh-CN" w:bidi="ar-SA"/>
                <w14:textFill>
                  <w14:solidFill>
                    <w14:schemeClr w14:val="tx1"/>
                  </w14:solidFill>
                </w14:textFill>
              </w:rPr>
              <w:t>32</w:t>
            </w:r>
            <w:r>
              <w:rPr>
                <w:rFonts w:hint="default" w:ascii="Times New Roman" w:hAnsi="Times New Roman" w:eastAsia="宋体" w:cs="Times New Roman"/>
                <w:b/>
                <w:color w:val="000000" w:themeColor="text1"/>
                <w:kern w:val="2"/>
                <w:sz w:val="24"/>
                <w:szCs w:val="24"/>
                <w:highlight w:val="none"/>
                <w:u w:val="none" w:color="auto"/>
                <w:lang w:val="en-US" w:eastAsia="zh-CN" w:bidi="ar-SA"/>
                <w14:textFill>
                  <w14:solidFill>
                    <w14:schemeClr w14:val="tx1"/>
                  </w14:solidFill>
                </w14:textFill>
              </w:rPr>
              <w:t xml:space="preserve">  </w:t>
            </w:r>
            <w:r>
              <w:rPr>
                <w:rFonts w:hint="default" w:ascii="Times New Roman" w:hAnsi="Times New Roman" w:eastAsia="宋体" w:cs="Times New Roman"/>
                <w:b/>
                <w:color w:val="000000" w:themeColor="text1"/>
                <w:kern w:val="2"/>
                <w:sz w:val="24"/>
                <w:szCs w:val="24"/>
                <w:highlight w:val="none"/>
                <w:u w:val="none" w:color="auto"/>
                <w:lang w:val="en-GB" w:eastAsia="zh-TW" w:bidi="ar-SA"/>
                <w14:textFill>
                  <w14:solidFill>
                    <w14:schemeClr w14:val="tx1"/>
                  </w14:solidFill>
                </w14:textFill>
              </w:rPr>
              <w:t>本工程环保投资一览表</w:t>
            </w:r>
          </w:p>
          <w:tbl>
            <w:tblPr>
              <w:tblStyle w:val="29"/>
              <w:tblW w:w="499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51"/>
              <w:gridCol w:w="489"/>
              <w:gridCol w:w="938"/>
              <w:gridCol w:w="1601"/>
              <w:gridCol w:w="1131"/>
              <w:gridCol w:w="3512"/>
              <w:gridCol w:w="1122"/>
            </w:tblGrid>
            <w:tr w14:paraId="14F474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44" w:type="pct"/>
                  <w:noWrap w:val="0"/>
                  <w:tcMar>
                    <w:top w:w="57" w:type="dxa"/>
                    <w:bottom w:w="57" w:type="dxa"/>
                  </w:tcMar>
                  <w:vAlign w:val="center"/>
                </w:tcPr>
                <w:p w14:paraId="3A5DA9DA">
                  <w:pPr>
                    <w:keepNext w:val="0"/>
                    <w:keepLines w:val="0"/>
                    <w:pageBreakBefore w:val="0"/>
                    <w:suppressLineNumbers w:val="0"/>
                    <w:kinsoku/>
                    <w:wordWrap/>
                    <w:overflowPunct/>
                    <w:topLinePunct w:val="0"/>
                    <w:bidi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类型</w:t>
                  </w:r>
                </w:p>
              </w:tc>
              <w:tc>
                <w:tcPr>
                  <w:tcW w:w="1603" w:type="pct"/>
                  <w:gridSpan w:val="3"/>
                  <w:noWrap w:val="0"/>
                  <w:tcMar>
                    <w:top w:w="57" w:type="dxa"/>
                    <w:bottom w:w="57" w:type="dxa"/>
                  </w:tcMar>
                  <w:vAlign w:val="center"/>
                </w:tcPr>
                <w:p w14:paraId="4C31AE96">
                  <w:pPr>
                    <w:keepNext w:val="0"/>
                    <w:keepLines w:val="0"/>
                    <w:pageBreakBefore w:val="0"/>
                    <w:suppressLineNumbers w:val="0"/>
                    <w:kinsoku/>
                    <w:wordWrap/>
                    <w:overflowPunct/>
                    <w:topLinePunct w:val="0"/>
                    <w:bidi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主要污染源</w:t>
                  </w:r>
                </w:p>
              </w:tc>
              <w:tc>
                <w:tcPr>
                  <w:tcW w:w="598" w:type="pct"/>
                  <w:noWrap w:val="0"/>
                  <w:tcMar>
                    <w:top w:w="57" w:type="dxa"/>
                    <w:bottom w:w="57" w:type="dxa"/>
                  </w:tcMar>
                  <w:vAlign w:val="center"/>
                </w:tcPr>
                <w:p w14:paraId="25F4D0B2">
                  <w:pPr>
                    <w:keepNext w:val="0"/>
                    <w:keepLines w:val="0"/>
                    <w:pageBreakBefore w:val="0"/>
                    <w:suppressLineNumbers w:val="0"/>
                    <w:kinsoku/>
                    <w:wordWrap/>
                    <w:overflowPunct/>
                    <w:topLinePunct w:val="0"/>
                    <w:bidi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主要污染物</w:t>
                  </w:r>
                </w:p>
              </w:tc>
              <w:tc>
                <w:tcPr>
                  <w:tcW w:w="1859" w:type="pct"/>
                  <w:noWrap w:val="0"/>
                  <w:tcMar>
                    <w:top w:w="57" w:type="dxa"/>
                    <w:bottom w:w="57" w:type="dxa"/>
                  </w:tcMar>
                  <w:vAlign w:val="center"/>
                </w:tcPr>
                <w:p w14:paraId="4BD06486">
                  <w:pPr>
                    <w:keepNext w:val="0"/>
                    <w:keepLines w:val="0"/>
                    <w:pageBreakBefore w:val="0"/>
                    <w:suppressLineNumbers w:val="0"/>
                    <w:kinsoku/>
                    <w:wordWrap/>
                    <w:overflowPunct/>
                    <w:topLinePunct w:val="0"/>
                    <w:bidi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采取措施</w:t>
                  </w:r>
                </w:p>
              </w:tc>
              <w:tc>
                <w:tcPr>
                  <w:tcW w:w="594" w:type="pct"/>
                  <w:noWrap w:val="0"/>
                  <w:vAlign w:val="center"/>
                </w:tcPr>
                <w:p w14:paraId="09B7BF17">
                  <w:pPr>
                    <w:keepNext w:val="0"/>
                    <w:keepLines w:val="0"/>
                    <w:pageBreakBefore w:val="0"/>
                    <w:suppressLineNumbers w:val="0"/>
                    <w:kinsoku/>
                    <w:wordWrap/>
                    <w:overflowPunct/>
                    <w:topLinePunct w:val="0"/>
                    <w:bidi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环保投资</w:t>
                  </w:r>
                </w:p>
                <w:p w14:paraId="2CF488FE">
                  <w:pPr>
                    <w:keepNext w:val="0"/>
                    <w:keepLines w:val="0"/>
                    <w:pageBreakBefore w:val="0"/>
                    <w:suppressLineNumbers w:val="0"/>
                    <w:kinsoku/>
                    <w:wordWrap/>
                    <w:overflowPunct/>
                    <w:topLinePunct w:val="0"/>
                    <w:bidi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（万元）</w:t>
                  </w:r>
                </w:p>
              </w:tc>
            </w:tr>
            <w:tr w14:paraId="00E474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44" w:type="pct"/>
                  <w:noWrap w:val="0"/>
                  <w:tcMar>
                    <w:top w:w="57" w:type="dxa"/>
                    <w:bottom w:w="57" w:type="dxa"/>
                  </w:tcMar>
                  <w:vAlign w:val="center"/>
                </w:tcPr>
                <w:p w14:paraId="4B33A005">
                  <w:pPr>
                    <w:keepNext w:val="0"/>
                    <w:keepLines w:val="0"/>
                    <w:pageBreakBefore w:val="0"/>
                    <w:suppressLineNumbers w:val="0"/>
                    <w:kinsoku/>
                    <w:wordWrap/>
                    <w:overflowPunct/>
                    <w:topLinePunct w:val="0"/>
                    <w:bidi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eastAsia" w:cs="Times New Roman"/>
                      <w:color w:val="000000" w:themeColor="text1"/>
                      <w:sz w:val="21"/>
                      <w:szCs w:val="21"/>
                      <w:highlight w:val="none"/>
                      <w:u w:val="none" w:color="auto"/>
                      <w:lang w:val="en-US" w:eastAsia="zh-CN"/>
                      <w14:textFill>
                        <w14:solidFill>
                          <w14:schemeClr w14:val="tx1"/>
                        </w14:solidFill>
                      </w14:textFill>
                    </w:rPr>
                    <w:t>废水</w:t>
                  </w:r>
                </w:p>
              </w:tc>
              <w:tc>
                <w:tcPr>
                  <w:tcW w:w="1603" w:type="pct"/>
                  <w:gridSpan w:val="3"/>
                  <w:noWrap w:val="0"/>
                  <w:tcMar>
                    <w:top w:w="57" w:type="dxa"/>
                    <w:bottom w:w="57" w:type="dxa"/>
                  </w:tcMar>
                  <w:vAlign w:val="center"/>
                </w:tcPr>
                <w:p w14:paraId="29093FAD">
                  <w:pPr>
                    <w:keepNext w:val="0"/>
                    <w:keepLines w:val="0"/>
                    <w:pageBreakBefore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职工生活污水</w:t>
                  </w:r>
                </w:p>
              </w:tc>
              <w:tc>
                <w:tcPr>
                  <w:tcW w:w="598" w:type="pct"/>
                  <w:noWrap w:val="0"/>
                  <w:tcMar>
                    <w:top w:w="57" w:type="dxa"/>
                    <w:bottom w:w="57" w:type="dxa"/>
                  </w:tcMar>
                  <w:vAlign w:val="center"/>
                </w:tcPr>
                <w:p w14:paraId="3C1B807D">
                  <w:pPr>
                    <w:keepNext w:val="0"/>
                    <w:keepLines w:val="0"/>
                    <w:pageBreakBefore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COD、BOD</w:t>
                  </w:r>
                  <w:r>
                    <w:rPr>
                      <w:rFonts w:hint="default" w:ascii="Times New Roman" w:hAnsi="Times New Roman" w:eastAsia="宋体" w:cs="Times New Roman"/>
                      <w:color w:val="000000" w:themeColor="text1"/>
                      <w:sz w:val="21"/>
                      <w:szCs w:val="21"/>
                      <w:highlight w:val="none"/>
                      <w:u w:val="none" w:color="auto"/>
                      <w:vertAlign w:val="subscript"/>
                      <w14:textFill>
                        <w14:solidFill>
                          <w14:schemeClr w14:val="tx1"/>
                        </w14:solidFill>
                      </w14:textFill>
                    </w:rPr>
                    <w:t>5</w:t>
                  </w: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、NH</w:t>
                  </w:r>
                  <w:r>
                    <w:rPr>
                      <w:rFonts w:hint="default" w:ascii="Times New Roman" w:hAnsi="Times New Roman" w:eastAsia="宋体" w:cs="Times New Roman"/>
                      <w:color w:val="000000" w:themeColor="text1"/>
                      <w:sz w:val="21"/>
                      <w:szCs w:val="21"/>
                      <w:highlight w:val="none"/>
                      <w:u w:val="none" w:color="auto"/>
                      <w:vertAlign w:val="subscript"/>
                      <w14:textFill>
                        <w14:solidFill>
                          <w14:schemeClr w14:val="tx1"/>
                        </w14:solidFill>
                      </w14:textFill>
                    </w:rPr>
                    <w:t>3</w:t>
                  </w: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-N、SS、pH</w:t>
                  </w:r>
                </w:p>
              </w:tc>
              <w:tc>
                <w:tcPr>
                  <w:tcW w:w="1859" w:type="pct"/>
                  <w:noWrap w:val="0"/>
                  <w:tcMar>
                    <w:top w:w="57" w:type="dxa"/>
                    <w:bottom w:w="57" w:type="dxa"/>
                  </w:tcMar>
                  <w:vAlign w:val="center"/>
                </w:tcPr>
                <w:p w14:paraId="0C59F041">
                  <w:pPr>
                    <w:keepNext w:val="0"/>
                    <w:keepLines w:val="0"/>
                    <w:pageBreakBefore w:val="0"/>
                    <w:suppressLineNumbers w:val="0"/>
                    <w:kinsoku/>
                    <w:wordWrap/>
                    <w:overflowPunct/>
                    <w:topLinePunct w:val="0"/>
                    <w:bidi w:val="0"/>
                    <w:snapToGrid w:val="0"/>
                    <w:spacing w:before="0" w:beforeAutospacing="0" w:after="0" w:afterAutospacing="0" w:line="240" w:lineRule="auto"/>
                    <w:ind w:left="0" w:right="0"/>
                    <w:jc w:val="center"/>
                    <w:rPr>
                      <w:rFonts w:hint="default" w:ascii="Times New Roman" w:hAnsi="Times New Roman" w:eastAsia="宋体" w:cs="Times New Roman"/>
                      <w:bCs/>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近期，生活污水经化粪池（容积</w:t>
                  </w:r>
                  <w:r>
                    <w:rPr>
                      <w:rFonts w:hint="eastAsia"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10</w:t>
                  </w: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m</w:t>
                  </w:r>
                  <w:r>
                    <w:rPr>
                      <w:rFonts w:hint="default" w:ascii="Times New Roman" w:hAnsi="Times New Roman" w:eastAsia="宋体" w:cs="Times New Roman"/>
                      <w:color w:val="000000" w:themeColor="text1"/>
                      <w:sz w:val="21"/>
                      <w:szCs w:val="21"/>
                      <w:highlight w:val="none"/>
                      <w:u w:val="none" w:color="auto"/>
                      <w:vertAlign w:val="superscript"/>
                      <w14:textFill>
                        <w14:solidFill>
                          <w14:schemeClr w14:val="tx1"/>
                        </w14:solidFill>
                      </w14:textFill>
                    </w:rPr>
                    <w:t>3</w:t>
                  </w: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，三防措施）处理后</w:t>
                  </w: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用于周围农田施肥</w:t>
                  </w:r>
                </w:p>
              </w:tc>
              <w:tc>
                <w:tcPr>
                  <w:tcW w:w="594" w:type="pct"/>
                  <w:noWrap w:val="0"/>
                  <w:vAlign w:val="center"/>
                </w:tcPr>
                <w:p w14:paraId="61DFD6A6">
                  <w:pPr>
                    <w:keepNext w:val="0"/>
                    <w:keepLines w:val="0"/>
                    <w:pageBreakBefore w:val="0"/>
                    <w:suppressLineNumbers w:val="0"/>
                    <w:kinsoku/>
                    <w:wordWrap/>
                    <w:overflowPunct/>
                    <w:topLinePunct w:val="0"/>
                    <w:bidi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eastAsia" w:cs="Times New Roman"/>
                      <w:color w:val="000000" w:themeColor="text1"/>
                      <w:sz w:val="21"/>
                      <w:szCs w:val="21"/>
                      <w:highlight w:val="none"/>
                      <w:u w:val="none" w:color="auto"/>
                      <w:lang w:val="en-US" w:eastAsia="zh-CN"/>
                      <w14:textFill>
                        <w14:solidFill>
                          <w14:schemeClr w14:val="tx1"/>
                        </w14:solidFill>
                      </w14:textFill>
                    </w:rPr>
                    <w:t>5</w:t>
                  </w:r>
                </w:p>
              </w:tc>
            </w:tr>
            <w:tr w14:paraId="0014CD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44" w:type="pct"/>
                  <w:vMerge w:val="restart"/>
                  <w:noWrap w:val="0"/>
                  <w:tcMar>
                    <w:top w:w="57" w:type="dxa"/>
                    <w:bottom w:w="57" w:type="dxa"/>
                  </w:tcMar>
                  <w:vAlign w:val="center"/>
                </w:tcPr>
                <w:p w14:paraId="7E45B061">
                  <w:pPr>
                    <w:keepNext w:val="0"/>
                    <w:keepLines w:val="0"/>
                    <w:pageBreakBefore w:val="0"/>
                    <w:suppressLineNumbers w:val="0"/>
                    <w:kinsoku/>
                    <w:wordWrap/>
                    <w:overflowPunct/>
                    <w:topLinePunct w:val="0"/>
                    <w:bidi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废气</w:t>
                  </w:r>
                </w:p>
              </w:tc>
              <w:tc>
                <w:tcPr>
                  <w:tcW w:w="258" w:type="pct"/>
                  <w:vMerge w:val="restart"/>
                  <w:noWrap w:val="0"/>
                  <w:tcMar>
                    <w:top w:w="57" w:type="dxa"/>
                    <w:bottom w:w="57" w:type="dxa"/>
                  </w:tcMar>
                  <w:vAlign w:val="center"/>
                </w:tcPr>
                <w:p w14:paraId="4E0423FD">
                  <w:pPr>
                    <w:keepNext w:val="0"/>
                    <w:keepLines w:val="0"/>
                    <w:pageBreakBefore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有组织</w:t>
                  </w:r>
                </w:p>
              </w:tc>
              <w:tc>
                <w:tcPr>
                  <w:tcW w:w="496" w:type="pct"/>
                  <w:vMerge w:val="restart"/>
                  <w:noWrap w:val="0"/>
                  <w:tcMar>
                    <w:top w:w="57" w:type="dxa"/>
                    <w:bottom w:w="57" w:type="dxa"/>
                  </w:tcMar>
                  <w:vAlign w:val="center"/>
                </w:tcPr>
                <w:p w14:paraId="14CD06CF">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eastAsia" w:cs="Times New Roman"/>
                      <w:color w:val="000000" w:themeColor="text1"/>
                      <w:sz w:val="21"/>
                      <w:szCs w:val="21"/>
                      <w:highlight w:val="none"/>
                      <w:u w:val="none" w:color="auto"/>
                      <w:lang w:val="en-US" w:eastAsia="zh-CN"/>
                      <w14:textFill>
                        <w14:solidFill>
                          <w14:schemeClr w14:val="tx1"/>
                        </w14:solidFill>
                      </w14:textFill>
                    </w:rPr>
                    <w:t>机制炭</w:t>
                  </w: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生产线</w:t>
                  </w:r>
                </w:p>
              </w:tc>
              <w:tc>
                <w:tcPr>
                  <w:tcW w:w="847" w:type="pct"/>
                  <w:noWrap w:val="0"/>
                  <w:tcMar>
                    <w:top w:w="57" w:type="dxa"/>
                    <w:bottom w:w="57" w:type="dxa"/>
                  </w:tcMar>
                  <w:vAlign w:val="center"/>
                </w:tcPr>
                <w:p w14:paraId="21AFACA3">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eastAsia" w:cs="Times New Roman"/>
                      <w:color w:val="000000" w:themeColor="text1"/>
                      <w:sz w:val="21"/>
                      <w:szCs w:val="21"/>
                      <w:highlight w:val="none"/>
                      <w:u w:val="none" w:color="auto"/>
                      <w:lang w:val="en-US" w:eastAsia="zh-CN"/>
                      <w14:textFill>
                        <w14:solidFill>
                          <w14:schemeClr w14:val="tx1"/>
                        </w14:solidFill>
                      </w14:textFill>
                    </w:rPr>
                    <w:t>破碎、筛分、冷却、锯切、包装工序</w:t>
                  </w:r>
                </w:p>
              </w:tc>
              <w:tc>
                <w:tcPr>
                  <w:tcW w:w="598" w:type="pct"/>
                  <w:noWrap w:val="0"/>
                  <w:tcMar>
                    <w:top w:w="57" w:type="dxa"/>
                    <w:bottom w:w="57" w:type="dxa"/>
                  </w:tcMar>
                  <w:vAlign w:val="center"/>
                </w:tcPr>
                <w:p w14:paraId="490EF209">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颗粒物</w:t>
                  </w:r>
                </w:p>
              </w:tc>
              <w:tc>
                <w:tcPr>
                  <w:tcW w:w="1859" w:type="pct"/>
                  <w:noWrap w:val="0"/>
                  <w:tcMar>
                    <w:top w:w="57" w:type="dxa"/>
                    <w:bottom w:w="57" w:type="dxa"/>
                  </w:tcMar>
                  <w:vAlign w:val="center"/>
                </w:tcPr>
                <w:p w14:paraId="73E0F6A9">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both"/>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eastAsia"/>
                      <w:color w:val="000000" w:themeColor="text1"/>
                      <w:sz w:val="21"/>
                      <w:szCs w:val="21"/>
                      <w:u w:val="none" w:color="auto"/>
                      <w:lang w:val="en-US" w:eastAsia="zh-CN"/>
                      <w14:textFill>
                        <w14:solidFill>
                          <w14:schemeClr w14:val="tx1"/>
                        </w14:solidFill>
                      </w14:textFill>
                    </w:rPr>
                    <w:t>经集气罩收集后管道引至1套袋式除尘器</w:t>
                  </w: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（TA00</w:t>
                  </w:r>
                  <w:r>
                    <w:rPr>
                      <w:rFonts w:hint="eastAsia"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1</w:t>
                  </w: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w:t>
                  </w:r>
                  <w:r>
                    <w:rPr>
                      <w:rFonts w:hint="eastAsia"/>
                      <w:color w:val="000000" w:themeColor="text1"/>
                      <w:sz w:val="21"/>
                      <w:szCs w:val="21"/>
                      <w:u w:val="none" w:color="auto"/>
                      <w:lang w:val="en-US" w:eastAsia="zh-CN"/>
                      <w14:textFill>
                        <w14:solidFill>
                          <w14:schemeClr w14:val="tx1"/>
                        </w14:solidFill>
                      </w14:textFill>
                    </w:rPr>
                    <w:t>收集后，经1根15m高排气筒排放（DA001）</w:t>
                  </w:r>
                </w:p>
              </w:tc>
              <w:tc>
                <w:tcPr>
                  <w:tcW w:w="594" w:type="pct"/>
                  <w:noWrap w:val="0"/>
                  <w:vAlign w:val="center"/>
                </w:tcPr>
                <w:p w14:paraId="49412FBD">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eastAsia" w:cs="Times New Roman"/>
                      <w:color w:val="000000" w:themeColor="text1"/>
                      <w:sz w:val="21"/>
                      <w:szCs w:val="21"/>
                      <w:highlight w:val="none"/>
                      <w:u w:val="none" w:color="auto"/>
                      <w:lang w:val="en-US" w:eastAsia="zh-CN"/>
                      <w14:textFill>
                        <w14:solidFill>
                          <w14:schemeClr w14:val="tx1"/>
                        </w14:solidFill>
                      </w14:textFill>
                    </w:rPr>
                    <w:t>8</w:t>
                  </w:r>
                </w:p>
              </w:tc>
            </w:tr>
            <w:tr w14:paraId="2B1DC1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44" w:type="pct"/>
                  <w:vMerge w:val="continue"/>
                  <w:noWrap w:val="0"/>
                  <w:tcMar>
                    <w:top w:w="57" w:type="dxa"/>
                    <w:bottom w:w="57" w:type="dxa"/>
                  </w:tcMar>
                  <w:vAlign w:val="center"/>
                </w:tcPr>
                <w:p w14:paraId="148948F6">
                  <w:pPr>
                    <w:pStyle w:val="65"/>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258" w:type="pct"/>
                  <w:vMerge w:val="continue"/>
                  <w:noWrap w:val="0"/>
                  <w:tcMar>
                    <w:top w:w="57" w:type="dxa"/>
                    <w:bottom w:w="57" w:type="dxa"/>
                  </w:tcMar>
                  <w:vAlign w:val="center"/>
                </w:tcPr>
                <w:p w14:paraId="14CC4EDD">
                  <w:pPr>
                    <w:pStyle w:val="65"/>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496" w:type="pct"/>
                  <w:vMerge w:val="continue"/>
                  <w:noWrap w:val="0"/>
                  <w:tcMar>
                    <w:top w:w="57" w:type="dxa"/>
                    <w:bottom w:w="57" w:type="dxa"/>
                  </w:tcMar>
                  <w:vAlign w:val="center"/>
                </w:tcPr>
                <w:p w14:paraId="354AB95E">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847" w:type="pct"/>
                  <w:noWrap w:val="0"/>
                  <w:tcMar>
                    <w:top w:w="57" w:type="dxa"/>
                    <w:bottom w:w="57" w:type="dxa"/>
                  </w:tcMar>
                  <w:vAlign w:val="center"/>
                </w:tcPr>
                <w:p w14:paraId="0D383B73">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eastAsia"/>
                      <w:color w:val="000000" w:themeColor="text1"/>
                      <w:sz w:val="21"/>
                      <w:szCs w:val="21"/>
                      <w:u w:val="none" w:color="auto"/>
                      <w:lang w:val="en-US" w:eastAsia="zh-CN"/>
                      <w14:textFill>
                        <w14:solidFill>
                          <w14:schemeClr w14:val="tx1"/>
                        </w14:solidFill>
                      </w14:textFill>
                    </w:rPr>
                    <w:t>烘干、</w:t>
                  </w:r>
                  <w:r>
                    <w:rPr>
                      <w:rFonts w:hint="eastAsia"/>
                      <w:color w:val="000000" w:themeColor="text1"/>
                      <w:sz w:val="21"/>
                      <w:szCs w:val="21"/>
                      <w:u w:val="none" w:color="auto"/>
                      <w14:textFill>
                        <w14:solidFill>
                          <w14:schemeClr w14:val="tx1"/>
                        </w14:solidFill>
                      </w14:textFill>
                    </w:rPr>
                    <w:t>制棒废气</w:t>
                  </w:r>
                  <w:r>
                    <w:rPr>
                      <w:rFonts w:hint="eastAsia"/>
                      <w:color w:val="000000" w:themeColor="text1"/>
                      <w:sz w:val="21"/>
                      <w:szCs w:val="21"/>
                      <w:u w:val="none" w:color="auto"/>
                      <w:lang w:eastAsia="zh-CN"/>
                      <w14:textFill>
                        <w14:solidFill>
                          <w14:schemeClr w14:val="tx1"/>
                        </w14:solidFill>
                      </w14:textFill>
                    </w:rPr>
                    <w:t>、</w:t>
                  </w:r>
                  <w:r>
                    <w:rPr>
                      <w:rFonts w:hint="eastAsia"/>
                      <w:color w:val="000000" w:themeColor="text1"/>
                      <w:sz w:val="21"/>
                      <w:szCs w:val="21"/>
                      <w:u w:val="none" w:color="auto"/>
                      <w:lang w:val="en-US" w:eastAsia="zh-CN"/>
                      <w14:textFill>
                        <w14:solidFill>
                          <w14:schemeClr w14:val="tx1"/>
                        </w14:solidFill>
                      </w14:textFill>
                    </w:rPr>
                    <w:t>烘干工序</w:t>
                  </w:r>
                </w:p>
              </w:tc>
              <w:tc>
                <w:tcPr>
                  <w:tcW w:w="598" w:type="pct"/>
                  <w:noWrap w:val="0"/>
                  <w:tcMar>
                    <w:top w:w="57" w:type="dxa"/>
                    <w:bottom w:w="57" w:type="dxa"/>
                  </w:tcMar>
                  <w:vAlign w:val="center"/>
                </w:tcPr>
                <w:p w14:paraId="4FDC7E8D">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颗粒物</w:t>
                  </w:r>
                  <w:r>
                    <w:rPr>
                      <w:rFonts w:hint="eastAsia"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w:t>
                  </w:r>
                  <w:r>
                    <w:rPr>
                      <w:rFonts w:hint="eastAsia" w:hAnsi="宋体"/>
                      <w:color w:val="000000" w:themeColor="text1"/>
                      <w:sz w:val="21"/>
                      <w:szCs w:val="21"/>
                      <w:u w:val="none" w:color="auto"/>
                      <w14:textFill>
                        <w14:solidFill>
                          <w14:schemeClr w14:val="tx1"/>
                        </w14:solidFill>
                      </w14:textFill>
                    </w:rPr>
                    <w:t>SO</w:t>
                  </w:r>
                  <w:r>
                    <w:rPr>
                      <w:rFonts w:hint="eastAsia" w:hAnsi="宋体"/>
                      <w:color w:val="000000" w:themeColor="text1"/>
                      <w:sz w:val="21"/>
                      <w:szCs w:val="21"/>
                      <w:u w:val="none" w:color="auto"/>
                      <w:vertAlign w:val="subscript"/>
                      <w14:textFill>
                        <w14:solidFill>
                          <w14:schemeClr w14:val="tx1"/>
                        </w14:solidFill>
                      </w14:textFill>
                    </w:rPr>
                    <w:t>2</w:t>
                  </w:r>
                  <w:r>
                    <w:rPr>
                      <w:rFonts w:hint="eastAsia"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w:t>
                  </w:r>
                  <w:r>
                    <w:rPr>
                      <w:rFonts w:hint="eastAsia" w:hAnsi="宋体"/>
                      <w:color w:val="000000" w:themeColor="text1"/>
                      <w:sz w:val="21"/>
                      <w:szCs w:val="21"/>
                      <w:u w:val="none" w:color="auto"/>
                      <w14:textFill>
                        <w14:solidFill>
                          <w14:schemeClr w14:val="tx1"/>
                        </w14:solidFill>
                      </w14:textFill>
                    </w:rPr>
                    <w:t>NOx</w:t>
                  </w:r>
                </w:p>
              </w:tc>
              <w:tc>
                <w:tcPr>
                  <w:tcW w:w="1859" w:type="pct"/>
                  <w:noWrap w:val="0"/>
                  <w:tcMar>
                    <w:top w:w="57" w:type="dxa"/>
                    <w:bottom w:w="57" w:type="dxa"/>
                  </w:tcMar>
                  <w:vAlign w:val="center"/>
                </w:tcPr>
                <w:p w14:paraId="0BA71BAD">
                  <w:pPr>
                    <w:keepNext w:val="0"/>
                    <w:keepLines w:val="0"/>
                    <w:suppressLineNumbers w:val="0"/>
                    <w:adjustRightInd w:val="0"/>
                    <w:snapToGrid w:val="0"/>
                    <w:spacing w:before="0" w:beforeAutospacing="0" w:after="0" w:afterAutospacing="0" w:line="240" w:lineRule="auto"/>
                    <w:ind w:left="0" w:leftChars="0" w:right="0" w:rightChars="0"/>
                    <w:jc w:val="both"/>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烘干时：机制炭生产线制棒废气引入烘干机作为热源，最终与炭化炉点火和炭化初始阶段燃料燃烧废气、烘干废气一起经“碱喷淋+静电除尘装置”处理后经15m高排气筒（DA002）排放</w:t>
                  </w: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w:t>
                  </w: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非烘干时，制棒废气、炭化炉点火和炭化初始阶段燃料燃烧废气一起经“碱喷淋+静电除尘装置”处理后经15m高排气筒（DA00</w:t>
                  </w: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2</w:t>
                  </w: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）排放</w:t>
                  </w: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w:t>
                  </w:r>
                </w:p>
              </w:tc>
              <w:tc>
                <w:tcPr>
                  <w:tcW w:w="594" w:type="pct"/>
                  <w:noWrap w:val="0"/>
                  <w:vAlign w:val="center"/>
                </w:tcPr>
                <w:p w14:paraId="1732F3EF">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eastAsia" w:cs="Times New Roman"/>
                      <w:color w:val="000000" w:themeColor="text1"/>
                      <w:sz w:val="21"/>
                      <w:szCs w:val="21"/>
                      <w:highlight w:val="none"/>
                      <w:u w:val="none" w:color="auto"/>
                      <w:lang w:val="en-US" w:eastAsia="zh-CN"/>
                      <w14:textFill>
                        <w14:solidFill>
                          <w14:schemeClr w14:val="tx1"/>
                        </w14:solidFill>
                      </w14:textFill>
                    </w:rPr>
                    <w:t>30</w:t>
                  </w:r>
                </w:p>
              </w:tc>
            </w:tr>
            <w:tr w14:paraId="3A91EB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44" w:type="pct"/>
                  <w:vMerge w:val="continue"/>
                  <w:noWrap w:val="0"/>
                  <w:tcMar>
                    <w:top w:w="57" w:type="dxa"/>
                    <w:bottom w:w="57" w:type="dxa"/>
                  </w:tcMar>
                  <w:vAlign w:val="center"/>
                </w:tcPr>
                <w:p w14:paraId="66D053EF">
                  <w:pPr>
                    <w:pStyle w:val="65"/>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258" w:type="pct"/>
                  <w:vMerge w:val="continue"/>
                  <w:noWrap w:val="0"/>
                  <w:tcMar>
                    <w:top w:w="57" w:type="dxa"/>
                    <w:bottom w:w="57" w:type="dxa"/>
                  </w:tcMar>
                  <w:vAlign w:val="center"/>
                </w:tcPr>
                <w:p w14:paraId="0BEFF7A5">
                  <w:pPr>
                    <w:pStyle w:val="65"/>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496" w:type="pct"/>
                  <w:noWrap w:val="0"/>
                  <w:tcMar>
                    <w:top w:w="57" w:type="dxa"/>
                    <w:bottom w:w="57" w:type="dxa"/>
                  </w:tcMar>
                  <w:vAlign w:val="center"/>
                </w:tcPr>
                <w:p w14:paraId="26E842B6">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eastAsia" w:cs="Times New Roman"/>
                      <w:color w:val="000000" w:themeColor="text1"/>
                      <w:sz w:val="21"/>
                      <w:szCs w:val="21"/>
                      <w:highlight w:val="none"/>
                      <w:u w:val="none" w:color="auto"/>
                      <w:lang w:val="en-US" w:eastAsia="zh-CN" w:bidi="ar"/>
                      <w14:textFill>
                        <w14:solidFill>
                          <w14:schemeClr w14:val="tx1"/>
                        </w14:solidFill>
                      </w14:textFill>
                    </w:rPr>
                    <w:t>生物质颗粒生产线</w:t>
                  </w:r>
                </w:p>
              </w:tc>
              <w:tc>
                <w:tcPr>
                  <w:tcW w:w="847" w:type="pct"/>
                  <w:noWrap w:val="0"/>
                  <w:tcMar>
                    <w:top w:w="57" w:type="dxa"/>
                    <w:bottom w:w="57" w:type="dxa"/>
                  </w:tcMar>
                  <w:vAlign w:val="center"/>
                </w:tcPr>
                <w:p w14:paraId="17D0401F">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cs="Times New Roman"/>
                      <w:color w:val="000000" w:themeColor="text1"/>
                      <w:sz w:val="21"/>
                      <w:szCs w:val="21"/>
                      <w:highlight w:val="none"/>
                      <w:u w:val="none" w:color="auto"/>
                      <w:lang w:val="en-US" w:eastAsia="zh-CN"/>
                      <w14:textFill>
                        <w14:solidFill>
                          <w14:schemeClr w14:val="tx1"/>
                        </w14:solidFill>
                      </w14:textFill>
                    </w:rPr>
                  </w:pPr>
                  <w:r>
                    <w:rPr>
                      <w:rFonts w:hint="eastAsia" w:ascii="宋体" w:hAnsi="宋体" w:eastAsia="宋体" w:cs="宋体"/>
                      <w:color w:val="000000" w:themeColor="text1"/>
                      <w:kern w:val="0"/>
                      <w:sz w:val="21"/>
                      <w:szCs w:val="21"/>
                      <w:u w:val="none" w:color="auto"/>
                      <w:lang w:val="en-US" w:eastAsia="zh-CN" w:bidi="ar"/>
                      <w14:textFill>
                        <w14:solidFill>
                          <w14:schemeClr w14:val="tx1"/>
                        </w14:solidFill>
                      </w14:textFill>
                    </w:rPr>
                    <w:t>破碎、筛分、造粒和包装等过程</w:t>
                  </w:r>
                </w:p>
              </w:tc>
              <w:tc>
                <w:tcPr>
                  <w:tcW w:w="598" w:type="pct"/>
                  <w:noWrap w:val="0"/>
                  <w:tcMar>
                    <w:top w:w="57" w:type="dxa"/>
                    <w:bottom w:w="57" w:type="dxa"/>
                  </w:tcMar>
                  <w:vAlign w:val="center"/>
                </w:tcPr>
                <w:p w14:paraId="77049973">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颗粒物</w:t>
                  </w:r>
                </w:p>
              </w:tc>
              <w:tc>
                <w:tcPr>
                  <w:tcW w:w="1859" w:type="pct"/>
                  <w:noWrap w:val="0"/>
                  <w:tcMar>
                    <w:top w:w="57" w:type="dxa"/>
                    <w:bottom w:w="57" w:type="dxa"/>
                  </w:tcMar>
                  <w:vAlign w:val="center"/>
                </w:tcPr>
                <w:p w14:paraId="7EAC028B">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both"/>
                    <w:textAlignment w:val="auto"/>
                    <w:outlineLvl w:val="9"/>
                    <w:rPr>
                      <w:rFonts w:hint="eastAsia" w:ascii="宋体" w:hAnsi="宋体" w:cs="宋体"/>
                      <w:color w:val="000000" w:themeColor="text1"/>
                      <w:kern w:val="0"/>
                      <w:sz w:val="21"/>
                      <w:szCs w:val="21"/>
                      <w:u w:val="none" w:color="auto"/>
                      <w:lang w:val="en-US" w:eastAsia="zh-CN" w:bidi="ar"/>
                      <w14:textFill>
                        <w14:solidFill>
                          <w14:schemeClr w14:val="tx1"/>
                        </w14:solidFill>
                      </w14:textFill>
                    </w:rPr>
                  </w:pPr>
                  <w:r>
                    <w:rPr>
                      <w:rFonts w:hint="eastAsia"/>
                      <w:color w:val="000000" w:themeColor="text1"/>
                      <w:sz w:val="21"/>
                      <w:szCs w:val="21"/>
                      <w:u w:val="none" w:color="auto"/>
                      <w:lang w:val="en-US" w:eastAsia="zh-CN"/>
                      <w14:textFill>
                        <w14:solidFill>
                          <w14:schemeClr w14:val="tx1"/>
                        </w14:solidFill>
                      </w14:textFill>
                    </w:rPr>
                    <w:t>经收集后引入1套袋式</w:t>
                  </w:r>
                  <w:r>
                    <w:rPr>
                      <w:rFonts w:hint="eastAsia"/>
                      <w:color w:val="000000" w:themeColor="text1"/>
                      <w:sz w:val="21"/>
                      <w:szCs w:val="21"/>
                      <w:u w:val="none" w:color="auto"/>
                      <w14:textFill>
                        <w14:solidFill>
                          <w14:schemeClr w14:val="tx1"/>
                        </w14:solidFill>
                      </w14:textFill>
                    </w:rPr>
                    <w:t>除尘器</w:t>
                  </w: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（TA00</w:t>
                  </w:r>
                  <w:r>
                    <w:rPr>
                      <w:rFonts w:hint="eastAsia"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3</w:t>
                  </w: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）处理后经1根15m高排气筒（DA00</w:t>
                  </w:r>
                  <w:r>
                    <w:rPr>
                      <w:rFonts w:hint="eastAsia"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3</w:t>
                  </w: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）引至高空排放</w:t>
                  </w:r>
                </w:p>
              </w:tc>
              <w:tc>
                <w:tcPr>
                  <w:tcW w:w="594" w:type="pct"/>
                  <w:noWrap w:val="0"/>
                  <w:vAlign w:val="center"/>
                </w:tcPr>
                <w:p w14:paraId="62295247">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jc w:val="center"/>
                    <w:rPr>
                      <w:rFonts w:hint="eastAsia" w:cs="Times New Roman"/>
                      <w:color w:val="000000" w:themeColor="text1"/>
                      <w:sz w:val="21"/>
                      <w:szCs w:val="21"/>
                      <w:highlight w:val="none"/>
                      <w:u w:val="none" w:color="auto"/>
                      <w:lang w:val="en-US" w:eastAsia="zh-CN"/>
                      <w14:textFill>
                        <w14:solidFill>
                          <w14:schemeClr w14:val="tx1"/>
                        </w14:solidFill>
                      </w14:textFill>
                    </w:rPr>
                  </w:pPr>
                  <w:r>
                    <w:rPr>
                      <w:rFonts w:hint="eastAsia" w:cs="Times New Roman"/>
                      <w:color w:val="000000" w:themeColor="text1"/>
                      <w:sz w:val="21"/>
                      <w:szCs w:val="21"/>
                      <w:highlight w:val="none"/>
                      <w:u w:val="none" w:color="auto"/>
                      <w:lang w:val="en-US" w:eastAsia="zh-CN"/>
                      <w14:textFill>
                        <w14:solidFill>
                          <w14:schemeClr w14:val="tx1"/>
                        </w14:solidFill>
                      </w14:textFill>
                    </w:rPr>
                    <w:t>8</w:t>
                  </w:r>
                </w:p>
              </w:tc>
            </w:tr>
            <w:tr w14:paraId="018349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44" w:type="pct"/>
                  <w:vMerge w:val="continue"/>
                  <w:noWrap w:val="0"/>
                  <w:tcMar>
                    <w:top w:w="57" w:type="dxa"/>
                    <w:bottom w:w="57" w:type="dxa"/>
                  </w:tcMar>
                  <w:vAlign w:val="center"/>
                </w:tcPr>
                <w:p w14:paraId="3AE3FEB9">
                  <w:pPr>
                    <w:pStyle w:val="65"/>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258" w:type="pct"/>
                  <w:vMerge w:val="restart"/>
                  <w:noWrap w:val="0"/>
                  <w:tcMar>
                    <w:top w:w="57" w:type="dxa"/>
                    <w:bottom w:w="57" w:type="dxa"/>
                  </w:tcMar>
                  <w:vAlign w:val="center"/>
                </w:tcPr>
                <w:p w14:paraId="170A0D0B">
                  <w:pPr>
                    <w:pStyle w:val="65"/>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无组织</w:t>
                  </w:r>
                </w:p>
              </w:tc>
              <w:tc>
                <w:tcPr>
                  <w:tcW w:w="496" w:type="pct"/>
                  <w:vMerge w:val="restart"/>
                  <w:noWrap w:val="0"/>
                  <w:tcMar>
                    <w:top w:w="57" w:type="dxa"/>
                    <w:bottom w:w="57" w:type="dxa"/>
                  </w:tcMar>
                  <w:vAlign w:val="center"/>
                </w:tcPr>
                <w:p w14:paraId="75DB2B7C">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eastAsia" w:cs="Times New Roman"/>
                      <w:color w:val="000000" w:themeColor="text1"/>
                      <w:sz w:val="21"/>
                      <w:szCs w:val="21"/>
                      <w:highlight w:val="none"/>
                      <w:u w:val="none" w:color="auto"/>
                      <w:lang w:val="en-US" w:eastAsia="zh-CN"/>
                      <w14:textFill>
                        <w14:solidFill>
                          <w14:schemeClr w14:val="tx1"/>
                        </w14:solidFill>
                      </w14:textFill>
                    </w:rPr>
                    <w:t>机制炭</w:t>
                  </w: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生产线</w:t>
                  </w:r>
                </w:p>
              </w:tc>
              <w:tc>
                <w:tcPr>
                  <w:tcW w:w="847" w:type="pct"/>
                  <w:shd w:val="clear" w:color="auto" w:fill="auto"/>
                  <w:noWrap w:val="0"/>
                  <w:tcMar>
                    <w:top w:w="57" w:type="dxa"/>
                    <w:bottom w:w="57" w:type="dxa"/>
                  </w:tcMar>
                  <w:vAlign w:val="center"/>
                </w:tcPr>
                <w:p w14:paraId="63ADDEE8">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eastAsia"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eastAsia" w:ascii="宋体" w:hAnsi="宋体" w:eastAsia="宋体" w:cs="宋体"/>
                      <w:color w:val="000000" w:themeColor="text1"/>
                      <w:kern w:val="0"/>
                      <w:sz w:val="21"/>
                      <w:szCs w:val="21"/>
                      <w:u w:val="none" w:color="auto"/>
                      <w:lang w:val="en-US" w:eastAsia="zh-CN" w:bidi="ar"/>
                      <w14:textFill>
                        <w14:solidFill>
                          <w14:schemeClr w14:val="tx1"/>
                        </w14:solidFill>
                      </w14:textFill>
                    </w:rPr>
                    <w:t>原料装卸</w:t>
                  </w:r>
                  <w:r>
                    <w:rPr>
                      <w:rFonts w:hint="eastAsia" w:ascii="宋体" w:hAnsi="宋体" w:cs="宋体"/>
                      <w:color w:val="000000" w:themeColor="text1"/>
                      <w:kern w:val="0"/>
                      <w:sz w:val="21"/>
                      <w:szCs w:val="21"/>
                      <w:u w:val="none" w:color="auto"/>
                      <w:lang w:val="en-US" w:eastAsia="zh-CN" w:bidi="ar"/>
                      <w14:textFill>
                        <w14:solidFill>
                          <w14:schemeClr w14:val="tx1"/>
                        </w14:solidFill>
                      </w14:textFill>
                    </w:rPr>
                    <w:t>转运过程废气</w:t>
                  </w:r>
                </w:p>
              </w:tc>
              <w:tc>
                <w:tcPr>
                  <w:tcW w:w="598" w:type="pct"/>
                  <w:shd w:val="clear" w:color="auto" w:fill="auto"/>
                  <w:noWrap w:val="0"/>
                  <w:tcMar>
                    <w:top w:w="57" w:type="dxa"/>
                    <w:bottom w:w="57" w:type="dxa"/>
                  </w:tcMar>
                  <w:vAlign w:val="center"/>
                </w:tcPr>
                <w:p w14:paraId="06B0C710">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颗粒物</w:t>
                  </w:r>
                </w:p>
              </w:tc>
              <w:tc>
                <w:tcPr>
                  <w:tcW w:w="1859" w:type="pct"/>
                  <w:vMerge w:val="restart"/>
                  <w:noWrap w:val="0"/>
                  <w:tcMar>
                    <w:top w:w="57" w:type="dxa"/>
                    <w:bottom w:w="57" w:type="dxa"/>
                  </w:tcMar>
                  <w:vAlign w:val="center"/>
                </w:tcPr>
                <w:p w14:paraId="69406B1F">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eastAsia" w:cs="Times New Roman"/>
                      <w:color w:val="000000" w:themeColor="text1"/>
                      <w:sz w:val="21"/>
                      <w:szCs w:val="21"/>
                      <w:highlight w:val="none"/>
                      <w:u w:val="none" w:color="auto"/>
                      <w:lang w:val="en-US" w:eastAsia="zh-CN"/>
                      <w14:textFill>
                        <w14:solidFill>
                          <w14:schemeClr w14:val="tx1"/>
                        </w14:solidFill>
                      </w14:textFill>
                    </w:rPr>
                    <w:t>所在厂房封闭</w:t>
                  </w:r>
                </w:p>
              </w:tc>
              <w:tc>
                <w:tcPr>
                  <w:tcW w:w="594" w:type="pct"/>
                  <w:vMerge w:val="restart"/>
                  <w:noWrap w:val="0"/>
                  <w:vAlign w:val="center"/>
                </w:tcPr>
                <w:p w14:paraId="731D7334">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4</w:t>
                  </w:r>
                </w:p>
              </w:tc>
            </w:tr>
            <w:tr w14:paraId="5D86AD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44" w:type="pct"/>
                  <w:vMerge w:val="continue"/>
                  <w:noWrap w:val="0"/>
                  <w:tcMar>
                    <w:top w:w="57" w:type="dxa"/>
                    <w:bottom w:w="57" w:type="dxa"/>
                  </w:tcMar>
                  <w:vAlign w:val="center"/>
                </w:tcPr>
                <w:p w14:paraId="59CBFC29">
                  <w:pPr>
                    <w:pStyle w:val="65"/>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258" w:type="pct"/>
                  <w:vMerge w:val="continue"/>
                  <w:noWrap w:val="0"/>
                  <w:tcMar>
                    <w:top w:w="57" w:type="dxa"/>
                    <w:bottom w:w="57" w:type="dxa"/>
                  </w:tcMar>
                  <w:vAlign w:val="center"/>
                </w:tcPr>
                <w:p w14:paraId="1F991CD3">
                  <w:pPr>
                    <w:pStyle w:val="65"/>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496" w:type="pct"/>
                  <w:vMerge w:val="continue"/>
                  <w:noWrap w:val="0"/>
                  <w:tcMar>
                    <w:top w:w="57" w:type="dxa"/>
                    <w:bottom w:w="57" w:type="dxa"/>
                  </w:tcMar>
                  <w:vAlign w:val="center"/>
                </w:tcPr>
                <w:p w14:paraId="4D2D6FDD">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847" w:type="pct"/>
                  <w:noWrap w:val="0"/>
                  <w:tcMar>
                    <w:top w:w="57" w:type="dxa"/>
                    <w:bottom w:w="57" w:type="dxa"/>
                  </w:tcMar>
                  <w:vAlign w:val="center"/>
                </w:tcPr>
                <w:p w14:paraId="770F0F24">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sz w:val="21"/>
                      <w:szCs w:val="21"/>
                      <w:highlight w:val="none"/>
                      <w:u w:val="none" w:color="auto"/>
                      <w:lang w:val="en-US" w:eastAsia="zh-CN" w:bidi="ar"/>
                      <w14:textFill>
                        <w14:solidFill>
                          <w14:schemeClr w14:val="tx1"/>
                        </w14:solidFill>
                      </w14:textFill>
                    </w:rPr>
                  </w:pPr>
                  <w:r>
                    <w:rPr>
                      <w:rFonts w:hint="eastAsia" w:cs="Times New Roman"/>
                      <w:color w:val="000000" w:themeColor="text1"/>
                      <w:sz w:val="21"/>
                      <w:szCs w:val="21"/>
                      <w:highlight w:val="none"/>
                      <w:u w:val="none" w:color="auto"/>
                      <w:lang w:val="en-US" w:eastAsia="zh-CN"/>
                      <w14:textFill>
                        <w14:solidFill>
                          <w14:schemeClr w14:val="tx1"/>
                        </w14:solidFill>
                      </w14:textFill>
                    </w:rPr>
                    <w:t>破碎、筛分、</w:t>
                  </w:r>
                  <w:r>
                    <w:rPr>
                      <w:rFonts w:hint="eastAsia" w:ascii="宋体" w:hAnsi="宋体" w:cs="宋体"/>
                      <w:b w:val="0"/>
                      <w:bCs/>
                      <w:color w:val="000000" w:themeColor="text1"/>
                      <w:sz w:val="21"/>
                      <w:szCs w:val="21"/>
                      <w:highlight w:val="none"/>
                      <w:u w:val="none" w:color="auto"/>
                      <w:lang w:val="en-US" w:eastAsia="zh-CN"/>
                      <w14:textFill>
                        <w14:solidFill>
                          <w14:schemeClr w14:val="tx1"/>
                        </w14:solidFill>
                      </w14:textFill>
                    </w:rPr>
                    <w:t>冷却、</w:t>
                  </w:r>
                  <w:r>
                    <w:rPr>
                      <w:rFonts w:hint="eastAsia"/>
                      <w:b w:val="0"/>
                      <w:bCs/>
                      <w:color w:val="000000" w:themeColor="text1"/>
                      <w:sz w:val="21"/>
                      <w:szCs w:val="21"/>
                      <w:highlight w:val="none"/>
                      <w:u w:val="none" w:color="auto"/>
                      <w:lang w:val="en-US" w:eastAsia="zh-CN"/>
                      <w14:textFill>
                        <w14:solidFill>
                          <w14:schemeClr w14:val="tx1"/>
                        </w14:solidFill>
                      </w14:textFill>
                    </w:rPr>
                    <w:t>锯切、包装</w:t>
                  </w:r>
                  <w:r>
                    <w:rPr>
                      <w:rFonts w:hint="eastAsia" w:cs="Times New Roman"/>
                      <w:color w:val="000000" w:themeColor="text1"/>
                      <w:sz w:val="21"/>
                      <w:szCs w:val="21"/>
                      <w:highlight w:val="none"/>
                      <w:u w:val="none" w:color="auto"/>
                      <w:lang w:val="en-US" w:eastAsia="zh-CN"/>
                      <w14:textFill>
                        <w14:solidFill>
                          <w14:schemeClr w14:val="tx1"/>
                        </w14:solidFill>
                      </w14:textFill>
                    </w:rPr>
                    <w:t>工序集气罩未收集</w:t>
                  </w:r>
                </w:p>
              </w:tc>
              <w:tc>
                <w:tcPr>
                  <w:tcW w:w="598" w:type="pct"/>
                  <w:noWrap w:val="0"/>
                  <w:tcMar>
                    <w:top w:w="57" w:type="dxa"/>
                    <w:bottom w:w="57" w:type="dxa"/>
                  </w:tcMar>
                  <w:vAlign w:val="center"/>
                </w:tcPr>
                <w:p w14:paraId="0EACC727">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颗粒物</w:t>
                  </w:r>
                </w:p>
              </w:tc>
              <w:tc>
                <w:tcPr>
                  <w:tcW w:w="1859" w:type="pct"/>
                  <w:vMerge w:val="continue"/>
                  <w:noWrap w:val="0"/>
                  <w:tcMar>
                    <w:top w:w="57" w:type="dxa"/>
                    <w:bottom w:w="57" w:type="dxa"/>
                  </w:tcMar>
                  <w:vAlign w:val="center"/>
                </w:tcPr>
                <w:p w14:paraId="12157F85">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594" w:type="pct"/>
                  <w:vMerge w:val="continue"/>
                  <w:noWrap w:val="0"/>
                  <w:vAlign w:val="center"/>
                </w:tcPr>
                <w:p w14:paraId="7CDCDD14">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p>
              </w:tc>
            </w:tr>
            <w:tr w14:paraId="50CB48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44" w:type="pct"/>
                  <w:vMerge w:val="continue"/>
                  <w:noWrap w:val="0"/>
                  <w:tcMar>
                    <w:top w:w="57" w:type="dxa"/>
                    <w:bottom w:w="57" w:type="dxa"/>
                  </w:tcMar>
                  <w:vAlign w:val="center"/>
                </w:tcPr>
                <w:p w14:paraId="5805B52D">
                  <w:pPr>
                    <w:pStyle w:val="65"/>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258" w:type="pct"/>
                  <w:vMerge w:val="continue"/>
                  <w:noWrap w:val="0"/>
                  <w:tcMar>
                    <w:top w:w="57" w:type="dxa"/>
                    <w:bottom w:w="57" w:type="dxa"/>
                  </w:tcMar>
                  <w:vAlign w:val="center"/>
                </w:tcPr>
                <w:p w14:paraId="72AEE565">
                  <w:pPr>
                    <w:pStyle w:val="65"/>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496" w:type="pct"/>
                  <w:vMerge w:val="continue"/>
                  <w:noWrap w:val="0"/>
                  <w:tcMar>
                    <w:top w:w="57" w:type="dxa"/>
                    <w:bottom w:w="57" w:type="dxa"/>
                  </w:tcMar>
                  <w:vAlign w:val="center"/>
                </w:tcPr>
                <w:p w14:paraId="558A5029">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847" w:type="pct"/>
                  <w:noWrap w:val="0"/>
                  <w:tcMar>
                    <w:top w:w="57" w:type="dxa"/>
                    <w:bottom w:w="57" w:type="dxa"/>
                  </w:tcMar>
                  <w:vAlign w:val="center"/>
                </w:tcPr>
                <w:p w14:paraId="29680C6F">
                  <w:pPr>
                    <w:keepNext w:val="0"/>
                    <w:keepLines w:val="0"/>
                    <w:suppressLineNumbers w:val="0"/>
                    <w:spacing w:before="0" w:beforeAutospacing="0" w:after="0" w:afterAutospacing="0" w:line="240" w:lineRule="atLeast"/>
                    <w:ind w:left="0" w:leftChars="0" w:right="0" w:rightChars="0"/>
                    <w:jc w:val="cente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eastAsia"/>
                      <w:color w:val="000000" w:themeColor="text1"/>
                      <w:sz w:val="21"/>
                      <w:szCs w:val="21"/>
                      <w:u w:val="none" w:color="auto"/>
                      <w14:textFill>
                        <w14:solidFill>
                          <w14:schemeClr w14:val="tx1"/>
                        </w14:solidFill>
                      </w14:textFill>
                    </w:rPr>
                    <w:t>制棒废气</w:t>
                  </w:r>
                  <w:r>
                    <w:rPr>
                      <w:rFonts w:hint="eastAsia" w:cs="Times New Roman"/>
                      <w:color w:val="000000" w:themeColor="text1"/>
                      <w:sz w:val="21"/>
                      <w:szCs w:val="21"/>
                      <w:highlight w:val="none"/>
                      <w:u w:val="none" w:color="auto"/>
                      <w:lang w:val="en-US" w:eastAsia="zh-CN"/>
                      <w14:textFill>
                        <w14:solidFill>
                          <w14:schemeClr w14:val="tx1"/>
                        </w14:solidFill>
                      </w14:textFill>
                    </w:rPr>
                    <w:t>集气罩未收集</w:t>
                  </w:r>
                </w:p>
              </w:tc>
              <w:tc>
                <w:tcPr>
                  <w:tcW w:w="598" w:type="pct"/>
                  <w:noWrap w:val="0"/>
                  <w:tcMar>
                    <w:top w:w="57" w:type="dxa"/>
                    <w:bottom w:w="57" w:type="dxa"/>
                  </w:tcMar>
                  <w:vAlign w:val="center"/>
                </w:tcPr>
                <w:p w14:paraId="70DC5AC0">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颗粒物</w:t>
                  </w:r>
                </w:p>
              </w:tc>
              <w:tc>
                <w:tcPr>
                  <w:tcW w:w="1859" w:type="pct"/>
                  <w:vMerge w:val="continue"/>
                  <w:noWrap w:val="0"/>
                  <w:tcMar>
                    <w:top w:w="57" w:type="dxa"/>
                    <w:bottom w:w="57" w:type="dxa"/>
                  </w:tcMar>
                  <w:vAlign w:val="center"/>
                </w:tcPr>
                <w:p w14:paraId="1466F736">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p>
              </w:tc>
              <w:tc>
                <w:tcPr>
                  <w:tcW w:w="594" w:type="pct"/>
                  <w:vMerge w:val="continue"/>
                  <w:noWrap w:val="0"/>
                  <w:vAlign w:val="center"/>
                </w:tcPr>
                <w:p w14:paraId="1D78A348">
                  <w:pPr>
                    <w:pStyle w:val="65"/>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p>
              </w:tc>
            </w:tr>
            <w:tr w14:paraId="53896A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91" w:hRule="atLeast"/>
                <w:jc w:val="center"/>
              </w:trPr>
              <w:tc>
                <w:tcPr>
                  <w:tcW w:w="344" w:type="pct"/>
                  <w:vMerge w:val="continue"/>
                  <w:noWrap w:val="0"/>
                  <w:tcMar>
                    <w:top w:w="57" w:type="dxa"/>
                    <w:bottom w:w="57" w:type="dxa"/>
                  </w:tcMar>
                  <w:vAlign w:val="center"/>
                </w:tcPr>
                <w:p w14:paraId="2D1FAB66">
                  <w:pPr>
                    <w:pStyle w:val="65"/>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258" w:type="pct"/>
                  <w:vMerge w:val="continue"/>
                  <w:noWrap w:val="0"/>
                  <w:tcMar>
                    <w:top w:w="57" w:type="dxa"/>
                    <w:bottom w:w="57" w:type="dxa"/>
                  </w:tcMar>
                  <w:vAlign w:val="center"/>
                </w:tcPr>
                <w:p w14:paraId="68C6AC25">
                  <w:pPr>
                    <w:pStyle w:val="65"/>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496" w:type="pct"/>
                  <w:vMerge w:val="restart"/>
                  <w:noWrap w:val="0"/>
                  <w:tcMar>
                    <w:top w:w="57" w:type="dxa"/>
                    <w:bottom w:w="57" w:type="dxa"/>
                  </w:tcMar>
                  <w:vAlign w:val="center"/>
                </w:tcPr>
                <w:p w14:paraId="79ADDFC6">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eastAsia" w:cs="Times New Roman"/>
                      <w:color w:val="000000" w:themeColor="text1"/>
                      <w:sz w:val="21"/>
                      <w:szCs w:val="21"/>
                      <w:highlight w:val="none"/>
                      <w:u w:val="none" w:color="auto"/>
                      <w:lang w:val="en-US" w:eastAsia="zh-CN" w:bidi="ar"/>
                      <w14:textFill>
                        <w14:solidFill>
                          <w14:schemeClr w14:val="tx1"/>
                        </w14:solidFill>
                      </w14:textFill>
                    </w:rPr>
                    <w:t>生物质颗粒</w:t>
                  </w:r>
                  <w:r>
                    <w:rPr>
                      <w:rFonts w:hint="default" w:ascii="Times New Roman" w:hAnsi="Times New Roman" w:eastAsia="宋体" w:cs="Times New Roman"/>
                      <w:color w:val="000000" w:themeColor="text1"/>
                      <w:sz w:val="21"/>
                      <w:szCs w:val="21"/>
                      <w:highlight w:val="none"/>
                      <w:u w:val="none" w:color="auto"/>
                      <w:lang w:val="en-US" w:eastAsia="zh-CN" w:bidi="ar"/>
                      <w14:textFill>
                        <w14:solidFill>
                          <w14:schemeClr w14:val="tx1"/>
                        </w14:solidFill>
                      </w14:textFill>
                    </w:rPr>
                    <w:t>生产线</w:t>
                  </w:r>
                </w:p>
              </w:tc>
              <w:tc>
                <w:tcPr>
                  <w:tcW w:w="847" w:type="pct"/>
                  <w:noWrap w:val="0"/>
                  <w:tcMar>
                    <w:top w:w="57" w:type="dxa"/>
                    <w:bottom w:w="57" w:type="dxa"/>
                  </w:tcMar>
                  <w:vAlign w:val="center"/>
                </w:tcPr>
                <w:p w14:paraId="53C103AE">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eastAsia" w:cs="Times New Roman"/>
                      <w:color w:val="000000" w:themeColor="text1"/>
                      <w:sz w:val="21"/>
                      <w:szCs w:val="21"/>
                      <w:highlight w:val="none"/>
                      <w:u w:val="none" w:color="auto"/>
                      <w:lang w:val="en-US" w:eastAsia="zh-CN"/>
                      <w14:textFill>
                        <w14:solidFill>
                          <w14:schemeClr w14:val="tx1"/>
                        </w14:solidFill>
                      </w14:textFill>
                    </w:rPr>
                  </w:pPr>
                  <w:r>
                    <w:rPr>
                      <w:rFonts w:hint="eastAsia" w:ascii="宋体" w:hAnsi="宋体" w:eastAsia="宋体" w:cs="宋体"/>
                      <w:color w:val="000000" w:themeColor="text1"/>
                      <w:kern w:val="0"/>
                      <w:sz w:val="21"/>
                      <w:szCs w:val="21"/>
                      <w:u w:val="none" w:color="auto"/>
                      <w:lang w:val="en-US" w:eastAsia="zh-CN" w:bidi="ar"/>
                      <w14:textFill>
                        <w14:solidFill>
                          <w14:schemeClr w14:val="tx1"/>
                        </w14:solidFill>
                      </w14:textFill>
                    </w:rPr>
                    <w:t>原料装卸</w:t>
                  </w:r>
                  <w:r>
                    <w:rPr>
                      <w:rFonts w:hint="eastAsia" w:ascii="宋体" w:hAnsi="宋体" w:cs="宋体"/>
                      <w:color w:val="000000" w:themeColor="text1"/>
                      <w:kern w:val="0"/>
                      <w:sz w:val="21"/>
                      <w:szCs w:val="21"/>
                      <w:u w:val="none" w:color="auto"/>
                      <w:lang w:val="en-US" w:eastAsia="zh-CN" w:bidi="ar"/>
                      <w14:textFill>
                        <w14:solidFill>
                          <w14:schemeClr w14:val="tx1"/>
                        </w14:solidFill>
                      </w14:textFill>
                    </w:rPr>
                    <w:t>转运过程废气</w:t>
                  </w:r>
                </w:p>
              </w:tc>
              <w:tc>
                <w:tcPr>
                  <w:tcW w:w="598" w:type="pct"/>
                  <w:noWrap w:val="0"/>
                  <w:tcMar>
                    <w:top w:w="57" w:type="dxa"/>
                    <w:bottom w:w="57" w:type="dxa"/>
                  </w:tcMar>
                  <w:vAlign w:val="center"/>
                </w:tcPr>
                <w:p w14:paraId="50240521">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颗粒物</w:t>
                  </w:r>
                </w:p>
              </w:tc>
              <w:tc>
                <w:tcPr>
                  <w:tcW w:w="1859" w:type="pct"/>
                  <w:vMerge w:val="restart"/>
                  <w:noWrap w:val="0"/>
                  <w:tcMar>
                    <w:top w:w="57" w:type="dxa"/>
                    <w:bottom w:w="57" w:type="dxa"/>
                  </w:tcMar>
                  <w:vAlign w:val="center"/>
                </w:tcPr>
                <w:p w14:paraId="2BBA19F6">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eastAsia" w:cs="Times New Roman"/>
                      <w:color w:val="000000" w:themeColor="text1"/>
                      <w:sz w:val="21"/>
                      <w:szCs w:val="21"/>
                      <w:highlight w:val="none"/>
                      <w:u w:val="none" w:color="auto"/>
                      <w:lang w:val="en-US" w:eastAsia="zh-CN"/>
                      <w14:textFill>
                        <w14:solidFill>
                          <w14:schemeClr w14:val="tx1"/>
                        </w14:solidFill>
                      </w14:textFill>
                    </w:rPr>
                    <w:t>所在厂房封闭</w:t>
                  </w:r>
                </w:p>
              </w:tc>
              <w:tc>
                <w:tcPr>
                  <w:tcW w:w="594" w:type="pct"/>
                  <w:vMerge w:val="continue"/>
                  <w:noWrap w:val="0"/>
                  <w:vAlign w:val="center"/>
                </w:tcPr>
                <w:p w14:paraId="6DD24C9B">
                  <w:pPr>
                    <w:pStyle w:val="65"/>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p>
              </w:tc>
            </w:tr>
            <w:tr w14:paraId="7F53BE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jc w:val="center"/>
              </w:trPr>
              <w:tc>
                <w:tcPr>
                  <w:tcW w:w="344" w:type="pct"/>
                  <w:vMerge w:val="continue"/>
                  <w:noWrap w:val="0"/>
                  <w:tcMar>
                    <w:top w:w="57" w:type="dxa"/>
                    <w:bottom w:w="57" w:type="dxa"/>
                  </w:tcMar>
                  <w:vAlign w:val="center"/>
                </w:tcPr>
                <w:p w14:paraId="4D4BB5F1">
                  <w:pPr>
                    <w:pStyle w:val="65"/>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258" w:type="pct"/>
                  <w:vMerge w:val="continue"/>
                  <w:noWrap w:val="0"/>
                  <w:tcMar>
                    <w:top w:w="57" w:type="dxa"/>
                    <w:bottom w:w="57" w:type="dxa"/>
                  </w:tcMar>
                  <w:vAlign w:val="center"/>
                </w:tcPr>
                <w:p w14:paraId="018EF2C7">
                  <w:pPr>
                    <w:pStyle w:val="65"/>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496" w:type="pct"/>
                  <w:vMerge w:val="continue"/>
                  <w:noWrap w:val="0"/>
                  <w:tcMar>
                    <w:top w:w="57" w:type="dxa"/>
                    <w:bottom w:w="57" w:type="dxa"/>
                  </w:tcMar>
                  <w:vAlign w:val="center"/>
                </w:tcPr>
                <w:p w14:paraId="7D487F69">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847" w:type="pct"/>
                  <w:noWrap w:val="0"/>
                  <w:tcMar>
                    <w:top w:w="57" w:type="dxa"/>
                    <w:bottom w:w="57" w:type="dxa"/>
                  </w:tcMar>
                  <w:vAlign w:val="center"/>
                </w:tcPr>
                <w:p w14:paraId="6A6EC5CA">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eastAsia" w:cs="Times New Roman"/>
                      <w:color w:val="000000" w:themeColor="text1"/>
                      <w:sz w:val="21"/>
                      <w:szCs w:val="21"/>
                      <w:highlight w:val="none"/>
                      <w:u w:val="none" w:color="auto"/>
                      <w:lang w:val="en-US" w:eastAsia="zh-CN"/>
                      <w14:textFill>
                        <w14:solidFill>
                          <w14:schemeClr w14:val="tx1"/>
                        </w14:solidFill>
                      </w14:textFill>
                    </w:rPr>
                  </w:pPr>
                  <w:r>
                    <w:rPr>
                      <w:rFonts w:hint="eastAsia" w:cs="Times New Roman"/>
                      <w:color w:val="000000" w:themeColor="text1"/>
                      <w:sz w:val="21"/>
                      <w:szCs w:val="21"/>
                      <w:highlight w:val="none"/>
                      <w:u w:val="none" w:color="auto"/>
                      <w:lang w:val="en-US" w:eastAsia="zh-CN" w:bidi="ar"/>
                      <w14:textFill>
                        <w14:solidFill>
                          <w14:schemeClr w14:val="tx1"/>
                        </w14:solidFill>
                      </w14:textFill>
                    </w:rPr>
                    <w:t>破碎工序和包装工序未收集</w:t>
                  </w:r>
                </w:p>
              </w:tc>
              <w:tc>
                <w:tcPr>
                  <w:tcW w:w="598" w:type="pct"/>
                  <w:noWrap w:val="0"/>
                  <w:tcMar>
                    <w:top w:w="57" w:type="dxa"/>
                    <w:bottom w:w="57" w:type="dxa"/>
                  </w:tcMar>
                  <w:vAlign w:val="center"/>
                </w:tcPr>
                <w:p w14:paraId="5EF1F280">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颗粒物</w:t>
                  </w:r>
                </w:p>
              </w:tc>
              <w:tc>
                <w:tcPr>
                  <w:tcW w:w="1859" w:type="pct"/>
                  <w:vMerge w:val="continue"/>
                  <w:noWrap w:val="0"/>
                  <w:tcMar>
                    <w:top w:w="57" w:type="dxa"/>
                    <w:bottom w:w="57" w:type="dxa"/>
                  </w:tcMar>
                  <w:vAlign w:val="center"/>
                </w:tcPr>
                <w:p w14:paraId="2354E32D">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p>
              </w:tc>
              <w:tc>
                <w:tcPr>
                  <w:tcW w:w="594" w:type="pct"/>
                  <w:vMerge w:val="continue"/>
                  <w:noWrap w:val="0"/>
                  <w:vAlign w:val="center"/>
                </w:tcPr>
                <w:p w14:paraId="4BC39CAF">
                  <w:pPr>
                    <w:pStyle w:val="65"/>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p>
              </w:tc>
            </w:tr>
            <w:tr w14:paraId="21C2BC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44" w:type="pct"/>
                  <w:vMerge w:val="restart"/>
                  <w:noWrap w:val="0"/>
                  <w:tcMar>
                    <w:top w:w="57" w:type="dxa"/>
                    <w:bottom w:w="57" w:type="dxa"/>
                  </w:tcMar>
                  <w:vAlign w:val="center"/>
                </w:tcPr>
                <w:p w14:paraId="551FB6D6">
                  <w:pPr>
                    <w:keepNext w:val="0"/>
                    <w:keepLines w:val="0"/>
                    <w:pageBreakBefore w:val="0"/>
                    <w:suppressLineNumbers w:val="0"/>
                    <w:kinsoku/>
                    <w:wordWrap/>
                    <w:overflowPunct/>
                    <w:topLinePunct w:val="0"/>
                    <w:bidi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固废</w:t>
                  </w:r>
                </w:p>
              </w:tc>
              <w:tc>
                <w:tcPr>
                  <w:tcW w:w="1603" w:type="pct"/>
                  <w:gridSpan w:val="3"/>
                  <w:noWrap w:val="0"/>
                  <w:tcMar>
                    <w:top w:w="57" w:type="dxa"/>
                    <w:bottom w:w="57" w:type="dxa"/>
                  </w:tcMar>
                  <w:vAlign w:val="center"/>
                </w:tcPr>
                <w:p w14:paraId="52EB90B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bCs/>
                      <w:color w:val="000000" w:themeColor="text1"/>
                      <w:kern w:val="0"/>
                      <w:sz w:val="21"/>
                      <w:szCs w:val="21"/>
                      <w:highlight w:val="none"/>
                      <w:u w:val="none" w:color="auto"/>
                      <w:lang w:val="en-US" w:eastAsia="zh-CN"/>
                      <w14:textFill>
                        <w14:solidFill>
                          <w14:schemeClr w14:val="tx1"/>
                        </w14:solidFill>
                      </w14:textFill>
                    </w:rPr>
                    <w:t>职工生活</w:t>
                  </w:r>
                </w:p>
              </w:tc>
              <w:tc>
                <w:tcPr>
                  <w:tcW w:w="598" w:type="pct"/>
                  <w:noWrap w:val="0"/>
                  <w:tcMar>
                    <w:top w:w="57" w:type="dxa"/>
                    <w:bottom w:w="57" w:type="dxa"/>
                  </w:tcMar>
                  <w:vAlign w:val="center"/>
                </w:tcPr>
                <w:p w14:paraId="474D813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职工生活垃圾</w:t>
                  </w:r>
                </w:p>
              </w:tc>
              <w:tc>
                <w:tcPr>
                  <w:tcW w:w="1859" w:type="pct"/>
                  <w:noWrap w:val="0"/>
                  <w:tcMar>
                    <w:top w:w="57" w:type="dxa"/>
                    <w:bottom w:w="57" w:type="dxa"/>
                  </w:tcMar>
                  <w:vAlign w:val="center"/>
                </w:tcPr>
                <w:p w14:paraId="07763A3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bCs/>
                      <w:color w:val="000000" w:themeColor="text1"/>
                      <w:kern w:val="0"/>
                      <w:sz w:val="21"/>
                      <w:szCs w:val="21"/>
                      <w:highlight w:val="none"/>
                      <w:u w:val="none" w:color="auto"/>
                      <w14:textFill>
                        <w14:solidFill>
                          <w14:schemeClr w14:val="tx1"/>
                        </w14:solidFill>
                      </w14:textFill>
                    </w:rPr>
                    <w:t>分类收集后交由环卫部门运至附近垃圾中转站处理</w:t>
                  </w:r>
                </w:p>
              </w:tc>
              <w:tc>
                <w:tcPr>
                  <w:tcW w:w="594" w:type="pct"/>
                  <w:noWrap w:val="0"/>
                  <w:vAlign w:val="center"/>
                </w:tcPr>
                <w:p w14:paraId="32D44B21">
                  <w:pPr>
                    <w:keepNext w:val="0"/>
                    <w:keepLines w:val="0"/>
                    <w:pageBreakBefore w:val="0"/>
                    <w:suppressLineNumbers w:val="0"/>
                    <w:kinsoku/>
                    <w:wordWrap/>
                    <w:overflowPunct/>
                    <w:topLinePunct w:val="0"/>
                    <w:bidi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0.5</w:t>
                  </w:r>
                </w:p>
              </w:tc>
            </w:tr>
            <w:tr w14:paraId="4386BF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44" w:type="pct"/>
                  <w:vMerge w:val="continue"/>
                  <w:noWrap w:val="0"/>
                  <w:tcMar>
                    <w:top w:w="57" w:type="dxa"/>
                    <w:bottom w:w="57" w:type="dxa"/>
                  </w:tcMar>
                  <w:vAlign w:val="center"/>
                </w:tcPr>
                <w:p w14:paraId="7EE3D6CB">
                  <w:pPr>
                    <w:keepNext w:val="0"/>
                    <w:keepLines w:val="0"/>
                    <w:pageBreakBefore w:val="0"/>
                    <w:suppressLineNumbers w:val="0"/>
                    <w:kinsoku/>
                    <w:wordWrap/>
                    <w:overflowPunct/>
                    <w:topLinePunct w:val="0"/>
                    <w:bidi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1603" w:type="pct"/>
                  <w:gridSpan w:val="3"/>
                  <w:noWrap w:val="0"/>
                  <w:tcMar>
                    <w:top w:w="57" w:type="dxa"/>
                    <w:bottom w:w="57" w:type="dxa"/>
                  </w:tcMar>
                  <w:vAlign w:val="center"/>
                </w:tcPr>
                <w:p w14:paraId="429D036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bCs/>
                      <w:color w:val="000000" w:themeColor="text1"/>
                      <w:kern w:val="0"/>
                      <w:sz w:val="21"/>
                      <w:szCs w:val="21"/>
                      <w:highlight w:val="none"/>
                      <w:u w:val="none" w:color="auto"/>
                      <w:lang w:val="en-US" w:eastAsia="zh-CN"/>
                      <w14:textFill>
                        <w14:solidFill>
                          <w14:schemeClr w14:val="tx1"/>
                        </w14:solidFill>
                      </w14:textFill>
                    </w:rPr>
                    <w:t>化粪池</w:t>
                  </w:r>
                </w:p>
              </w:tc>
              <w:tc>
                <w:tcPr>
                  <w:tcW w:w="598" w:type="pct"/>
                  <w:noWrap w:val="0"/>
                  <w:tcMar>
                    <w:top w:w="57" w:type="dxa"/>
                    <w:bottom w:w="57" w:type="dxa"/>
                  </w:tcMar>
                  <w:vAlign w:val="center"/>
                </w:tcPr>
                <w:p w14:paraId="4F12474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bCs/>
                      <w:color w:val="000000" w:themeColor="text1"/>
                      <w:kern w:val="0"/>
                      <w:sz w:val="21"/>
                      <w:szCs w:val="21"/>
                      <w:highlight w:val="none"/>
                      <w:u w:val="none" w:color="auto"/>
                      <w:lang w:val="en-US" w:eastAsia="zh-CN"/>
                      <w14:textFill>
                        <w14:solidFill>
                          <w14:schemeClr w14:val="tx1"/>
                        </w14:solidFill>
                      </w14:textFill>
                    </w:rPr>
                    <w:t>污泥</w:t>
                  </w:r>
                </w:p>
              </w:tc>
              <w:tc>
                <w:tcPr>
                  <w:tcW w:w="1859" w:type="pct"/>
                  <w:noWrap w:val="0"/>
                  <w:tcMar>
                    <w:top w:w="57" w:type="dxa"/>
                    <w:bottom w:w="57" w:type="dxa"/>
                  </w:tcMar>
                  <w:vAlign w:val="center"/>
                </w:tcPr>
                <w:p w14:paraId="07FB3DF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bCs/>
                      <w:color w:val="000000" w:themeColor="text1"/>
                      <w:kern w:val="0"/>
                      <w:sz w:val="21"/>
                      <w:szCs w:val="21"/>
                      <w:highlight w:val="none"/>
                      <w:u w:val="none" w:color="auto"/>
                      <w:lang w:val="en-US" w:eastAsia="zh-CN"/>
                      <w14:textFill>
                        <w14:solidFill>
                          <w14:schemeClr w14:val="tx1"/>
                        </w14:solidFill>
                      </w14:textFill>
                    </w:rPr>
                    <w:t>定期清掏交由环卫部门处理</w:t>
                  </w:r>
                </w:p>
              </w:tc>
              <w:tc>
                <w:tcPr>
                  <w:tcW w:w="594" w:type="pct"/>
                  <w:noWrap w:val="0"/>
                  <w:vAlign w:val="center"/>
                </w:tcPr>
                <w:p w14:paraId="325103DC">
                  <w:pPr>
                    <w:keepNext w:val="0"/>
                    <w:keepLines w:val="0"/>
                    <w:pageBreakBefore w:val="0"/>
                    <w:suppressLineNumbers w:val="0"/>
                    <w:kinsoku/>
                    <w:wordWrap/>
                    <w:overflowPunct/>
                    <w:topLinePunct w:val="0"/>
                    <w:bidi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0.5</w:t>
                  </w:r>
                </w:p>
              </w:tc>
            </w:tr>
            <w:tr w14:paraId="41828E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44" w:type="pct"/>
                  <w:vMerge w:val="continue"/>
                  <w:noWrap w:val="0"/>
                  <w:tcMar>
                    <w:top w:w="57" w:type="dxa"/>
                    <w:bottom w:w="57" w:type="dxa"/>
                  </w:tcMar>
                  <w:vAlign w:val="center"/>
                </w:tcPr>
                <w:p w14:paraId="4182AE2E">
                  <w:pPr>
                    <w:keepNext w:val="0"/>
                    <w:keepLines w:val="0"/>
                    <w:pageBreakBefore w:val="0"/>
                    <w:suppressLineNumbers w:val="0"/>
                    <w:kinsoku/>
                    <w:wordWrap/>
                    <w:overflowPunct/>
                    <w:topLinePunct w:val="0"/>
                    <w:bidi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1603" w:type="pct"/>
                  <w:gridSpan w:val="3"/>
                  <w:noWrap w:val="0"/>
                  <w:tcMar>
                    <w:top w:w="57" w:type="dxa"/>
                    <w:bottom w:w="57" w:type="dxa"/>
                  </w:tcMar>
                  <w:vAlign w:val="center"/>
                </w:tcPr>
                <w:p w14:paraId="47CFFB1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bCs/>
                      <w:color w:val="000000" w:themeColor="text1"/>
                      <w:kern w:val="0"/>
                      <w:sz w:val="21"/>
                      <w:szCs w:val="21"/>
                      <w:highlight w:val="none"/>
                      <w:u w:val="none" w:color="auto"/>
                      <w:lang w:val="en-US" w:eastAsia="zh-CN"/>
                      <w14:textFill>
                        <w14:solidFill>
                          <w14:schemeClr w14:val="tx1"/>
                        </w14:solidFill>
                      </w14:textFill>
                    </w:rPr>
                    <w:t>袋式除尘器</w:t>
                  </w:r>
                </w:p>
              </w:tc>
              <w:tc>
                <w:tcPr>
                  <w:tcW w:w="598" w:type="pct"/>
                  <w:noWrap w:val="0"/>
                  <w:tcMar>
                    <w:top w:w="57" w:type="dxa"/>
                    <w:bottom w:w="57" w:type="dxa"/>
                  </w:tcMar>
                  <w:vAlign w:val="center"/>
                </w:tcPr>
                <w:p w14:paraId="6D88EA6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eastAsia" w:cs="Times New Roman"/>
                      <w:color w:val="000000" w:themeColor="text1"/>
                      <w:sz w:val="21"/>
                      <w:szCs w:val="21"/>
                      <w:highlight w:val="none"/>
                      <w:u w:val="none" w:color="auto"/>
                      <w:lang w:val="en-US" w:eastAsia="zh-CN"/>
                      <w14:textFill>
                        <w14:solidFill>
                          <w14:schemeClr w14:val="tx1"/>
                        </w14:solidFill>
                      </w14:textFill>
                    </w:rPr>
                    <w:t>颗粒物</w:t>
                  </w:r>
                </w:p>
              </w:tc>
              <w:tc>
                <w:tcPr>
                  <w:tcW w:w="1859" w:type="pct"/>
                  <w:noWrap w:val="0"/>
                  <w:tcMar>
                    <w:top w:w="57" w:type="dxa"/>
                    <w:bottom w:w="57" w:type="dxa"/>
                  </w:tcMar>
                  <w:vAlign w:val="center"/>
                </w:tcPr>
                <w:p w14:paraId="380F80C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定期收集后</w:t>
                  </w: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外售</w:t>
                  </w:r>
                  <w:r>
                    <w:rPr>
                      <w:rFonts w:hint="eastAsia" w:cs="Times New Roman"/>
                      <w:color w:val="000000" w:themeColor="text1"/>
                      <w:sz w:val="21"/>
                      <w:szCs w:val="21"/>
                      <w:highlight w:val="none"/>
                      <w:u w:val="none" w:color="auto"/>
                      <w:lang w:val="en-US" w:eastAsia="zh-CN"/>
                      <w14:textFill>
                        <w14:solidFill>
                          <w14:schemeClr w14:val="tx1"/>
                        </w14:solidFill>
                      </w14:textFill>
                    </w:rPr>
                    <w:t>做农肥</w:t>
                  </w:r>
                </w:p>
              </w:tc>
              <w:tc>
                <w:tcPr>
                  <w:tcW w:w="594" w:type="pct"/>
                  <w:vMerge w:val="restart"/>
                  <w:noWrap w:val="0"/>
                  <w:vAlign w:val="center"/>
                </w:tcPr>
                <w:p w14:paraId="3134B3FD">
                  <w:pPr>
                    <w:keepNext w:val="0"/>
                    <w:keepLines w:val="0"/>
                    <w:pageBreakBefore w:val="0"/>
                    <w:suppressLineNumbers w:val="0"/>
                    <w:kinsoku/>
                    <w:wordWrap/>
                    <w:overflowPunct/>
                    <w:topLinePunct w:val="0"/>
                    <w:bidi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highlight w:val="none"/>
                      <w:u w:val="none" w:color="auto"/>
                      <w:lang w:eastAsia="zh-CN"/>
                      <w14:textFill>
                        <w14:solidFill>
                          <w14:schemeClr w14:val="tx1"/>
                        </w14:solidFill>
                      </w14:textFill>
                    </w:rPr>
                  </w:pPr>
                  <w:r>
                    <w:rPr>
                      <w:rFonts w:hint="eastAsia" w:cs="Times New Roman"/>
                      <w:color w:val="000000" w:themeColor="text1"/>
                      <w:sz w:val="21"/>
                      <w:szCs w:val="21"/>
                      <w:highlight w:val="none"/>
                      <w:u w:val="none" w:color="auto"/>
                      <w:lang w:val="en-US" w:eastAsia="zh-CN"/>
                      <w14:textFill>
                        <w14:solidFill>
                          <w14:schemeClr w14:val="tx1"/>
                        </w14:solidFill>
                      </w14:textFill>
                    </w:rPr>
                    <w:t>3</w:t>
                  </w:r>
                </w:p>
              </w:tc>
            </w:tr>
            <w:tr w14:paraId="5E3C44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44" w:type="pct"/>
                  <w:vMerge w:val="continue"/>
                  <w:noWrap w:val="0"/>
                  <w:tcMar>
                    <w:top w:w="57" w:type="dxa"/>
                    <w:bottom w:w="57" w:type="dxa"/>
                  </w:tcMar>
                  <w:vAlign w:val="center"/>
                </w:tcPr>
                <w:p w14:paraId="3055F983">
                  <w:pPr>
                    <w:keepNext w:val="0"/>
                    <w:keepLines w:val="0"/>
                    <w:pageBreakBefore w:val="0"/>
                    <w:suppressLineNumbers w:val="0"/>
                    <w:kinsoku/>
                    <w:wordWrap/>
                    <w:overflowPunct/>
                    <w:topLinePunct w:val="0"/>
                    <w:bidi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1603" w:type="pct"/>
                  <w:gridSpan w:val="3"/>
                  <w:noWrap w:val="0"/>
                  <w:tcMar>
                    <w:top w:w="57" w:type="dxa"/>
                    <w:bottom w:w="57" w:type="dxa"/>
                  </w:tcMar>
                  <w:vAlign w:val="center"/>
                </w:tcPr>
                <w:p w14:paraId="445D7C4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sz w:val="21"/>
                      <w:szCs w:val="21"/>
                      <w:highlight w:val="none"/>
                      <w:u w:val="none" w:color="auto"/>
                      <w:lang w:val="en-US"/>
                      <w14:textFill>
                        <w14:solidFill>
                          <w14:schemeClr w14:val="tx1"/>
                        </w14:solidFill>
                      </w14:textFill>
                    </w:rPr>
                  </w:pPr>
                  <w:r>
                    <w:rPr>
                      <w:rFonts w:hint="default" w:ascii="Times New Roman" w:hAnsi="Times New Roman" w:cs="Times New Roman"/>
                      <w:bCs/>
                      <w:color w:val="000000" w:themeColor="text1"/>
                      <w:kern w:val="0"/>
                      <w:sz w:val="21"/>
                      <w:szCs w:val="21"/>
                      <w:highlight w:val="none"/>
                      <w:u w:val="none" w:color="auto"/>
                      <w:lang w:val="en-US" w:eastAsia="zh-CN"/>
                      <w14:textFill>
                        <w14:solidFill>
                          <w14:schemeClr w14:val="tx1"/>
                        </w14:solidFill>
                      </w14:textFill>
                    </w:rPr>
                    <w:t>生物质燃料</w:t>
                  </w:r>
                  <w:r>
                    <w:rPr>
                      <w:rFonts w:hint="default" w:ascii="Times New Roman" w:hAnsi="Times New Roman" w:eastAsia="宋体" w:cs="Times New Roman"/>
                      <w:b w:val="0"/>
                      <w:bCs w:val="0"/>
                      <w:color w:val="000000" w:themeColor="text1"/>
                      <w:kern w:val="0"/>
                      <w:sz w:val="21"/>
                      <w:szCs w:val="21"/>
                      <w:highlight w:val="none"/>
                      <w:u w:val="none" w:color="auto"/>
                      <w:lang w:val="en-US" w:eastAsia="zh-CN" w:bidi="ar"/>
                      <w14:textFill>
                        <w14:solidFill>
                          <w14:schemeClr w14:val="tx1"/>
                        </w14:solidFill>
                      </w14:textFill>
                    </w:rPr>
                    <w:t>点炉</w:t>
                  </w:r>
                  <w:r>
                    <w:rPr>
                      <w:rFonts w:hint="default" w:ascii="Times New Roman" w:hAnsi="Times New Roman" w:cs="Times New Roman"/>
                      <w:b w:val="0"/>
                      <w:bCs w:val="0"/>
                      <w:color w:val="000000" w:themeColor="text1"/>
                      <w:kern w:val="0"/>
                      <w:sz w:val="21"/>
                      <w:szCs w:val="21"/>
                      <w:highlight w:val="none"/>
                      <w:u w:val="none" w:color="auto"/>
                      <w:lang w:val="en-US" w:eastAsia="zh-CN" w:bidi="ar"/>
                      <w14:textFill>
                        <w14:solidFill>
                          <w14:schemeClr w14:val="tx1"/>
                        </w14:solidFill>
                      </w14:textFill>
                    </w:rPr>
                    <w:t>等</w:t>
                  </w:r>
                  <w:r>
                    <w:rPr>
                      <w:rFonts w:hint="eastAsia" w:ascii="Times New Roman" w:hAnsi="Times New Roman" w:cs="Times New Roman"/>
                      <w:b w:val="0"/>
                      <w:bCs w:val="0"/>
                      <w:color w:val="000000" w:themeColor="text1"/>
                      <w:kern w:val="0"/>
                      <w:sz w:val="21"/>
                      <w:szCs w:val="21"/>
                      <w:highlight w:val="none"/>
                      <w:u w:val="none" w:color="auto"/>
                      <w:lang w:val="en-US" w:eastAsia="zh-CN" w:bidi="ar"/>
                      <w14:textFill>
                        <w14:solidFill>
                          <w14:schemeClr w14:val="tx1"/>
                        </w14:solidFill>
                      </w14:textFill>
                    </w:rPr>
                    <w:t>过程</w:t>
                  </w:r>
                </w:p>
              </w:tc>
              <w:tc>
                <w:tcPr>
                  <w:tcW w:w="598" w:type="pct"/>
                  <w:noWrap w:val="0"/>
                  <w:tcMar>
                    <w:top w:w="57" w:type="dxa"/>
                    <w:bottom w:w="57" w:type="dxa"/>
                  </w:tcMar>
                  <w:vAlign w:val="center"/>
                </w:tcPr>
                <w:p w14:paraId="0796897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eastAsia" w:cs="Times New Roman"/>
                      <w:color w:val="000000" w:themeColor="text1"/>
                      <w:sz w:val="21"/>
                      <w:szCs w:val="21"/>
                      <w:highlight w:val="none"/>
                      <w:u w:val="none" w:color="auto"/>
                      <w:lang w:val="en-US" w:eastAsia="zh-CN"/>
                      <w14:textFill>
                        <w14:solidFill>
                          <w14:schemeClr w14:val="tx1"/>
                        </w14:solidFill>
                      </w14:textFill>
                    </w:rPr>
                    <w:t>灰渣</w:t>
                  </w:r>
                </w:p>
              </w:tc>
              <w:tc>
                <w:tcPr>
                  <w:tcW w:w="1859" w:type="pct"/>
                  <w:noWrap w:val="0"/>
                  <w:tcMar>
                    <w:top w:w="57" w:type="dxa"/>
                    <w:bottom w:w="57" w:type="dxa"/>
                  </w:tcMar>
                  <w:vAlign w:val="center"/>
                </w:tcPr>
                <w:p w14:paraId="6526FC1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定期收集后</w:t>
                  </w: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外售</w:t>
                  </w:r>
                  <w:r>
                    <w:rPr>
                      <w:rFonts w:hint="eastAsia"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做农肥</w:t>
                  </w:r>
                </w:p>
              </w:tc>
              <w:tc>
                <w:tcPr>
                  <w:tcW w:w="594" w:type="pct"/>
                  <w:vMerge w:val="continue"/>
                  <w:noWrap w:val="0"/>
                  <w:vAlign w:val="center"/>
                </w:tcPr>
                <w:p w14:paraId="06AFBA9D">
                  <w:pPr>
                    <w:keepNext w:val="0"/>
                    <w:keepLines w:val="0"/>
                    <w:pageBreakBefore w:val="0"/>
                    <w:suppressLineNumbers w:val="0"/>
                    <w:kinsoku/>
                    <w:wordWrap/>
                    <w:overflowPunct/>
                    <w:topLinePunct w:val="0"/>
                    <w:bidi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r>
            <w:tr w14:paraId="75A5D0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44" w:type="pct"/>
                  <w:vMerge w:val="continue"/>
                  <w:noWrap w:val="0"/>
                  <w:tcMar>
                    <w:top w:w="57" w:type="dxa"/>
                    <w:bottom w:w="57" w:type="dxa"/>
                  </w:tcMar>
                  <w:vAlign w:val="center"/>
                </w:tcPr>
                <w:p w14:paraId="4A5DE751">
                  <w:pPr>
                    <w:keepNext w:val="0"/>
                    <w:keepLines w:val="0"/>
                    <w:pageBreakBefore w:val="0"/>
                    <w:suppressLineNumbers w:val="0"/>
                    <w:kinsoku/>
                    <w:wordWrap/>
                    <w:overflowPunct/>
                    <w:topLinePunct w:val="0"/>
                    <w:bidi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1603" w:type="pct"/>
                  <w:gridSpan w:val="3"/>
                  <w:shd w:val="clear" w:color="auto" w:fill="auto"/>
                  <w:noWrap w:val="0"/>
                  <w:tcMar>
                    <w:top w:w="57" w:type="dxa"/>
                    <w:bottom w:w="57" w:type="dxa"/>
                  </w:tcMar>
                  <w:vAlign w:val="center"/>
                </w:tcPr>
                <w:p w14:paraId="2497367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bCs/>
                      <w:color w:val="000000" w:themeColor="text1"/>
                      <w:kern w:val="0"/>
                      <w:sz w:val="21"/>
                      <w:szCs w:val="21"/>
                      <w:highlight w:val="none"/>
                      <w:u w:val="none" w:color="auto"/>
                      <w:lang w:val="en-US" w:eastAsia="zh-CN" w:bidi="ar-SA"/>
                      <w14:textFill>
                        <w14:solidFill>
                          <w14:schemeClr w14:val="tx1"/>
                        </w14:solidFill>
                      </w14:textFill>
                    </w:rPr>
                  </w:pPr>
                  <w:r>
                    <w:rPr>
                      <w:rFonts w:hint="eastAsia" w:cs="Times New Roman"/>
                      <w:color w:val="000000" w:themeColor="text1"/>
                      <w:sz w:val="21"/>
                      <w:szCs w:val="21"/>
                      <w:highlight w:val="none"/>
                      <w:u w:val="none" w:color="auto"/>
                      <w:lang w:val="en-US" w:eastAsia="zh-CN"/>
                      <w14:textFill>
                        <w14:solidFill>
                          <w14:schemeClr w14:val="tx1"/>
                        </w14:solidFill>
                      </w14:textFill>
                    </w:rPr>
                    <w:t>锯切等过程产生</w:t>
                  </w:r>
                </w:p>
              </w:tc>
              <w:tc>
                <w:tcPr>
                  <w:tcW w:w="598" w:type="pct"/>
                  <w:shd w:val="clear" w:color="auto" w:fill="auto"/>
                  <w:noWrap w:val="0"/>
                  <w:tcMar>
                    <w:top w:w="57" w:type="dxa"/>
                    <w:bottom w:w="57" w:type="dxa"/>
                  </w:tcMar>
                  <w:vAlign w:val="center"/>
                </w:tcPr>
                <w:p w14:paraId="3A72F16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eastAsia" w:cs="Times New Roman"/>
                      <w:color w:val="000000" w:themeColor="text1"/>
                      <w:sz w:val="21"/>
                      <w:szCs w:val="21"/>
                      <w:highlight w:val="none"/>
                      <w:u w:val="none" w:color="auto"/>
                      <w:lang w:val="en-US" w:eastAsia="zh-CN"/>
                      <w14:textFill>
                        <w14:solidFill>
                          <w14:schemeClr w14:val="tx1"/>
                        </w14:solidFill>
                      </w14:textFill>
                    </w:rPr>
                    <w:t>废炭渣</w:t>
                  </w:r>
                </w:p>
              </w:tc>
              <w:tc>
                <w:tcPr>
                  <w:tcW w:w="1859" w:type="pct"/>
                  <w:shd w:val="clear" w:color="auto" w:fill="auto"/>
                  <w:noWrap w:val="0"/>
                  <w:tcMar>
                    <w:top w:w="57" w:type="dxa"/>
                    <w:bottom w:w="57" w:type="dxa"/>
                  </w:tcMar>
                  <w:vAlign w:val="center"/>
                </w:tcPr>
                <w:p w14:paraId="35BF63D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eastAsia" w:cs="Times New Roman"/>
                      <w:color w:val="000000" w:themeColor="text1"/>
                      <w:sz w:val="21"/>
                      <w:szCs w:val="21"/>
                      <w:highlight w:val="none"/>
                      <w:u w:val="none" w:color="auto"/>
                      <w:lang w:val="en-US" w:eastAsia="zh-CN"/>
                      <w14:textFill>
                        <w14:solidFill>
                          <w14:schemeClr w14:val="tx1"/>
                        </w14:solidFill>
                      </w14:textFill>
                    </w:rPr>
                    <w:t>定期收集后外售</w:t>
                  </w:r>
                </w:p>
              </w:tc>
              <w:tc>
                <w:tcPr>
                  <w:tcW w:w="594" w:type="pct"/>
                  <w:vMerge w:val="continue"/>
                  <w:noWrap w:val="0"/>
                  <w:vAlign w:val="center"/>
                </w:tcPr>
                <w:p w14:paraId="22AF2AC8">
                  <w:pPr>
                    <w:keepNext w:val="0"/>
                    <w:keepLines w:val="0"/>
                    <w:pageBreakBefore w:val="0"/>
                    <w:suppressLineNumbers w:val="0"/>
                    <w:kinsoku/>
                    <w:wordWrap/>
                    <w:overflowPunct/>
                    <w:topLinePunct w:val="0"/>
                    <w:bidi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r>
            <w:tr w14:paraId="415350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44" w:type="pct"/>
                  <w:vMerge w:val="continue"/>
                  <w:noWrap w:val="0"/>
                  <w:tcMar>
                    <w:top w:w="57" w:type="dxa"/>
                    <w:bottom w:w="57" w:type="dxa"/>
                  </w:tcMar>
                  <w:vAlign w:val="center"/>
                </w:tcPr>
                <w:p w14:paraId="32CE691D">
                  <w:pPr>
                    <w:keepNext w:val="0"/>
                    <w:keepLines w:val="0"/>
                    <w:pageBreakBefore w:val="0"/>
                    <w:suppressLineNumbers w:val="0"/>
                    <w:kinsoku/>
                    <w:wordWrap/>
                    <w:overflowPunct/>
                    <w:topLinePunct w:val="0"/>
                    <w:bidi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1603" w:type="pct"/>
                  <w:gridSpan w:val="3"/>
                  <w:noWrap w:val="0"/>
                  <w:tcMar>
                    <w:top w:w="57" w:type="dxa"/>
                    <w:bottom w:w="57" w:type="dxa"/>
                  </w:tcMar>
                  <w:vAlign w:val="center"/>
                </w:tcPr>
                <w:p w14:paraId="5DC4C56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eastAsia" w:cs="Times New Roman"/>
                      <w:color w:val="000000" w:themeColor="text1"/>
                      <w:sz w:val="21"/>
                      <w:szCs w:val="21"/>
                      <w:highlight w:val="none"/>
                      <w:u w:val="none" w:color="auto"/>
                      <w:lang w:val="en-US" w:eastAsia="zh-CN"/>
                      <w14:textFill>
                        <w14:solidFill>
                          <w14:schemeClr w14:val="tx1"/>
                        </w14:solidFill>
                      </w14:textFill>
                    </w:rPr>
                    <w:t>包装过程</w:t>
                  </w:r>
                </w:p>
              </w:tc>
              <w:tc>
                <w:tcPr>
                  <w:tcW w:w="598" w:type="pct"/>
                  <w:noWrap w:val="0"/>
                  <w:tcMar>
                    <w:top w:w="57" w:type="dxa"/>
                    <w:bottom w:w="57" w:type="dxa"/>
                  </w:tcMar>
                  <w:vAlign w:val="center"/>
                </w:tcPr>
                <w:p w14:paraId="487FBB6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eastAsia" w:cs="Times New Roman"/>
                      <w:color w:val="000000" w:themeColor="text1"/>
                      <w:sz w:val="21"/>
                      <w:szCs w:val="21"/>
                      <w:highlight w:val="none"/>
                      <w:u w:val="none" w:color="auto"/>
                      <w:lang w:val="en-US" w:eastAsia="zh-CN"/>
                      <w14:textFill>
                        <w14:solidFill>
                          <w14:schemeClr w14:val="tx1"/>
                        </w14:solidFill>
                      </w14:textFill>
                    </w:rPr>
                    <w:t>废包装材料</w:t>
                  </w:r>
                </w:p>
              </w:tc>
              <w:tc>
                <w:tcPr>
                  <w:tcW w:w="1859" w:type="pct"/>
                  <w:noWrap w:val="0"/>
                  <w:tcMar>
                    <w:top w:w="57" w:type="dxa"/>
                    <w:bottom w:w="57" w:type="dxa"/>
                  </w:tcMar>
                  <w:vAlign w:val="center"/>
                </w:tcPr>
                <w:p w14:paraId="11CEF11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Times New Roman" w:hAnsi="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olor w:val="000000" w:themeColor="text1"/>
                      <w:sz w:val="21"/>
                      <w:szCs w:val="21"/>
                      <w:u w:val="none" w:color="auto"/>
                      <w:lang w:val="en-US" w:eastAsia="zh-CN"/>
                      <w14:textFill>
                        <w14:solidFill>
                          <w14:schemeClr w14:val="tx1"/>
                        </w14:solidFill>
                      </w14:textFill>
                    </w:rPr>
                    <w:t>收集后外售</w:t>
                  </w:r>
                </w:p>
              </w:tc>
              <w:tc>
                <w:tcPr>
                  <w:tcW w:w="594" w:type="pct"/>
                  <w:vMerge w:val="continue"/>
                  <w:noWrap w:val="0"/>
                  <w:vAlign w:val="center"/>
                </w:tcPr>
                <w:p w14:paraId="5245FFC3">
                  <w:pPr>
                    <w:keepNext w:val="0"/>
                    <w:keepLines w:val="0"/>
                    <w:pageBreakBefore w:val="0"/>
                    <w:suppressLineNumbers w:val="0"/>
                    <w:kinsoku/>
                    <w:wordWrap/>
                    <w:overflowPunct/>
                    <w:topLinePunct w:val="0"/>
                    <w:bidi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r>
            <w:tr w14:paraId="7584D7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44" w:type="pct"/>
                  <w:vMerge w:val="continue"/>
                  <w:noWrap w:val="0"/>
                  <w:tcMar>
                    <w:top w:w="57" w:type="dxa"/>
                    <w:bottom w:w="57" w:type="dxa"/>
                  </w:tcMar>
                  <w:vAlign w:val="center"/>
                </w:tcPr>
                <w:p w14:paraId="16AFB53E">
                  <w:pPr>
                    <w:keepNext w:val="0"/>
                    <w:keepLines w:val="0"/>
                    <w:pageBreakBefore w:val="0"/>
                    <w:suppressLineNumbers w:val="0"/>
                    <w:kinsoku/>
                    <w:wordWrap/>
                    <w:overflowPunct/>
                    <w:topLinePunct w:val="0"/>
                    <w:bidi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1603" w:type="pct"/>
                  <w:gridSpan w:val="3"/>
                  <w:shd w:val="clear" w:color="auto" w:fill="auto"/>
                  <w:noWrap w:val="0"/>
                  <w:tcMar>
                    <w:top w:w="57" w:type="dxa"/>
                    <w:bottom w:w="57" w:type="dxa"/>
                  </w:tcMar>
                  <w:vAlign w:val="center"/>
                </w:tcPr>
                <w:p w14:paraId="441E5510">
                  <w:pPr>
                    <w:pStyle w:val="51"/>
                    <w:keepNext w:val="0"/>
                    <w:keepLines w:val="0"/>
                    <w:pageBreakBefore w:val="0"/>
                    <w:suppressLineNumbers w:val="0"/>
                    <w:kinsoku/>
                    <w:wordWrap/>
                    <w:overflowPunct/>
                    <w:topLinePunct w:val="0"/>
                    <w:bidi w:val="0"/>
                    <w:snapToGrid w:val="0"/>
                    <w:spacing w:before="0" w:beforeAutospacing="0" w:after="0" w:afterAutospacing="0" w:line="240" w:lineRule="auto"/>
                    <w:ind w:left="0" w:leftChars="0" w:right="0" w:rightChars="0"/>
                    <w:rPr>
                      <w:rFonts w:hint="eastAsia" w:ascii="Times New Roman" w:hAnsi="Times New Roman" w:eastAsia="宋体" w:cs="Times New Roman"/>
                      <w:color w:val="000000" w:themeColor="text1"/>
                      <w:kern w:val="24"/>
                      <w:sz w:val="21"/>
                      <w:szCs w:val="21"/>
                      <w:highlight w:val="none"/>
                      <w:u w:val="none" w:color="auto"/>
                      <w:lang w:val="en-US" w:eastAsia="zh-CN" w:bidi="ar-SA"/>
                      <w14:textFill>
                        <w14:solidFill>
                          <w14:schemeClr w14:val="tx1"/>
                        </w14:solidFill>
                      </w14:textFill>
                    </w:rPr>
                  </w:pPr>
                  <w:r>
                    <w:rPr>
                      <w:rFonts w:hint="eastAsia"/>
                      <w:color w:val="000000" w:themeColor="text1"/>
                      <w:sz w:val="21"/>
                      <w:szCs w:val="21"/>
                      <w:u w:val="none" w:color="auto"/>
                      <w14:textFill>
                        <w14:solidFill>
                          <w14:schemeClr w14:val="tx1"/>
                        </w14:solidFill>
                      </w14:textFill>
                    </w:rPr>
                    <w:t>炭化过程</w:t>
                  </w:r>
                </w:p>
              </w:tc>
              <w:tc>
                <w:tcPr>
                  <w:tcW w:w="598" w:type="pct"/>
                  <w:shd w:val="clear" w:color="auto" w:fill="auto"/>
                  <w:noWrap w:val="0"/>
                  <w:tcMar>
                    <w:top w:w="57" w:type="dxa"/>
                    <w:bottom w:w="57" w:type="dxa"/>
                  </w:tcMar>
                  <w:vAlign w:val="center"/>
                </w:tcPr>
                <w:p w14:paraId="467EB02E">
                  <w:pPr>
                    <w:keepNext w:val="0"/>
                    <w:keepLines w:val="0"/>
                    <w:pageBreakBefore w:val="0"/>
                    <w:suppressLineNumbers w:val="0"/>
                    <w:kinsoku/>
                    <w:wordWrap/>
                    <w:overflowPunct/>
                    <w:topLinePunct w:val="0"/>
                    <w:bidi w:val="0"/>
                    <w:spacing w:before="0" w:beforeAutospacing="0" w:after="0" w:afterAutospacing="0" w:line="240" w:lineRule="auto"/>
                    <w:ind w:left="0" w:leftChars="0" w:right="0" w:rightChars="0"/>
                    <w:jc w:val="center"/>
                    <w:rPr>
                      <w:rFonts w:hint="eastAsia"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eastAsia"/>
                      <w:color w:val="000000" w:themeColor="text1"/>
                      <w:sz w:val="21"/>
                      <w:szCs w:val="21"/>
                      <w:u w:val="none" w:color="auto"/>
                      <w:lang w:val="en-US" w:eastAsia="zh-CN"/>
                      <w14:textFill>
                        <w14:solidFill>
                          <w14:schemeClr w14:val="tx1"/>
                        </w14:solidFill>
                      </w14:textFill>
                    </w:rPr>
                    <w:t>粗</w:t>
                  </w:r>
                  <w:r>
                    <w:rPr>
                      <w:rFonts w:hint="eastAsia"/>
                      <w:color w:val="000000" w:themeColor="text1"/>
                      <w:sz w:val="21"/>
                      <w:szCs w:val="21"/>
                      <w:u w:val="none" w:color="auto"/>
                      <w14:textFill>
                        <w14:solidFill>
                          <w14:schemeClr w14:val="tx1"/>
                        </w14:solidFill>
                      </w14:textFill>
                    </w:rPr>
                    <w:t>木焦油、木醋液</w:t>
                  </w:r>
                </w:p>
              </w:tc>
              <w:tc>
                <w:tcPr>
                  <w:tcW w:w="1859" w:type="pct"/>
                  <w:shd w:val="clear" w:color="auto" w:fill="auto"/>
                  <w:noWrap w:val="0"/>
                  <w:tcMar>
                    <w:top w:w="57" w:type="dxa"/>
                    <w:bottom w:w="57" w:type="dxa"/>
                  </w:tcMar>
                  <w:vAlign w:val="center"/>
                </w:tcPr>
                <w:p w14:paraId="44450AD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Times New Roman" w:hAnsi="Times New Roman"/>
                      <w:color w:val="000000" w:themeColor="text1"/>
                      <w:sz w:val="21"/>
                      <w:szCs w:val="21"/>
                      <w:u w:val="none" w:color="auto"/>
                      <w:lang w:val="en-US" w:eastAsia="zh-CN"/>
                      <w14:textFill>
                        <w14:solidFill>
                          <w14:schemeClr w14:val="tx1"/>
                        </w14:solidFill>
                      </w14:textFill>
                    </w:rPr>
                  </w:pPr>
                  <w:r>
                    <w:rPr>
                      <w:rFonts w:hint="eastAsia"/>
                      <w:color w:val="000000" w:themeColor="text1"/>
                      <w:sz w:val="21"/>
                      <w:szCs w:val="21"/>
                      <w:u w:val="none" w:color="auto"/>
                      <w14:textFill>
                        <w14:solidFill>
                          <w14:schemeClr w14:val="tx1"/>
                        </w14:solidFill>
                      </w14:textFill>
                    </w:rPr>
                    <w:t>采用防渗防漏的专用容器盛装密封</w:t>
                  </w:r>
                  <w:r>
                    <w:rPr>
                      <w:rFonts w:hint="eastAsia"/>
                      <w:color w:val="000000" w:themeColor="text1"/>
                      <w:sz w:val="21"/>
                      <w:szCs w:val="21"/>
                      <w:u w:val="none" w:color="auto"/>
                      <w:lang w:eastAsia="zh-CN"/>
                      <w14:textFill>
                        <w14:solidFill>
                          <w14:schemeClr w14:val="tx1"/>
                        </w14:solidFill>
                      </w14:textFill>
                    </w:rPr>
                    <w:t>，</w:t>
                  </w:r>
                  <w:r>
                    <w:rPr>
                      <w:rFonts w:hint="eastAsia"/>
                      <w:color w:val="000000" w:themeColor="text1"/>
                      <w:sz w:val="21"/>
                      <w:szCs w:val="21"/>
                      <w:u w:val="none" w:color="auto"/>
                      <w14:textFill>
                        <w14:solidFill>
                          <w14:schemeClr w14:val="tx1"/>
                        </w14:solidFill>
                      </w14:textFill>
                    </w:rPr>
                    <w:t>作为副产品外售</w:t>
                  </w:r>
                  <w:r>
                    <w:rPr>
                      <w:rFonts w:hint="eastAsia"/>
                      <w:color w:val="000000" w:themeColor="text1"/>
                      <w:sz w:val="21"/>
                      <w:szCs w:val="21"/>
                      <w:u w:val="none" w:color="auto"/>
                      <w:lang w:eastAsia="zh-CN"/>
                      <w14:textFill>
                        <w14:solidFill>
                          <w14:schemeClr w14:val="tx1"/>
                        </w14:solidFill>
                      </w14:textFill>
                    </w:rPr>
                    <w:t>。</w:t>
                  </w:r>
                  <w:r>
                    <w:rPr>
                      <w:rFonts w:hint="eastAsia"/>
                      <w:color w:val="000000" w:themeColor="text1"/>
                      <w:sz w:val="21"/>
                      <w:szCs w:val="21"/>
                      <w:u w:val="none" w:color="auto"/>
                      <w:lang w:val="en-US" w:eastAsia="zh-CN"/>
                      <w14:textFill>
                        <w14:solidFill>
                          <w14:schemeClr w14:val="tx1"/>
                        </w14:solidFill>
                      </w14:textFill>
                    </w:rPr>
                    <w:t>其中木焦油由社旗县瑞发建材有限公司回收后用于乳化沥青加工，木醋液由河南润灵药业有限公司回收后用于杀虫剂加工。</w:t>
                  </w:r>
                </w:p>
              </w:tc>
              <w:tc>
                <w:tcPr>
                  <w:tcW w:w="594" w:type="pct"/>
                  <w:vMerge w:val="continue"/>
                  <w:noWrap w:val="0"/>
                  <w:vAlign w:val="center"/>
                </w:tcPr>
                <w:p w14:paraId="7471EF24">
                  <w:pPr>
                    <w:keepNext w:val="0"/>
                    <w:keepLines w:val="0"/>
                    <w:pageBreakBefore w:val="0"/>
                    <w:suppressLineNumbers w:val="0"/>
                    <w:kinsoku/>
                    <w:wordWrap/>
                    <w:overflowPunct/>
                    <w:topLinePunct w:val="0"/>
                    <w:bidi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r>
            <w:tr w14:paraId="3E9401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44" w:type="pct"/>
                  <w:vMerge w:val="continue"/>
                  <w:noWrap w:val="0"/>
                  <w:tcMar>
                    <w:top w:w="57" w:type="dxa"/>
                    <w:bottom w:w="57" w:type="dxa"/>
                  </w:tcMar>
                  <w:vAlign w:val="center"/>
                </w:tcPr>
                <w:p w14:paraId="1D11018B">
                  <w:pPr>
                    <w:keepNext w:val="0"/>
                    <w:keepLines w:val="0"/>
                    <w:pageBreakBefore w:val="0"/>
                    <w:suppressLineNumbers w:val="0"/>
                    <w:kinsoku/>
                    <w:wordWrap/>
                    <w:overflowPunct/>
                    <w:topLinePunct w:val="0"/>
                    <w:bidi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1603" w:type="pct"/>
                  <w:gridSpan w:val="3"/>
                  <w:vMerge w:val="restart"/>
                  <w:noWrap w:val="0"/>
                  <w:tcMar>
                    <w:top w:w="57" w:type="dxa"/>
                    <w:bottom w:w="57" w:type="dxa"/>
                  </w:tcMar>
                  <w:vAlign w:val="center"/>
                </w:tcPr>
                <w:p w14:paraId="7996D6E7">
                  <w:pPr>
                    <w:pStyle w:val="51"/>
                    <w:keepNext w:val="0"/>
                    <w:keepLines w:val="0"/>
                    <w:pageBreakBefore w:val="0"/>
                    <w:suppressLineNumbers w:val="0"/>
                    <w:kinsoku/>
                    <w:wordWrap/>
                    <w:overflowPunct/>
                    <w:topLinePunct w:val="0"/>
                    <w:bidi w:val="0"/>
                    <w:snapToGrid w:val="0"/>
                    <w:spacing w:before="0" w:beforeAutospacing="0" w:after="0" w:afterAutospacing="0" w:line="240" w:lineRule="auto"/>
                    <w:ind w:left="0" w:right="0"/>
                    <w:rPr>
                      <w:rFonts w:hint="default" w:ascii="Times New Roman" w:hAnsi="Times New Roman" w:eastAsia="宋体" w:cs="Times New Roman"/>
                      <w:color w:val="000000" w:themeColor="text1"/>
                      <w:kern w:val="0"/>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设备维护</w:t>
                  </w:r>
                </w:p>
              </w:tc>
              <w:tc>
                <w:tcPr>
                  <w:tcW w:w="598" w:type="pct"/>
                  <w:noWrap w:val="0"/>
                  <w:tcMar>
                    <w:top w:w="57" w:type="dxa"/>
                    <w:bottom w:w="57" w:type="dxa"/>
                  </w:tcMar>
                  <w:vAlign w:val="center"/>
                </w:tcPr>
                <w:p w14:paraId="2ED8A0CA">
                  <w:pPr>
                    <w:keepNext w:val="0"/>
                    <w:keepLines w:val="0"/>
                    <w:pageBreakBefore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0"/>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废润滑油</w:t>
                  </w:r>
                </w:p>
              </w:tc>
              <w:tc>
                <w:tcPr>
                  <w:tcW w:w="1859" w:type="pct"/>
                  <w:vMerge w:val="restart"/>
                  <w:noWrap w:val="0"/>
                  <w:tcMar>
                    <w:top w:w="57" w:type="dxa"/>
                    <w:bottom w:w="57" w:type="dxa"/>
                  </w:tcMar>
                  <w:vAlign w:val="center"/>
                </w:tcPr>
                <w:p w14:paraId="5159D59C">
                  <w:pPr>
                    <w:pStyle w:val="51"/>
                    <w:keepNext w:val="0"/>
                    <w:keepLines w:val="0"/>
                    <w:pageBreakBefore w:val="0"/>
                    <w:suppressLineNumbers w:val="0"/>
                    <w:kinsoku/>
                    <w:wordWrap/>
                    <w:overflowPunct/>
                    <w:topLinePunct w:val="0"/>
                    <w:bidi w:val="0"/>
                    <w:snapToGrid w:val="0"/>
                    <w:spacing w:before="0" w:beforeAutospacing="0" w:after="0" w:afterAutospacing="0" w:line="240" w:lineRule="auto"/>
                    <w:ind w:left="0" w:right="0"/>
                    <w:rPr>
                      <w:rFonts w:hint="default" w:ascii="Times New Roman" w:hAnsi="Times New Roman" w:eastAsia="宋体" w:cs="Times New Roman"/>
                      <w:color w:val="000000" w:themeColor="text1"/>
                      <w:kern w:val="0"/>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分类集中收集于危废暂存间（面积</w:t>
                  </w:r>
                  <w:r>
                    <w:rPr>
                      <w:rFonts w:hint="eastAsia" w:ascii="Times New Roman" w:hAnsi="Times New Roman" w:cs="Times New Roman"/>
                      <w:color w:val="000000" w:themeColor="text1"/>
                      <w:sz w:val="21"/>
                      <w:szCs w:val="21"/>
                      <w:highlight w:val="none"/>
                      <w:u w:val="none" w:color="auto"/>
                      <w:lang w:val="en-US" w:eastAsia="zh-CN"/>
                      <w14:textFill>
                        <w14:solidFill>
                          <w14:schemeClr w14:val="tx1"/>
                        </w14:solidFill>
                      </w14:textFill>
                    </w:rPr>
                    <w:t>10</w:t>
                  </w: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m</w:t>
                  </w:r>
                  <w:r>
                    <w:rPr>
                      <w:rFonts w:hint="default" w:ascii="Times New Roman" w:hAnsi="Times New Roman" w:eastAsia="宋体" w:cs="Times New Roman"/>
                      <w:color w:val="000000" w:themeColor="text1"/>
                      <w:sz w:val="21"/>
                      <w:szCs w:val="21"/>
                      <w:highlight w:val="none"/>
                      <w:u w:val="none" w:color="auto"/>
                      <w:vertAlign w:val="superscript"/>
                      <w14:textFill>
                        <w14:solidFill>
                          <w14:schemeClr w14:val="tx1"/>
                        </w14:solidFill>
                      </w14:textFill>
                    </w:rPr>
                    <w:t>2</w:t>
                  </w: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，采取“六防”措施），定期交由有危废处理资质单位进行处置。</w:t>
                  </w:r>
                </w:p>
              </w:tc>
              <w:tc>
                <w:tcPr>
                  <w:tcW w:w="594" w:type="pct"/>
                  <w:vMerge w:val="restart"/>
                  <w:noWrap w:val="0"/>
                  <w:vAlign w:val="center"/>
                </w:tcPr>
                <w:p w14:paraId="6313F632">
                  <w:pPr>
                    <w:keepNext w:val="0"/>
                    <w:keepLines w:val="0"/>
                    <w:pageBreakBefore w:val="0"/>
                    <w:suppressLineNumbers w:val="0"/>
                    <w:kinsoku/>
                    <w:wordWrap/>
                    <w:overflowPunct/>
                    <w:topLinePunct w:val="0"/>
                    <w:bidi w:val="0"/>
                    <w:snapToGrid w:val="0"/>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eastAsia" w:cs="Times New Roman"/>
                      <w:color w:val="000000" w:themeColor="text1"/>
                      <w:sz w:val="21"/>
                      <w:szCs w:val="21"/>
                      <w:highlight w:val="none"/>
                      <w:u w:val="none" w:color="auto"/>
                      <w:lang w:val="en-US" w:eastAsia="zh-CN"/>
                      <w14:textFill>
                        <w14:solidFill>
                          <w14:schemeClr w14:val="tx1"/>
                        </w14:solidFill>
                      </w14:textFill>
                    </w:rPr>
                    <w:t>5</w:t>
                  </w:r>
                </w:p>
              </w:tc>
            </w:tr>
            <w:tr w14:paraId="608BFB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44" w:type="pct"/>
                  <w:vMerge w:val="continue"/>
                  <w:noWrap w:val="0"/>
                  <w:tcMar>
                    <w:top w:w="57" w:type="dxa"/>
                    <w:bottom w:w="57" w:type="dxa"/>
                  </w:tcMar>
                  <w:vAlign w:val="center"/>
                </w:tcPr>
                <w:p w14:paraId="2D2C0D4E">
                  <w:pPr>
                    <w:keepNext w:val="0"/>
                    <w:keepLines w:val="0"/>
                    <w:pageBreakBefore w:val="0"/>
                    <w:suppressLineNumbers w:val="0"/>
                    <w:kinsoku/>
                    <w:wordWrap/>
                    <w:overflowPunct/>
                    <w:topLinePunct w:val="0"/>
                    <w:bidi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1603" w:type="pct"/>
                  <w:gridSpan w:val="3"/>
                  <w:vMerge w:val="continue"/>
                  <w:noWrap w:val="0"/>
                  <w:tcMar>
                    <w:top w:w="57" w:type="dxa"/>
                    <w:bottom w:w="57" w:type="dxa"/>
                  </w:tcMar>
                  <w:vAlign w:val="center"/>
                </w:tcPr>
                <w:p w14:paraId="3FDB93E1">
                  <w:pPr>
                    <w:pStyle w:val="51"/>
                    <w:keepNext w:val="0"/>
                    <w:keepLines w:val="0"/>
                    <w:pageBreakBefore w:val="0"/>
                    <w:suppressLineNumbers w:val="0"/>
                    <w:kinsoku/>
                    <w:wordWrap/>
                    <w:overflowPunct/>
                    <w:topLinePunct w:val="0"/>
                    <w:bidi w:val="0"/>
                    <w:snapToGrid w:val="0"/>
                    <w:spacing w:before="0" w:beforeAutospacing="0" w:after="0" w:afterAutospacing="0" w:line="240" w:lineRule="auto"/>
                    <w:ind w:left="0" w:right="0"/>
                    <w:rPr>
                      <w:rFonts w:hint="default" w:ascii="Times New Roman" w:hAnsi="Times New Roman" w:eastAsia="宋体" w:cs="Times New Roman"/>
                      <w:color w:val="000000" w:themeColor="text1"/>
                      <w:kern w:val="0"/>
                      <w:sz w:val="21"/>
                      <w:szCs w:val="21"/>
                      <w:highlight w:val="none"/>
                      <w:u w:val="none" w:color="auto"/>
                      <w14:textFill>
                        <w14:solidFill>
                          <w14:schemeClr w14:val="tx1"/>
                        </w14:solidFill>
                      </w14:textFill>
                    </w:rPr>
                  </w:pPr>
                </w:p>
              </w:tc>
              <w:tc>
                <w:tcPr>
                  <w:tcW w:w="598" w:type="pct"/>
                  <w:noWrap w:val="0"/>
                  <w:tcMar>
                    <w:top w:w="57" w:type="dxa"/>
                    <w:bottom w:w="57" w:type="dxa"/>
                  </w:tcMar>
                  <w:vAlign w:val="center"/>
                </w:tcPr>
                <w:p w14:paraId="5E6F2745">
                  <w:pPr>
                    <w:keepNext w:val="0"/>
                    <w:keepLines w:val="0"/>
                    <w:pageBreakBefore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0"/>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废润滑油桶</w:t>
                  </w:r>
                </w:p>
              </w:tc>
              <w:tc>
                <w:tcPr>
                  <w:tcW w:w="1859" w:type="pct"/>
                  <w:vMerge w:val="continue"/>
                  <w:noWrap w:val="0"/>
                  <w:tcMar>
                    <w:top w:w="57" w:type="dxa"/>
                    <w:bottom w:w="57" w:type="dxa"/>
                  </w:tcMar>
                  <w:vAlign w:val="center"/>
                </w:tcPr>
                <w:p w14:paraId="39DD4DBE">
                  <w:pPr>
                    <w:keepNext w:val="0"/>
                    <w:keepLines w:val="0"/>
                    <w:pageBreakBefore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0"/>
                      <w:sz w:val="21"/>
                      <w:szCs w:val="21"/>
                      <w:highlight w:val="none"/>
                      <w:u w:val="none" w:color="auto"/>
                      <w14:textFill>
                        <w14:solidFill>
                          <w14:schemeClr w14:val="tx1"/>
                        </w14:solidFill>
                      </w14:textFill>
                    </w:rPr>
                  </w:pPr>
                </w:p>
              </w:tc>
              <w:tc>
                <w:tcPr>
                  <w:tcW w:w="594" w:type="pct"/>
                  <w:vMerge w:val="continue"/>
                  <w:noWrap w:val="0"/>
                  <w:vAlign w:val="center"/>
                </w:tcPr>
                <w:p w14:paraId="12EA1D73">
                  <w:pPr>
                    <w:keepNext w:val="0"/>
                    <w:keepLines w:val="0"/>
                    <w:pageBreakBefore w:val="0"/>
                    <w:suppressLineNumbers w:val="0"/>
                    <w:kinsoku/>
                    <w:wordWrap/>
                    <w:overflowPunct/>
                    <w:topLinePunct w:val="0"/>
                    <w:bidi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r>
            <w:tr w14:paraId="4725E5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44" w:type="pct"/>
                  <w:noWrap w:val="0"/>
                  <w:tcMar>
                    <w:top w:w="57" w:type="dxa"/>
                    <w:bottom w:w="57" w:type="dxa"/>
                  </w:tcMar>
                  <w:vAlign w:val="center"/>
                </w:tcPr>
                <w:p w14:paraId="24CCAFCE">
                  <w:pPr>
                    <w:keepNext w:val="0"/>
                    <w:keepLines w:val="0"/>
                    <w:pageBreakBefore w:val="0"/>
                    <w:suppressLineNumbers w:val="0"/>
                    <w:kinsoku/>
                    <w:wordWrap/>
                    <w:overflowPunct/>
                    <w:topLinePunct w:val="0"/>
                    <w:bidi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噪声</w:t>
                  </w:r>
                </w:p>
              </w:tc>
              <w:tc>
                <w:tcPr>
                  <w:tcW w:w="1603" w:type="pct"/>
                  <w:gridSpan w:val="3"/>
                  <w:noWrap w:val="0"/>
                  <w:tcMar>
                    <w:top w:w="57" w:type="dxa"/>
                    <w:bottom w:w="57" w:type="dxa"/>
                  </w:tcMar>
                  <w:vAlign w:val="center"/>
                </w:tcPr>
                <w:p w14:paraId="79B5DAEC">
                  <w:pPr>
                    <w:keepNext w:val="0"/>
                    <w:keepLines w:val="0"/>
                    <w:pageBreakBefore w:val="0"/>
                    <w:suppressLineNumbers w:val="0"/>
                    <w:kinsoku/>
                    <w:wordWrap/>
                    <w:overflowPunct/>
                    <w:topLinePunct w:val="0"/>
                    <w:bidi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设备运行过程产生的噪声</w:t>
                  </w:r>
                </w:p>
              </w:tc>
              <w:tc>
                <w:tcPr>
                  <w:tcW w:w="598" w:type="pct"/>
                  <w:noWrap w:val="0"/>
                  <w:tcMar>
                    <w:top w:w="57" w:type="dxa"/>
                    <w:bottom w:w="57" w:type="dxa"/>
                  </w:tcMar>
                  <w:vAlign w:val="center"/>
                </w:tcPr>
                <w:p w14:paraId="3BF0EEF4">
                  <w:pPr>
                    <w:keepNext w:val="0"/>
                    <w:keepLines w:val="0"/>
                    <w:pageBreakBefore w:val="0"/>
                    <w:suppressLineNumbers w:val="0"/>
                    <w:kinsoku/>
                    <w:wordWrap/>
                    <w:overflowPunct/>
                    <w:topLinePunct w:val="0"/>
                    <w:bidi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机械噪声</w:t>
                  </w:r>
                </w:p>
              </w:tc>
              <w:tc>
                <w:tcPr>
                  <w:tcW w:w="1859" w:type="pct"/>
                  <w:noWrap w:val="0"/>
                  <w:tcMar>
                    <w:top w:w="57" w:type="dxa"/>
                    <w:bottom w:w="57" w:type="dxa"/>
                  </w:tcMar>
                  <w:vAlign w:val="center"/>
                </w:tcPr>
                <w:p w14:paraId="47216640">
                  <w:pPr>
                    <w:keepNext w:val="0"/>
                    <w:keepLines w:val="0"/>
                    <w:pageBreakBefore w:val="0"/>
                    <w:suppressLineNumbers w:val="0"/>
                    <w:kinsoku/>
                    <w:wordWrap/>
                    <w:overflowPunct/>
                    <w:topLinePunct w:val="0"/>
                    <w:bidi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产噪设备合理布局；安装减振、隔声降噪</w:t>
                  </w:r>
                  <w:r>
                    <w:rPr>
                      <w:rFonts w:hint="default" w:ascii="Times New Roman" w:hAnsi="Times New Roman" w:eastAsia="宋体" w:cs="Times New Roman"/>
                      <w:color w:val="000000" w:themeColor="text1"/>
                      <w:sz w:val="21"/>
                      <w:szCs w:val="21"/>
                      <w:highlight w:val="none"/>
                      <w:u w:val="none" w:color="auto"/>
                      <w:lang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废气治理设施风机设置隔声间</w:t>
                  </w: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措施；加强对设备进行维修，保证设备正常工作</w:t>
                  </w:r>
                </w:p>
              </w:tc>
              <w:tc>
                <w:tcPr>
                  <w:tcW w:w="594" w:type="pct"/>
                  <w:noWrap w:val="0"/>
                  <w:vAlign w:val="center"/>
                </w:tcPr>
                <w:p w14:paraId="3873053A">
                  <w:pPr>
                    <w:keepNext w:val="0"/>
                    <w:keepLines w:val="0"/>
                    <w:pageBreakBefore w:val="0"/>
                    <w:suppressLineNumbers w:val="0"/>
                    <w:kinsoku/>
                    <w:wordWrap/>
                    <w:overflowPunct/>
                    <w:topLinePunct w:val="0"/>
                    <w:bidi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0"/>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u w:val="none" w:color="auto"/>
                      <w14:textFill>
                        <w14:solidFill>
                          <w14:schemeClr w14:val="tx1"/>
                        </w14:solidFill>
                      </w14:textFill>
                    </w:rPr>
                    <w:t>2</w:t>
                  </w:r>
                </w:p>
              </w:tc>
            </w:tr>
            <w:tr w14:paraId="41A1C2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44" w:type="pct"/>
                  <w:vMerge w:val="restart"/>
                  <w:noWrap w:val="0"/>
                  <w:tcMar>
                    <w:top w:w="57" w:type="dxa"/>
                    <w:bottom w:w="57" w:type="dxa"/>
                  </w:tcMar>
                  <w:vAlign w:val="center"/>
                </w:tcPr>
                <w:p w14:paraId="71F1D53A">
                  <w:pPr>
                    <w:keepNext w:val="0"/>
                    <w:keepLines w:val="0"/>
                    <w:pageBreakBefore w:val="0"/>
                    <w:suppressLineNumbers w:val="0"/>
                    <w:kinsoku/>
                    <w:wordWrap/>
                    <w:overflowPunct/>
                    <w:topLinePunct w:val="0"/>
                    <w:bidi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其他</w:t>
                  </w:r>
                </w:p>
              </w:tc>
              <w:tc>
                <w:tcPr>
                  <w:tcW w:w="2201" w:type="pct"/>
                  <w:gridSpan w:val="4"/>
                  <w:vMerge w:val="restart"/>
                  <w:noWrap w:val="0"/>
                  <w:tcMar>
                    <w:top w:w="57" w:type="dxa"/>
                    <w:bottom w:w="57" w:type="dxa"/>
                  </w:tcMar>
                  <w:vAlign w:val="center"/>
                </w:tcPr>
                <w:p w14:paraId="45826F37">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风险防范措施</w:t>
                  </w:r>
                </w:p>
              </w:tc>
              <w:tc>
                <w:tcPr>
                  <w:tcW w:w="1859" w:type="pct"/>
                  <w:noWrap w:val="0"/>
                  <w:tcMar>
                    <w:top w:w="57" w:type="dxa"/>
                    <w:bottom w:w="57" w:type="dxa"/>
                  </w:tcMar>
                  <w:vAlign w:val="center"/>
                </w:tcPr>
                <w:p w14:paraId="2594977E">
                  <w:pPr>
                    <w:keepNext w:val="0"/>
                    <w:keepLines w:val="0"/>
                    <w:pageBreakBefore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车间设置禁火标识，在仓库以及危废暂存间配备消防沙、灭火器等消防器材</w:t>
                  </w:r>
                </w:p>
              </w:tc>
              <w:tc>
                <w:tcPr>
                  <w:tcW w:w="594" w:type="pct"/>
                  <w:noWrap w:val="0"/>
                  <w:vAlign w:val="center"/>
                </w:tcPr>
                <w:p w14:paraId="05BAFC1F">
                  <w:pPr>
                    <w:keepNext w:val="0"/>
                    <w:keepLines w:val="0"/>
                    <w:pageBreakBefore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0"/>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5</w:t>
                  </w:r>
                </w:p>
              </w:tc>
            </w:tr>
            <w:tr w14:paraId="244C71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44" w:type="pct"/>
                  <w:vMerge w:val="continue"/>
                  <w:noWrap w:val="0"/>
                  <w:tcMar>
                    <w:top w:w="57" w:type="dxa"/>
                    <w:bottom w:w="57" w:type="dxa"/>
                  </w:tcMar>
                  <w:vAlign w:val="center"/>
                </w:tcPr>
                <w:p w14:paraId="7C7DEBD4">
                  <w:pPr>
                    <w:keepNext w:val="0"/>
                    <w:keepLines w:val="0"/>
                    <w:pageBreakBefore w:val="0"/>
                    <w:suppressLineNumbers w:val="0"/>
                    <w:kinsoku/>
                    <w:wordWrap/>
                    <w:overflowPunct/>
                    <w:topLinePunct w:val="0"/>
                    <w:bidi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2201" w:type="pct"/>
                  <w:gridSpan w:val="4"/>
                  <w:vMerge w:val="continue"/>
                  <w:noWrap w:val="0"/>
                  <w:tcMar>
                    <w:top w:w="57" w:type="dxa"/>
                    <w:bottom w:w="57" w:type="dxa"/>
                  </w:tcMar>
                  <w:vAlign w:val="center"/>
                </w:tcPr>
                <w:p w14:paraId="3D073E94">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1859" w:type="pct"/>
                  <w:noWrap w:val="0"/>
                  <w:tcMar>
                    <w:top w:w="57" w:type="dxa"/>
                    <w:bottom w:w="57" w:type="dxa"/>
                  </w:tcMar>
                  <w:vAlign w:val="center"/>
                </w:tcPr>
                <w:p w14:paraId="7F7F1911">
                  <w:pPr>
                    <w:keepNext w:val="0"/>
                    <w:keepLines w:val="0"/>
                    <w:pageBreakBefore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制定针对车间、仓库火灾的现场应急处置方案，加强员工生产安全培训及事故应急处理培训</w:t>
                  </w:r>
                </w:p>
              </w:tc>
              <w:tc>
                <w:tcPr>
                  <w:tcW w:w="594" w:type="pct"/>
                  <w:noWrap w:val="0"/>
                  <w:vAlign w:val="center"/>
                </w:tcPr>
                <w:p w14:paraId="5808AB56">
                  <w:pPr>
                    <w:keepNext w:val="0"/>
                    <w:keepLines w:val="0"/>
                    <w:pageBreakBefore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1</w:t>
                  </w:r>
                </w:p>
              </w:tc>
            </w:tr>
            <w:tr w14:paraId="2AD981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44" w:type="pct"/>
                  <w:vMerge w:val="continue"/>
                  <w:noWrap w:val="0"/>
                  <w:tcMar>
                    <w:top w:w="57" w:type="dxa"/>
                    <w:bottom w:w="57" w:type="dxa"/>
                  </w:tcMar>
                  <w:vAlign w:val="center"/>
                </w:tcPr>
                <w:p w14:paraId="49713C83">
                  <w:pPr>
                    <w:keepNext w:val="0"/>
                    <w:keepLines w:val="0"/>
                    <w:pageBreakBefore w:val="0"/>
                    <w:suppressLineNumbers w:val="0"/>
                    <w:kinsoku/>
                    <w:wordWrap/>
                    <w:overflowPunct/>
                    <w:topLinePunct w:val="0"/>
                    <w:bidi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2201" w:type="pct"/>
                  <w:gridSpan w:val="4"/>
                  <w:vMerge w:val="continue"/>
                  <w:noWrap w:val="0"/>
                  <w:tcMar>
                    <w:top w:w="57" w:type="dxa"/>
                    <w:bottom w:w="57" w:type="dxa"/>
                  </w:tcMar>
                  <w:vAlign w:val="center"/>
                </w:tcPr>
                <w:p w14:paraId="0116174C">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1859" w:type="pct"/>
                  <w:noWrap w:val="0"/>
                  <w:tcMar>
                    <w:top w:w="57" w:type="dxa"/>
                    <w:bottom w:w="57" w:type="dxa"/>
                  </w:tcMar>
                  <w:vAlign w:val="center"/>
                </w:tcPr>
                <w:p w14:paraId="28C87BE1">
                  <w:pPr>
                    <w:keepNext w:val="0"/>
                    <w:keepLines w:val="0"/>
                    <w:pageBreakBefore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设置</w:t>
                  </w:r>
                  <w:r>
                    <w:rPr>
                      <w:rFonts w:hint="default" w:ascii="Times New Roman" w:hAnsi="Times New Roman" w:eastAsia="宋体" w:cs="Times New Roman"/>
                      <w:color w:val="000000" w:themeColor="text1"/>
                      <w:kern w:val="0"/>
                      <w:sz w:val="21"/>
                      <w:szCs w:val="21"/>
                      <w:highlight w:val="none"/>
                      <w:u w:val="none" w:color="auto"/>
                      <w:lang w:val="en-US" w:eastAsia="zh-CN" w:bidi="ar"/>
                      <w14:textFill>
                        <w14:solidFill>
                          <w14:schemeClr w14:val="tx1"/>
                        </w14:solidFill>
                      </w14:textFill>
                    </w:rPr>
                    <w:t>1</w:t>
                  </w:r>
                  <w:r>
                    <w:rPr>
                      <w:rFonts w:hint="default" w:ascii="Times New Roman" w:hAnsi="Times New Roman" w:eastAsia="宋体" w:cs="Times New Roman"/>
                      <w:color w:val="000000" w:themeColor="text1"/>
                      <w:kern w:val="0"/>
                      <w:sz w:val="21"/>
                      <w:szCs w:val="21"/>
                      <w:highlight w:val="none"/>
                      <w:u w:val="none" w:color="auto"/>
                      <w:lang w:bidi="ar"/>
                      <w14:textFill>
                        <w14:solidFill>
                          <w14:schemeClr w14:val="tx1"/>
                        </w14:solidFill>
                      </w14:textFill>
                    </w:rPr>
                    <w:t>座</w:t>
                  </w:r>
                  <w:r>
                    <w:rPr>
                      <w:rFonts w:hint="default" w:ascii="Times New Roman" w:hAnsi="Times New Roman" w:eastAsia="宋体" w:cs="Times New Roman"/>
                      <w:color w:val="000000" w:themeColor="text1"/>
                      <w:kern w:val="0"/>
                      <w:sz w:val="21"/>
                      <w:szCs w:val="21"/>
                      <w:highlight w:val="none"/>
                      <w:u w:val="none" w:color="auto"/>
                      <w:lang w:val="en-US" w:eastAsia="zh-CN" w:bidi="ar"/>
                      <w14:textFill>
                        <w14:solidFill>
                          <w14:schemeClr w14:val="tx1"/>
                        </w14:solidFill>
                      </w14:textFill>
                    </w:rPr>
                    <w:t>100</w:t>
                  </w:r>
                  <w:r>
                    <w:rPr>
                      <w:rFonts w:hint="default" w:ascii="Times New Roman" w:hAnsi="Times New Roman" w:eastAsia="宋体" w:cs="Times New Roman"/>
                      <w:color w:val="000000" w:themeColor="text1"/>
                      <w:kern w:val="0"/>
                      <w:sz w:val="21"/>
                      <w:szCs w:val="21"/>
                      <w:highlight w:val="none"/>
                      <w:u w:val="none" w:color="auto"/>
                      <w:lang w:bidi="ar"/>
                      <w14:textFill>
                        <w14:solidFill>
                          <w14:schemeClr w14:val="tx1"/>
                        </w14:solidFill>
                      </w14:textFill>
                    </w:rPr>
                    <w:t>m</w:t>
                  </w:r>
                  <w:r>
                    <w:rPr>
                      <w:rFonts w:hint="default" w:ascii="Times New Roman" w:hAnsi="Times New Roman" w:eastAsia="宋体" w:cs="Times New Roman"/>
                      <w:color w:val="000000" w:themeColor="text1"/>
                      <w:kern w:val="0"/>
                      <w:sz w:val="21"/>
                      <w:szCs w:val="21"/>
                      <w:highlight w:val="none"/>
                      <w:u w:val="none" w:color="auto"/>
                      <w:vertAlign w:val="superscript"/>
                      <w:lang w:bidi="ar"/>
                      <w14:textFill>
                        <w14:solidFill>
                          <w14:schemeClr w14:val="tx1"/>
                        </w14:solidFill>
                      </w14:textFill>
                    </w:rPr>
                    <w:t>3</w:t>
                  </w:r>
                  <w:r>
                    <w:rPr>
                      <w:rFonts w:hint="default" w:ascii="Times New Roman" w:hAnsi="Times New Roman" w:eastAsia="宋体" w:cs="Times New Roman"/>
                      <w:color w:val="000000" w:themeColor="text1"/>
                      <w:kern w:val="0"/>
                      <w:sz w:val="21"/>
                      <w:szCs w:val="21"/>
                      <w:highlight w:val="none"/>
                      <w:u w:val="none" w:color="auto"/>
                      <w:lang w:bidi="ar"/>
                      <w14:textFill>
                        <w14:solidFill>
                          <w14:schemeClr w14:val="tx1"/>
                        </w14:solidFill>
                      </w14:textFill>
                    </w:rPr>
                    <w:t>事故水池</w:t>
                  </w:r>
                </w:p>
              </w:tc>
              <w:tc>
                <w:tcPr>
                  <w:tcW w:w="594" w:type="pct"/>
                  <w:noWrap w:val="0"/>
                  <w:vAlign w:val="center"/>
                </w:tcPr>
                <w:p w14:paraId="33978AE8">
                  <w:pPr>
                    <w:keepNext w:val="0"/>
                    <w:keepLines w:val="0"/>
                    <w:pageBreakBefore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eastAsia" w:cs="Times New Roman"/>
                      <w:color w:val="000000" w:themeColor="text1"/>
                      <w:sz w:val="21"/>
                      <w:szCs w:val="21"/>
                      <w:highlight w:val="none"/>
                      <w:u w:val="none" w:color="auto"/>
                      <w:lang w:val="en-US" w:eastAsia="zh-CN"/>
                      <w14:textFill>
                        <w14:solidFill>
                          <w14:schemeClr w14:val="tx1"/>
                        </w14:solidFill>
                      </w14:textFill>
                    </w:rPr>
                    <w:t>10</w:t>
                  </w:r>
                </w:p>
              </w:tc>
            </w:tr>
            <w:tr w14:paraId="05703A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44" w:type="pct"/>
                  <w:vMerge w:val="continue"/>
                  <w:noWrap w:val="0"/>
                  <w:tcMar>
                    <w:top w:w="57" w:type="dxa"/>
                    <w:bottom w:w="57" w:type="dxa"/>
                  </w:tcMar>
                  <w:vAlign w:val="center"/>
                </w:tcPr>
                <w:p w14:paraId="593CF889">
                  <w:pPr>
                    <w:keepNext w:val="0"/>
                    <w:keepLines w:val="0"/>
                    <w:pageBreakBefore w:val="0"/>
                    <w:suppressLineNumbers w:val="0"/>
                    <w:kinsoku/>
                    <w:wordWrap/>
                    <w:overflowPunct/>
                    <w:topLinePunct w:val="0"/>
                    <w:bidi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2201" w:type="pct"/>
                  <w:gridSpan w:val="4"/>
                  <w:vMerge w:val="continue"/>
                  <w:noWrap w:val="0"/>
                  <w:tcMar>
                    <w:top w:w="57" w:type="dxa"/>
                    <w:bottom w:w="57" w:type="dxa"/>
                  </w:tcMar>
                  <w:vAlign w:val="center"/>
                </w:tcPr>
                <w:p w14:paraId="4A2CB171">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1859" w:type="pct"/>
                  <w:noWrap w:val="0"/>
                  <w:tcMar>
                    <w:top w:w="57" w:type="dxa"/>
                    <w:bottom w:w="57" w:type="dxa"/>
                  </w:tcMar>
                  <w:vAlign w:val="center"/>
                </w:tcPr>
                <w:p w14:paraId="7309735F">
                  <w:pPr>
                    <w:keepNext w:val="0"/>
                    <w:keepLines w:val="0"/>
                    <w:pageBreakBefore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原料</w:t>
                  </w:r>
                  <w:r>
                    <w:rPr>
                      <w:rFonts w:hint="eastAsia" w:cs="Times New Roman"/>
                      <w:color w:val="000000" w:themeColor="text1"/>
                      <w:sz w:val="21"/>
                      <w:szCs w:val="21"/>
                      <w:highlight w:val="none"/>
                      <w:u w:val="none" w:color="auto"/>
                      <w:lang w:val="en-US" w:eastAsia="zh-CN"/>
                      <w14:textFill>
                        <w14:solidFill>
                          <w14:schemeClr w14:val="tx1"/>
                        </w14:solidFill>
                      </w14:textFill>
                    </w:rPr>
                    <w:t>区</w:t>
                  </w: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四周设置围堰、危废暂存间设置围堰</w:t>
                  </w:r>
                </w:p>
              </w:tc>
              <w:tc>
                <w:tcPr>
                  <w:tcW w:w="594" w:type="pct"/>
                  <w:noWrap w:val="0"/>
                  <w:vAlign w:val="center"/>
                </w:tcPr>
                <w:p w14:paraId="77B02EFB">
                  <w:pPr>
                    <w:keepNext w:val="0"/>
                    <w:keepLines w:val="0"/>
                    <w:pageBreakBefore w:val="0"/>
                    <w:suppressLineNumbers w:val="0"/>
                    <w:kinsoku/>
                    <w:wordWrap/>
                    <w:overflowPunct/>
                    <w:topLinePunct w:val="0"/>
                    <w:bidi w:val="0"/>
                    <w:spacing w:before="0" w:beforeAutospacing="0" w:after="0" w:afterAutospacing="0" w:line="240" w:lineRule="auto"/>
                    <w:ind w:left="0" w:right="0"/>
                    <w:jc w:val="center"/>
                    <w:rPr>
                      <w:rFonts w:hint="eastAsia" w:ascii="Times New Roman" w:hAnsi="Times New Roman" w:eastAsia="宋体" w:cs="Times New Roman"/>
                      <w:color w:val="000000" w:themeColor="text1"/>
                      <w:sz w:val="21"/>
                      <w:szCs w:val="21"/>
                      <w:highlight w:val="none"/>
                      <w:u w:val="none" w:color="auto"/>
                      <w:lang w:eastAsia="zh-CN"/>
                      <w14:textFill>
                        <w14:solidFill>
                          <w14:schemeClr w14:val="tx1"/>
                        </w14:solidFill>
                      </w14:textFill>
                    </w:rPr>
                  </w:pPr>
                  <w:r>
                    <w:rPr>
                      <w:rFonts w:hint="eastAsia" w:cs="Times New Roman"/>
                      <w:color w:val="000000" w:themeColor="text1"/>
                      <w:sz w:val="21"/>
                      <w:szCs w:val="21"/>
                      <w:highlight w:val="none"/>
                      <w:u w:val="none" w:color="auto"/>
                      <w:lang w:val="en-US" w:eastAsia="zh-CN"/>
                      <w14:textFill>
                        <w14:solidFill>
                          <w14:schemeClr w14:val="tx1"/>
                        </w14:solidFill>
                      </w14:textFill>
                    </w:rPr>
                    <w:t>2</w:t>
                  </w:r>
                </w:p>
              </w:tc>
            </w:tr>
            <w:tr w14:paraId="6C631A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44" w:type="pct"/>
                  <w:vMerge w:val="continue"/>
                  <w:noWrap w:val="0"/>
                  <w:tcMar>
                    <w:top w:w="57" w:type="dxa"/>
                    <w:bottom w:w="57" w:type="dxa"/>
                  </w:tcMar>
                  <w:vAlign w:val="center"/>
                </w:tcPr>
                <w:p w14:paraId="694BB475">
                  <w:pPr>
                    <w:keepNext w:val="0"/>
                    <w:keepLines w:val="0"/>
                    <w:pageBreakBefore w:val="0"/>
                    <w:suppressLineNumbers w:val="0"/>
                    <w:kinsoku/>
                    <w:wordWrap/>
                    <w:overflowPunct/>
                    <w:topLinePunct w:val="0"/>
                    <w:bidi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2201" w:type="pct"/>
                  <w:gridSpan w:val="4"/>
                  <w:noWrap w:val="0"/>
                  <w:tcMar>
                    <w:top w:w="57" w:type="dxa"/>
                    <w:bottom w:w="57" w:type="dxa"/>
                  </w:tcMar>
                  <w:vAlign w:val="center"/>
                </w:tcPr>
                <w:p w14:paraId="06D2325D">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地下水、土壤防渗措施</w:t>
                  </w:r>
                </w:p>
              </w:tc>
              <w:tc>
                <w:tcPr>
                  <w:tcW w:w="1859" w:type="pct"/>
                  <w:noWrap w:val="0"/>
                  <w:tcMar>
                    <w:top w:w="57" w:type="dxa"/>
                    <w:bottom w:w="57" w:type="dxa"/>
                  </w:tcMar>
                  <w:vAlign w:val="center"/>
                </w:tcPr>
                <w:p w14:paraId="57CB3C0C">
                  <w:pPr>
                    <w:keepNext w:val="0"/>
                    <w:keepLines w:val="0"/>
                    <w:pageBreakBefore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根据本次评价防渗分区要求进行分区防渗</w:t>
                  </w:r>
                </w:p>
              </w:tc>
              <w:tc>
                <w:tcPr>
                  <w:tcW w:w="594" w:type="pct"/>
                  <w:noWrap w:val="0"/>
                  <w:vAlign w:val="center"/>
                </w:tcPr>
                <w:p w14:paraId="03C58C9C">
                  <w:pPr>
                    <w:keepNext w:val="0"/>
                    <w:keepLines w:val="0"/>
                    <w:pageBreakBefore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0"/>
                      <w:sz w:val="21"/>
                      <w:szCs w:val="21"/>
                      <w:highlight w:val="none"/>
                      <w:u w:val="none" w:color="auto"/>
                      <w:lang w:val="en-US" w:eastAsia="zh-CN"/>
                      <w14:textFill>
                        <w14:solidFill>
                          <w14:schemeClr w14:val="tx1"/>
                        </w14:solidFill>
                      </w14:textFill>
                    </w:rPr>
                  </w:pPr>
                  <w:r>
                    <w:rPr>
                      <w:rFonts w:hint="eastAsia" w:cs="Times New Roman"/>
                      <w:color w:val="000000" w:themeColor="text1"/>
                      <w:sz w:val="21"/>
                      <w:szCs w:val="21"/>
                      <w:highlight w:val="none"/>
                      <w:u w:val="none" w:color="auto"/>
                      <w:lang w:val="en-US" w:eastAsia="zh-CN"/>
                      <w14:textFill>
                        <w14:solidFill>
                          <w14:schemeClr w14:val="tx1"/>
                        </w14:solidFill>
                      </w14:textFill>
                    </w:rPr>
                    <w:t>5</w:t>
                  </w:r>
                </w:p>
              </w:tc>
            </w:tr>
            <w:tr w14:paraId="60033A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05" w:type="pct"/>
                  <w:gridSpan w:val="6"/>
                  <w:noWrap w:val="0"/>
                  <w:tcMar>
                    <w:top w:w="57" w:type="dxa"/>
                    <w:bottom w:w="57" w:type="dxa"/>
                  </w:tcMar>
                  <w:vAlign w:val="center"/>
                </w:tcPr>
                <w:p w14:paraId="5166812B">
                  <w:pPr>
                    <w:keepNext w:val="0"/>
                    <w:keepLines w:val="0"/>
                    <w:pageBreakBefore w:val="0"/>
                    <w:suppressLineNumbers w:val="0"/>
                    <w:kinsoku/>
                    <w:wordWrap/>
                    <w:overflowPunct/>
                    <w:topLinePunct w:val="0"/>
                    <w:bidi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合计</w:t>
                  </w:r>
                </w:p>
              </w:tc>
              <w:tc>
                <w:tcPr>
                  <w:tcW w:w="594" w:type="pct"/>
                  <w:noWrap w:val="0"/>
                  <w:vAlign w:val="center"/>
                </w:tcPr>
                <w:p w14:paraId="0086FB88">
                  <w:pPr>
                    <w:keepNext w:val="0"/>
                    <w:keepLines w:val="0"/>
                    <w:pageBreakBefore w:val="0"/>
                    <w:suppressLineNumbers w:val="0"/>
                    <w:kinsoku/>
                    <w:wordWrap/>
                    <w:overflowPunct/>
                    <w:topLinePunct w:val="0"/>
                    <w:bidi w:val="0"/>
                    <w:snapToGrid w:val="0"/>
                    <w:spacing w:before="0" w:beforeAutospacing="0" w:after="0" w:afterAutospacing="0" w:line="240" w:lineRule="auto"/>
                    <w:ind w:left="0" w:right="0"/>
                    <w:jc w:val="center"/>
                    <w:rPr>
                      <w:rFonts w:hint="default" w:ascii="Times New Roman" w:hAnsi="Times New Roman" w:eastAsia="宋体" w:cs="Times New Roman"/>
                      <w:color w:val="000000" w:themeColor="text1"/>
                      <w:kern w:val="0"/>
                      <w:sz w:val="21"/>
                      <w:szCs w:val="21"/>
                      <w:highlight w:val="none"/>
                      <w:u w:val="none" w:color="auto"/>
                      <w:lang w:val="en-US" w:eastAsia="zh-CN"/>
                      <w14:textFill>
                        <w14:solidFill>
                          <w14:schemeClr w14:val="tx1"/>
                        </w14:solidFill>
                      </w14:textFill>
                    </w:rPr>
                  </w:pPr>
                  <w:r>
                    <w:rPr>
                      <w:rFonts w:hint="eastAsia" w:cs="Times New Roman"/>
                      <w:color w:val="000000" w:themeColor="text1"/>
                      <w:kern w:val="0"/>
                      <w:sz w:val="21"/>
                      <w:szCs w:val="21"/>
                      <w:highlight w:val="none"/>
                      <w:u w:val="none" w:color="auto"/>
                      <w:lang w:val="en-US" w:eastAsia="zh-CN"/>
                      <w14:textFill>
                        <w14:solidFill>
                          <w14:schemeClr w14:val="tx1"/>
                        </w14:solidFill>
                      </w14:textFill>
                    </w:rPr>
                    <w:t>89</w:t>
                  </w:r>
                </w:p>
              </w:tc>
            </w:tr>
          </w:tbl>
          <w:p w14:paraId="5934CABB">
            <w:pPr>
              <w:pStyle w:val="58"/>
              <w:keepNext w:val="0"/>
              <w:keepLines w:val="0"/>
              <w:suppressLineNumbers w:val="0"/>
              <w:bidi w:val="0"/>
              <w:spacing w:before="0" w:beforeAutospacing="0" w:after="0" w:afterAutospacing="0"/>
              <w:ind w:left="0" w:leftChars="0" w:right="0" w:firstLine="0" w:firstLineChars="0"/>
              <w:jc w:val="both"/>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pPr>
          </w:p>
        </w:tc>
      </w:tr>
    </w:tbl>
    <w:p w14:paraId="1A9027F4">
      <w:pPr>
        <w:sectPr>
          <w:pgSz w:w="11905" w:h="16838"/>
          <w:pgMar w:top="1440" w:right="1083" w:bottom="1440" w:left="1083" w:header="851" w:footer="992" w:gutter="0"/>
          <w:pgNumType w:fmt="decimal"/>
          <w:cols w:space="720" w:num="1"/>
          <w:docGrid w:type="lines" w:linePitch="312" w:charSpace="0"/>
        </w:sectPr>
      </w:pPr>
    </w:p>
    <w:p w14:paraId="135191D5">
      <w:pPr>
        <w:pStyle w:val="2"/>
        <w:bidi w:val="0"/>
        <w:jc w:val="center"/>
        <w:rPr>
          <w:rFonts w:hint="default"/>
          <w:color w:val="000000" w:themeColor="text1"/>
          <w14:textFill>
            <w14:solidFill>
              <w14:schemeClr w14:val="tx1"/>
            </w14:solidFill>
          </w14:textFill>
        </w:rPr>
      </w:pPr>
      <w:bookmarkStart w:id="76" w:name="_Toc14810"/>
      <w:bookmarkStart w:id="77" w:name="_Toc29323"/>
      <w:r>
        <w:rPr>
          <w:rFonts w:hint="default"/>
          <w:color w:val="000000" w:themeColor="text1"/>
          <w:lang w:val="en-US" w:eastAsia="zh-CN"/>
          <w14:textFill>
            <w14:solidFill>
              <w14:schemeClr w14:val="tx1"/>
            </w14:solidFill>
          </w14:textFill>
        </w:rPr>
        <w:t>五、</w:t>
      </w:r>
      <w:r>
        <w:rPr>
          <w:rFonts w:hint="default"/>
          <w:color w:val="000000" w:themeColor="text1"/>
          <w14:textFill>
            <w14:solidFill>
              <w14:schemeClr w14:val="tx1"/>
            </w14:solidFill>
          </w14:textFill>
        </w:rPr>
        <w:t>环境保护措施监督检查清单</w:t>
      </w:r>
      <w:bookmarkEnd w:id="76"/>
      <w:bookmarkEnd w:id="77"/>
    </w:p>
    <w:tbl>
      <w:tblPr>
        <w:tblStyle w:val="29"/>
        <w:tblW w:w="506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09"/>
        <w:gridCol w:w="469"/>
        <w:gridCol w:w="709"/>
        <w:gridCol w:w="1285"/>
        <w:gridCol w:w="1187"/>
        <w:gridCol w:w="2719"/>
        <w:gridCol w:w="2906"/>
      </w:tblGrid>
      <w:tr w14:paraId="04B22A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01" w:type="pct"/>
            <w:noWrap w:val="0"/>
            <w:tcMar>
              <w:top w:w="57" w:type="dxa"/>
              <w:bottom w:w="57" w:type="dxa"/>
            </w:tcMar>
            <w:vAlign w:val="center"/>
          </w:tcPr>
          <w:p w14:paraId="5B48C3E0">
            <w:pPr>
              <w:keepNext w:val="0"/>
              <w:keepLines w:val="0"/>
              <w:pageBreakBefore w:val="0"/>
              <w:suppressLineNumbers w:val="0"/>
              <w:kinsoku/>
              <w:wordWrap/>
              <w:overflowPunct/>
              <w:topLinePunct w:val="0"/>
              <w:bidi w:val="0"/>
              <w:snapToGrid w:val="0"/>
              <w:spacing w:before="0" w:beforeAutospacing="0" w:after="0" w:afterAutospacing="0" w:line="240" w:lineRule="auto"/>
              <w:ind w:left="0" w:right="0"/>
              <w:jc w:val="center"/>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要素</w:t>
            </w:r>
          </w:p>
          <w:p w14:paraId="23245E66">
            <w:pPr>
              <w:keepNext w:val="0"/>
              <w:keepLines w:val="0"/>
              <w:pageBreakBefore w:val="0"/>
              <w:suppressLineNumbers w:val="0"/>
              <w:kinsoku/>
              <w:wordWrap/>
              <w:overflowPunct/>
              <w:topLinePunct w:val="0"/>
              <w:bidi w:val="0"/>
              <w:snapToGrid w:val="0"/>
              <w:spacing w:before="0" w:beforeAutospacing="0" w:after="0" w:afterAutospacing="0" w:line="240" w:lineRule="auto"/>
              <w:ind w:left="0" w:right="0"/>
              <w:jc w:val="center"/>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内容</w:t>
            </w:r>
          </w:p>
        </w:tc>
        <w:tc>
          <w:tcPr>
            <w:tcW w:w="1221" w:type="pct"/>
            <w:gridSpan w:val="3"/>
            <w:noWrap w:val="0"/>
            <w:tcMar>
              <w:top w:w="57" w:type="dxa"/>
              <w:bottom w:w="57" w:type="dxa"/>
            </w:tcMar>
            <w:vAlign w:val="center"/>
          </w:tcPr>
          <w:p w14:paraId="682712CD">
            <w:pPr>
              <w:keepNext w:val="0"/>
              <w:keepLines w:val="0"/>
              <w:pageBreakBefore w:val="0"/>
              <w:suppressLineNumbers w:val="0"/>
              <w:kinsoku/>
              <w:wordWrap/>
              <w:overflowPunct/>
              <w:topLinePunct w:val="0"/>
              <w:bidi w:val="0"/>
              <w:snapToGrid w:val="0"/>
              <w:spacing w:before="0" w:beforeAutospacing="0" w:after="0" w:afterAutospacing="0" w:line="240" w:lineRule="auto"/>
              <w:ind w:left="0" w:right="0"/>
              <w:jc w:val="center"/>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排放口(编号、名称)/污染源</w:t>
            </w:r>
          </w:p>
        </w:tc>
        <w:tc>
          <w:tcPr>
            <w:tcW w:w="588" w:type="pct"/>
            <w:noWrap w:val="0"/>
            <w:tcMar>
              <w:top w:w="57" w:type="dxa"/>
              <w:bottom w:w="57" w:type="dxa"/>
            </w:tcMar>
            <w:vAlign w:val="center"/>
          </w:tcPr>
          <w:p w14:paraId="272AA3F9">
            <w:pPr>
              <w:keepNext w:val="0"/>
              <w:keepLines w:val="0"/>
              <w:pageBreakBefore w:val="0"/>
              <w:suppressLineNumbers w:val="0"/>
              <w:kinsoku/>
              <w:wordWrap/>
              <w:overflowPunct/>
              <w:topLinePunct w:val="0"/>
              <w:bidi w:val="0"/>
              <w:snapToGrid w:val="0"/>
              <w:spacing w:before="0" w:beforeAutospacing="0" w:after="0" w:afterAutospacing="0" w:line="240" w:lineRule="auto"/>
              <w:ind w:left="0" w:right="0"/>
              <w:jc w:val="center"/>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污染物项目</w:t>
            </w:r>
          </w:p>
        </w:tc>
        <w:tc>
          <w:tcPr>
            <w:tcW w:w="1348" w:type="pct"/>
            <w:noWrap w:val="0"/>
            <w:tcMar>
              <w:top w:w="57" w:type="dxa"/>
              <w:bottom w:w="57" w:type="dxa"/>
            </w:tcMar>
            <w:vAlign w:val="center"/>
          </w:tcPr>
          <w:p w14:paraId="6F9F65BA">
            <w:pPr>
              <w:keepNext w:val="0"/>
              <w:keepLines w:val="0"/>
              <w:pageBreakBefore w:val="0"/>
              <w:suppressLineNumbers w:val="0"/>
              <w:kinsoku/>
              <w:wordWrap/>
              <w:overflowPunct/>
              <w:topLinePunct w:val="0"/>
              <w:bidi w:val="0"/>
              <w:snapToGrid w:val="0"/>
              <w:spacing w:before="0" w:beforeAutospacing="0" w:after="0" w:afterAutospacing="0" w:line="240" w:lineRule="auto"/>
              <w:ind w:left="0" w:right="0"/>
              <w:jc w:val="center"/>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环境保护措施</w:t>
            </w:r>
          </w:p>
        </w:tc>
        <w:tc>
          <w:tcPr>
            <w:tcW w:w="1440" w:type="pct"/>
            <w:noWrap w:val="0"/>
            <w:tcMar>
              <w:top w:w="57" w:type="dxa"/>
              <w:bottom w:w="57" w:type="dxa"/>
            </w:tcMar>
            <w:vAlign w:val="center"/>
          </w:tcPr>
          <w:p w14:paraId="6ECDF153">
            <w:pPr>
              <w:keepNext w:val="0"/>
              <w:keepLines w:val="0"/>
              <w:pageBreakBefore w:val="0"/>
              <w:suppressLineNumbers w:val="0"/>
              <w:kinsoku/>
              <w:wordWrap/>
              <w:overflowPunct/>
              <w:topLinePunct w:val="0"/>
              <w:bidi w:val="0"/>
              <w:snapToGrid w:val="0"/>
              <w:spacing w:before="0" w:beforeAutospacing="0" w:after="0" w:afterAutospacing="0" w:line="240" w:lineRule="auto"/>
              <w:ind w:left="0" w:right="0"/>
              <w:jc w:val="center"/>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执行标准</w:t>
            </w:r>
          </w:p>
        </w:tc>
      </w:tr>
      <w:tr w14:paraId="78736A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01" w:type="pct"/>
            <w:noWrap w:val="0"/>
            <w:tcMar>
              <w:top w:w="57" w:type="dxa"/>
              <w:bottom w:w="57" w:type="dxa"/>
            </w:tcMar>
            <w:vAlign w:val="center"/>
          </w:tcPr>
          <w:p w14:paraId="4BD84775">
            <w:pPr>
              <w:keepNext w:val="0"/>
              <w:keepLines w:val="0"/>
              <w:pageBreakBefore w:val="0"/>
              <w:suppressLineNumbers w:val="0"/>
              <w:kinsoku/>
              <w:wordWrap/>
              <w:overflowPunct/>
              <w:topLinePunct w:val="0"/>
              <w:bidi w:val="0"/>
              <w:snapToGrid w:val="0"/>
              <w:spacing w:before="0" w:beforeAutospacing="0" w:after="0" w:afterAutospacing="0" w:line="240" w:lineRule="auto"/>
              <w:ind w:left="0" w:right="0"/>
              <w:jc w:val="center"/>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地表水环境</w:t>
            </w:r>
          </w:p>
        </w:tc>
        <w:tc>
          <w:tcPr>
            <w:tcW w:w="1221" w:type="pct"/>
            <w:gridSpan w:val="3"/>
            <w:shd w:val="clear" w:color="auto" w:fill="auto"/>
            <w:noWrap w:val="0"/>
            <w:tcMar>
              <w:top w:w="57" w:type="dxa"/>
              <w:bottom w:w="57" w:type="dxa"/>
            </w:tcMar>
            <w:vAlign w:val="center"/>
          </w:tcPr>
          <w:p w14:paraId="18973186">
            <w:pPr>
              <w:keepNext w:val="0"/>
              <w:keepLines w:val="0"/>
              <w:pageBreakBefore w:val="0"/>
              <w:suppressLineNumbers w:val="0"/>
              <w:kinsoku/>
              <w:wordWrap/>
              <w:overflowPunct/>
              <w:topLinePunct w:val="0"/>
              <w:bidi w:val="0"/>
              <w:spacing w:before="0" w:beforeAutospacing="0" w:after="0" w:afterAutospacing="0" w:line="240" w:lineRule="auto"/>
              <w:ind w:left="0" w:leftChars="0" w:right="0" w:rightChars="0"/>
              <w:jc w:val="center"/>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职工生活污水</w:t>
            </w:r>
          </w:p>
        </w:tc>
        <w:tc>
          <w:tcPr>
            <w:tcW w:w="588" w:type="pct"/>
            <w:shd w:val="clear" w:color="auto" w:fill="auto"/>
            <w:noWrap w:val="0"/>
            <w:tcMar>
              <w:top w:w="57" w:type="dxa"/>
              <w:bottom w:w="57" w:type="dxa"/>
            </w:tcMar>
            <w:vAlign w:val="center"/>
          </w:tcPr>
          <w:p w14:paraId="770D2C6D">
            <w:pPr>
              <w:keepNext w:val="0"/>
              <w:keepLines w:val="0"/>
              <w:pageBreakBefore w:val="0"/>
              <w:suppressLineNumbers w:val="0"/>
              <w:kinsoku/>
              <w:wordWrap/>
              <w:overflowPunct/>
              <w:topLinePunct w:val="0"/>
              <w:bidi w:val="0"/>
              <w:spacing w:before="0" w:beforeAutospacing="0" w:after="0" w:afterAutospacing="0" w:line="240" w:lineRule="auto"/>
              <w:ind w:left="0" w:leftChars="0" w:right="0" w:rightChars="0"/>
              <w:jc w:val="center"/>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COD、BOD</w:t>
            </w:r>
            <w:r>
              <w:rPr>
                <w:rFonts w:hint="default" w:ascii="Times New Roman" w:hAnsi="Times New Roman" w:eastAsia="宋体" w:cs="Times New Roman"/>
                <w:color w:val="000000" w:themeColor="text1"/>
                <w:sz w:val="21"/>
                <w:szCs w:val="21"/>
                <w:highlight w:val="none"/>
                <w:u w:val="none" w:color="auto"/>
                <w:vertAlign w:val="subscript"/>
                <w14:textFill>
                  <w14:solidFill>
                    <w14:schemeClr w14:val="tx1"/>
                  </w14:solidFill>
                </w14:textFill>
              </w:rPr>
              <w:t>5</w:t>
            </w: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、NH</w:t>
            </w:r>
            <w:r>
              <w:rPr>
                <w:rFonts w:hint="default" w:ascii="Times New Roman" w:hAnsi="Times New Roman" w:eastAsia="宋体" w:cs="Times New Roman"/>
                <w:color w:val="000000" w:themeColor="text1"/>
                <w:sz w:val="21"/>
                <w:szCs w:val="21"/>
                <w:highlight w:val="none"/>
                <w:u w:val="none" w:color="auto"/>
                <w:vertAlign w:val="subscript"/>
                <w14:textFill>
                  <w14:solidFill>
                    <w14:schemeClr w14:val="tx1"/>
                  </w14:solidFill>
                </w14:textFill>
              </w:rPr>
              <w:t>3</w:t>
            </w: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-N、SS、pH</w:t>
            </w:r>
          </w:p>
        </w:tc>
        <w:tc>
          <w:tcPr>
            <w:tcW w:w="1348" w:type="pct"/>
            <w:shd w:val="clear" w:color="auto" w:fill="auto"/>
            <w:noWrap w:val="0"/>
            <w:tcMar>
              <w:top w:w="57" w:type="dxa"/>
              <w:bottom w:w="57" w:type="dxa"/>
            </w:tcMar>
            <w:vAlign w:val="center"/>
          </w:tcPr>
          <w:p w14:paraId="67CBE4E9">
            <w:pPr>
              <w:keepNext w:val="0"/>
              <w:keepLines w:val="0"/>
              <w:pageBreakBefore w:val="0"/>
              <w:suppressLineNumbers w:val="0"/>
              <w:kinsoku/>
              <w:wordWrap/>
              <w:overflowPunct/>
              <w:topLinePunct w:val="0"/>
              <w:bidi w:val="0"/>
              <w:snapToGrid w:val="0"/>
              <w:spacing w:before="0" w:beforeAutospacing="0" w:after="0" w:afterAutospacing="0" w:line="240" w:lineRule="auto"/>
              <w:ind w:left="0" w:leftChars="0" w:right="0" w:rightChars="0"/>
              <w:jc w:val="center"/>
              <w:rPr>
                <w:rFonts w:hint="default" w:ascii="Times New Roman" w:hAnsi="Times New Roman" w:eastAsia="宋体" w:cs="Times New Roman"/>
                <w:bCs/>
                <w:color w:val="000000" w:themeColor="text1"/>
                <w:kern w:val="2"/>
                <w:sz w:val="21"/>
                <w:szCs w:val="21"/>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近期，生活污水经化粪池（容积</w:t>
            </w:r>
            <w:r>
              <w:rPr>
                <w:rFonts w:hint="eastAsia"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10</w:t>
            </w: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m</w:t>
            </w:r>
            <w:r>
              <w:rPr>
                <w:rFonts w:hint="default" w:ascii="Times New Roman" w:hAnsi="Times New Roman" w:eastAsia="宋体" w:cs="Times New Roman"/>
                <w:color w:val="000000" w:themeColor="text1"/>
                <w:sz w:val="21"/>
                <w:szCs w:val="21"/>
                <w:highlight w:val="none"/>
                <w:u w:val="none" w:color="auto"/>
                <w:vertAlign w:val="superscript"/>
                <w14:textFill>
                  <w14:solidFill>
                    <w14:schemeClr w14:val="tx1"/>
                  </w14:solidFill>
                </w14:textFill>
              </w:rPr>
              <w:t>3</w:t>
            </w: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，三防措施）处理后</w:t>
            </w: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用于周围农田施肥</w:t>
            </w:r>
          </w:p>
        </w:tc>
        <w:tc>
          <w:tcPr>
            <w:tcW w:w="1440" w:type="pct"/>
            <w:shd w:val="clear" w:color="auto" w:fill="auto"/>
            <w:noWrap w:val="0"/>
            <w:tcMar>
              <w:top w:w="57" w:type="dxa"/>
              <w:bottom w:w="57" w:type="dxa"/>
            </w:tcMar>
            <w:vAlign w:val="center"/>
          </w:tcPr>
          <w:p w14:paraId="0DACE30C">
            <w:pPr>
              <w:keepNext w:val="0"/>
              <w:keepLines w:val="0"/>
              <w:pageBreakBefore w:val="0"/>
              <w:suppressLineNumbers w:val="0"/>
              <w:kinsoku/>
              <w:wordWrap/>
              <w:overflowPunct/>
              <w:topLinePunct w:val="0"/>
              <w:bidi w:val="0"/>
              <w:snapToGrid w:val="0"/>
              <w:spacing w:before="0" w:beforeAutospacing="0" w:after="0" w:afterAutospacing="0" w:line="240" w:lineRule="auto"/>
              <w:ind w:left="0" w:leftChars="0" w:right="0" w:rightChars="0"/>
              <w:jc w:val="center"/>
              <w:outlineLvl w:val="9"/>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eastAsia" w:cs="Times New Roman"/>
                <w:color w:val="000000" w:themeColor="text1"/>
                <w:sz w:val="21"/>
                <w:szCs w:val="21"/>
                <w:highlight w:val="none"/>
                <w:u w:val="none" w:color="auto"/>
                <w:lang w:val="en-US" w:eastAsia="zh-CN"/>
                <w14:textFill>
                  <w14:solidFill>
                    <w14:schemeClr w14:val="tx1"/>
                  </w14:solidFill>
                </w14:textFill>
              </w:rPr>
              <w:t>不外排</w:t>
            </w:r>
          </w:p>
        </w:tc>
      </w:tr>
      <w:tr w14:paraId="25A96F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01" w:type="pct"/>
            <w:vMerge w:val="restart"/>
            <w:noWrap w:val="0"/>
            <w:tcMar>
              <w:top w:w="57" w:type="dxa"/>
              <w:bottom w:w="57" w:type="dxa"/>
            </w:tcMar>
            <w:vAlign w:val="center"/>
          </w:tcPr>
          <w:p w14:paraId="41603886">
            <w:pPr>
              <w:keepNext w:val="0"/>
              <w:keepLines w:val="0"/>
              <w:pageBreakBefore w:val="0"/>
              <w:suppressLineNumbers w:val="0"/>
              <w:kinsoku/>
              <w:wordWrap/>
              <w:overflowPunct/>
              <w:topLinePunct w:val="0"/>
              <w:bidi w:val="0"/>
              <w:snapToGrid w:val="0"/>
              <w:spacing w:before="0" w:beforeAutospacing="0" w:after="0" w:afterAutospacing="0" w:line="240" w:lineRule="auto"/>
              <w:ind w:left="0" w:right="0"/>
              <w:jc w:val="center"/>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大气环境</w:t>
            </w:r>
          </w:p>
        </w:tc>
        <w:tc>
          <w:tcPr>
            <w:tcW w:w="232" w:type="pct"/>
            <w:vMerge w:val="restart"/>
            <w:noWrap w:val="0"/>
            <w:tcMar>
              <w:top w:w="57" w:type="dxa"/>
              <w:bottom w:w="57" w:type="dxa"/>
            </w:tcMar>
            <w:vAlign w:val="center"/>
          </w:tcPr>
          <w:p w14:paraId="6CC517EE">
            <w:pPr>
              <w:keepNext w:val="0"/>
              <w:keepLines w:val="0"/>
              <w:pageBreakBefore w:val="0"/>
              <w:suppressLineNumbers w:val="0"/>
              <w:kinsoku/>
              <w:wordWrap/>
              <w:overflowPunct/>
              <w:topLinePunct w:val="0"/>
              <w:bidi w:val="0"/>
              <w:spacing w:before="0" w:beforeAutospacing="0" w:after="0" w:afterAutospacing="0" w:line="240" w:lineRule="auto"/>
              <w:ind w:left="0" w:right="0"/>
              <w:jc w:val="center"/>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有组织</w:t>
            </w:r>
          </w:p>
        </w:tc>
        <w:tc>
          <w:tcPr>
            <w:tcW w:w="351" w:type="pct"/>
            <w:vMerge w:val="restart"/>
            <w:noWrap w:val="0"/>
            <w:tcMar>
              <w:top w:w="57" w:type="dxa"/>
              <w:bottom w:w="57" w:type="dxa"/>
            </w:tcMar>
            <w:vAlign w:val="center"/>
          </w:tcPr>
          <w:p w14:paraId="717CC0E8">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eastAsia" w:cs="Times New Roman"/>
                <w:color w:val="000000" w:themeColor="text1"/>
                <w:sz w:val="21"/>
                <w:szCs w:val="21"/>
                <w:highlight w:val="none"/>
                <w:u w:val="none" w:color="auto"/>
                <w:lang w:val="en-US" w:eastAsia="zh-CN"/>
                <w14:textFill>
                  <w14:solidFill>
                    <w14:schemeClr w14:val="tx1"/>
                  </w14:solidFill>
                </w14:textFill>
              </w:rPr>
              <w:t>机制炭</w:t>
            </w: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生产线</w:t>
            </w:r>
          </w:p>
        </w:tc>
        <w:tc>
          <w:tcPr>
            <w:tcW w:w="637" w:type="pct"/>
            <w:vMerge w:val="restart"/>
            <w:shd w:val="clear" w:color="auto" w:fill="auto"/>
            <w:noWrap w:val="0"/>
            <w:tcMar>
              <w:top w:w="57" w:type="dxa"/>
              <w:bottom w:w="57" w:type="dxa"/>
            </w:tcMar>
            <w:vAlign w:val="center"/>
          </w:tcPr>
          <w:p w14:paraId="65FC4FFE">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eastAsia" w:cs="Times New Roman"/>
                <w:color w:val="000000" w:themeColor="text1"/>
                <w:sz w:val="21"/>
                <w:szCs w:val="21"/>
                <w:highlight w:val="none"/>
                <w:u w:val="none" w:color="auto"/>
                <w:lang w:val="en-US" w:eastAsia="zh-CN"/>
                <w14:textFill>
                  <w14:solidFill>
                    <w14:schemeClr w14:val="tx1"/>
                  </w14:solidFill>
                </w14:textFill>
              </w:rPr>
              <w:t>破碎、筛分、冷却、锯切、包装工序</w:t>
            </w:r>
          </w:p>
        </w:tc>
        <w:tc>
          <w:tcPr>
            <w:tcW w:w="588" w:type="pct"/>
            <w:vMerge w:val="restart"/>
            <w:shd w:val="clear" w:color="auto" w:fill="auto"/>
            <w:noWrap w:val="0"/>
            <w:tcMar>
              <w:top w:w="57" w:type="dxa"/>
              <w:bottom w:w="57" w:type="dxa"/>
            </w:tcMar>
            <w:vAlign w:val="center"/>
          </w:tcPr>
          <w:p w14:paraId="5CB8CAA1">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颗粒物</w:t>
            </w:r>
          </w:p>
        </w:tc>
        <w:tc>
          <w:tcPr>
            <w:tcW w:w="1348" w:type="pct"/>
            <w:vMerge w:val="restart"/>
            <w:shd w:val="clear" w:color="auto" w:fill="auto"/>
            <w:noWrap w:val="0"/>
            <w:tcMar>
              <w:top w:w="57" w:type="dxa"/>
              <w:bottom w:w="57" w:type="dxa"/>
            </w:tcMar>
            <w:vAlign w:val="center"/>
          </w:tcPr>
          <w:p w14:paraId="40A59979">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both"/>
              <w:textAlignment w:val="auto"/>
              <w:outlineLvl w:val="9"/>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eastAsia"/>
                <w:color w:val="000000" w:themeColor="text1"/>
                <w:sz w:val="21"/>
                <w:szCs w:val="21"/>
                <w:u w:val="none" w:color="auto"/>
                <w:lang w:val="en-US" w:eastAsia="zh-CN"/>
                <w14:textFill>
                  <w14:solidFill>
                    <w14:schemeClr w14:val="tx1"/>
                  </w14:solidFill>
                </w14:textFill>
              </w:rPr>
              <w:t>经集气罩收集后管道引至1套袋式除尘器</w:t>
            </w: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（TA00</w:t>
            </w:r>
            <w:r>
              <w:rPr>
                <w:rFonts w:hint="eastAsia"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1</w:t>
            </w: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w:t>
            </w:r>
            <w:r>
              <w:rPr>
                <w:rFonts w:hint="eastAsia"/>
                <w:color w:val="000000" w:themeColor="text1"/>
                <w:sz w:val="21"/>
                <w:szCs w:val="21"/>
                <w:u w:val="none" w:color="auto"/>
                <w:lang w:val="en-US" w:eastAsia="zh-CN"/>
                <w14:textFill>
                  <w14:solidFill>
                    <w14:schemeClr w14:val="tx1"/>
                  </w14:solidFill>
                </w14:textFill>
              </w:rPr>
              <w:t>收集后，经1根15m高排气筒排放（DA001）</w:t>
            </w:r>
          </w:p>
        </w:tc>
        <w:tc>
          <w:tcPr>
            <w:tcW w:w="1440" w:type="pct"/>
            <w:shd w:val="clear" w:color="auto" w:fill="auto"/>
            <w:noWrap w:val="0"/>
            <w:tcMar>
              <w:top w:w="57" w:type="dxa"/>
              <w:bottom w:w="57" w:type="dxa"/>
            </w:tcMar>
            <w:vAlign w:val="center"/>
          </w:tcPr>
          <w:p w14:paraId="0D342FEA">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《大气污染物综合排放标准》（GB16297-1996）表2中二级标准</w:t>
            </w:r>
          </w:p>
        </w:tc>
      </w:tr>
      <w:tr w14:paraId="20D0D8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01" w:type="pct"/>
            <w:vMerge w:val="continue"/>
            <w:noWrap w:val="0"/>
            <w:tcMar>
              <w:top w:w="57" w:type="dxa"/>
              <w:bottom w:w="57" w:type="dxa"/>
            </w:tcMar>
            <w:vAlign w:val="center"/>
          </w:tcPr>
          <w:p w14:paraId="65FF7619">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232" w:type="pct"/>
            <w:vMerge w:val="continue"/>
            <w:noWrap w:val="0"/>
            <w:tcMar>
              <w:top w:w="57" w:type="dxa"/>
              <w:bottom w:w="57" w:type="dxa"/>
            </w:tcMar>
            <w:vAlign w:val="center"/>
          </w:tcPr>
          <w:p w14:paraId="010DF035">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351" w:type="pct"/>
            <w:vMerge w:val="continue"/>
            <w:noWrap w:val="0"/>
            <w:tcMar>
              <w:top w:w="57" w:type="dxa"/>
              <w:bottom w:w="57" w:type="dxa"/>
            </w:tcMar>
            <w:vAlign w:val="center"/>
          </w:tcPr>
          <w:p w14:paraId="1BA1C349">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637" w:type="pct"/>
            <w:vMerge w:val="continue"/>
            <w:noWrap w:val="0"/>
            <w:tcMar>
              <w:top w:w="57" w:type="dxa"/>
              <w:bottom w:w="57" w:type="dxa"/>
            </w:tcMar>
            <w:vAlign w:val="center"/>
          </w:tcPr>
          <w:p w14:paraId="3E692E1C">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7030A0"/>
                <w:sz w:val="21"/>
                <w:szCs w:val="21"/>
                <w:highlight w:val="none"/>
                <w:u w:val="none" w:color="auto"/>
              </w:rPr>
            </w:pPr>
          </w:p>
        </w:tc>
        <w:tc>
          <w:tcPr>
            <w:tcW w:w="588" w:type="pct"/>
            <w:vMerge w:val="continue"/>
            <w:noWrap w:val="0"/>
            <w:tcMar>
              <w:top w:w="57" w:type="dxa"/>
              <w:bottom w:w="57" w:type="dxa"/>
            </w:tcMar>
            <w:vAlign w:val="center"/>
          </w:tcPr>
          <w:p w14:paraId="7417CEC5">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7030A0"/>
                <w:sz w:val="21"/>
                <w:szCs w:val="21"/>
                <w:highlight w:val="none"/>
                <w:u w:val="none" w:color="auto"/>
              </w:rPr>
            </w:pPr>
          </w:p>
        </w:tc>
        <w:tc>
          <w:tcPr>
            <w:tcW w:w="1348" w:type="pct"/>
            <w:vMerge w:val="continue"/>
            <w:noWrap w:val="0"/>
            <w:tcMar>
              <w:top w:w="57" w:type="dxa"/>
              <w:bottom w:w="57" w:type="dxa"/>
            </w:tcMar>
            <w:vAlign w:val="center"/>
          </w:tcPr>
          <w:p w14:paraId="264E3035">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7030A0"/>
                <w:sz w:val="21"/>
                <w:szCs w:val="21"/>
                <w:highlight w:val="none"/>
                <w:u w:val="none" w:color="auto"/>
              </w:rPr>
            </w:pPr>
          </w:p>
        </w:tc>
        <w:tc>
          <w:tcPr>
            <w:tcW w:w="1440" w:type="pct"/>
            <w:noWrap w:val="0"/>
            <w:tcMar>
              <w:top w:w="57" w:type="dxa"/>
              <w:bottom w:w="57" w:type="dxa"/>
            </w:tcMar>
            <w:vAlign w:val="center"/>
          </w:tcPr>
          <w:p w14:paraId="09CBAE9B">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7030A0"/>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《河南省重污染天气重点行业应急减排措施制定技术指南》（202</w:t>
            </w:r>
            <w:r>
              <w:rPr>
                <w:rFonts w:hint="eastAsia" w:cs="Times New Roman"/>
                <w:color w:val="auto"/>
                <w:sz w:val="21"/>
                <w:szCs w:val="21"/>
                <w:highlight w:val="none"/>
                <w:u w:val="none" w:color="auto"/>
                <w:lang w:val="en-US" w:eastAsia="zh-CN"/>
              </w:rPr>
              <w:t>4</w:t>
            </w:r>
            <w:r>
              <w:rPr>
                <w:rFonts w:hint="default" w:ascii="Times New Roman" w:hAnsi="Times New Roman" w:eastAsia="宋体" w:cs="Times New Roman"/>
                <w:color w:val="auto"/>
                <w:sz w:val="21"/>
                <w:szCs w:val="21"/>
                <w:highlight w:val="none"/>
                <w:u w:val="none" w:color="auto"/>
                <w:lang w:val="en-US" w:eastAsia="zh-CN"/>
              </w:rPr>
              <w:t>年修订版）</w:t>
            </w:r>
            <w:r>
              <w:rPr>
                <w:rFonts w:hint="eastAsia"/>
                <w:b w:val="0"/>
                <w:bCs w:val="0"/>
                <w:color w:val="auto"/>
                <w:sz w:val="21"/>
                <w:szCs w:val="21"/>
                <w:u w:val="none" w:color="auto"/>
                <w:lang w:val="en-US" w:eastAsia="zh-CN"/>
              </w:rPr>
              <w:t>通用</w:t>
            </w:r>
            <w:r>
              <w:rPr>
                <w:rFonts w:hint="default"/>
                <w:b w:val="0"/>
                <w:bCs w:val="0"/>
                <w:color w:val="auto"/>
                <w:sz w:val="21"/>
                <w:szCs w:val="21"/>
                <w:u w:val="none" w:color="auto"/>
              </w:rPr>
              <w:t>涉</w:t>
            </w:r>
            <w:r>
              <w:rPr>
                <w:rFonts w:hint="eastAsia"/>
                <w:b w:val="0"/>
                <w:bCs w:val="0"/>
                <w:color w:val="auto"/>
                <w:sz w:val="21"/>
                <w:szCs w:val="21"/>
                <w:u w:val="none" w:color="auto"/>
                <w:lang w:val="en-US" w:eastAsia="zh-CN"/>
              </w:rPr>
              <w:t>PM</w:t>
            </w:r>
            <w:r>
              <w:rPr>
                <w:rFonts w:hint="default"/>
                <w:b w:val="0"/>
                <w:bCs w:val="0"/>
                <w:color w:val="auto"/>
                <w:sz w:val="21"/>
                <w:szCs w:val="21"/>
                <w:u w:val="none" w:color="auto"/>
              </w:rPr>
              <w:t>企业</w:t>
            </w:r>
            <w:r>
              <w:rPr>
                <w:rFonts w:hint="default" w:ascii="Times New Roman" w:hAnsi="Times New Roman" w:eastAsia="宋体" w:cs="Times New Roman"/>
                <w:color w:val="auto"/>
                <w:sz w:val="21"/>
                <w:szCs w:val="21"/>
                <w:highlight w:val="none"/>
                <w:u w:val="none" w:color="auto"/>
                <w:lang w:val="en-US" w:eastAsia="zh-CN"/>
              </w:rPr>
              <w:t>排放限值</w:t>
            </w:r>
          </w:p>
        </w:tc>
      </w:tr>
      <w:tr w14:paraId="7B4751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01" w:type="pct"/>
            <w:vMerge w:val="continue"/>
            <w:noWrap w:val="0"/>
            <w:tcMar>
              <w:top w:w="57" w:type="dxa"/>
              <w:bottom w:w="57" w:type="dxa"/>
            </w:tcMar>
            <w:vAlign w:val="center"/>
          </w:tcPr>
          <w:p w14:paraId="0C2DFBE1">
            <w:pPr>
              <w:pStyle w:val="65"/>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jc w:val="center"/>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232" w:type="pct"/>
            <w:vMerge w:val="continue"/>
            <w:noWrap w:val="0"/>
            <w:tcMar>
              <w:top w:w="57" w:type="dxa"/>
              <w:bottom w:w="57" w:type="dxa"/>
            </w:tcMar>
            <w:vAlign w:val="center"/>
          </w:tcPr>
          <w:p w14:paraId="38223571">
            <w:pPr>
              <w:pStyle w:val="65"/>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jc w:val="center"/>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351" w:type="pct"/>
            <w:vMerge w:val="continue"/>
            <w:noWrap w:val="0"/>
            <w:tcMar>
              <w:top w:w="57" w:type="dxa"/>
              <w:bottom w:w="57" w:type="dxa"/>
            </w:tcMar>
            <w:vAlign w:val="center"/>
          </w:tcPr>
          <w:p w14:paraId="15D0BAEC">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637" w:type="pct"/>
            <w:vMerge w:val="restart"/>
            <w:shd w:val="clear" w:color="auto" w:fill="auto"/>
            <w:noWrap w:val="0"/>
            <w:tcMar>
              <w:top w:w="57" w:type="dxa"/>
              <w:bottom w:w="57" w:type="dxa"/>
            </w:tcMar>
            <w:vAlign w:val="center"/>
          </w:tcPr>
          <w:p w14:paraId="38E29709">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7030A0"/>
                <w:sz w:val="21"/>
                <w:szCs w:val="21"/>
                <w:highlight w:val="none"/>
                <w:u w:val="none" w:color="auto"/>
              </w:rPr>
            </w:pPr>
            <w:r>
              <w:rPr>
                <w:rFonts w:hint="eastAsia"/>
                <w:color w:val="000000" w:themeColor="text1"/>
                <w:sz w:val="21"/>
                <w:szCs w:val="21"/>
                <w:u w:val="none" w:color="auto"/>
                <w:lang w:val="en-US" w:eastAsia="zh-CN"/>
                <w14:textFill>
                  <w14:solidFill>
                    <w14:schemeClr w14:val="tx1"/>
                  </w14:solidFill>
                </w14:textFill>
              </w:rPr>
              <w:t>烘干、</w:t>
            </w:r>
            <w:r>
              <w:rPr>
                <w:rFonts w:hint="eastAsia"/>
                <w:color w:val="000000" w:themeColor="text1"/>
                <w:sz w:val="21"/>
                <w:szCs w:val="21"/>
                <w:u w:val="none" w:color="auto"/>
                <w14:textFill>
                  <w14:solidFill>
                    <w14:schemeClr w14:val="tx1"/>
                  </w14:solidFill>
                </w14:textFill>
              </w:rPr>
              <w:t>制棒废气</w:t>
            </w:r>
            <w:r>
              <w:rPr>
                <w:rFonts w:hint="eastAsia"/>
                <w:color w:val="000000" w:themeColor="text1"/>
                <w:sz w:val="21"/>
                <w:szCs w:val="21"/>
                <w:u w:val="none" w:color="auto"/>
                <w:lang w:eastAsia="zh-CN"/>
                <w14:textFill>
                  <w14:solidFill>
                    <w14:schemeClr w14:val="tx1"/>
                  </w14:solidFill>
                </w14:textFill>
              </w:rPr>
              <w:t>、</w:t>
            </w:r>
            <w:r>
              <w:rPr>
                <w:rFonts w:hint="eastAsia"/>
                <w:color w:val="000000" w:themeColor="text1"/>
                <w:sz w:val="21"/>
                <w:szCs w:val="21"/>
                <w:u w:val="none" w:color="auto"/>
                <w:lang w:val="en-US" w:eastAsia="zh-CN"/>
                <w14:textFill>
                  <w14:solidFill>
                    <w14:schemeClr w14:val="tx1"/>
                  </w14:solidFill>
                </w14:textFill>
              </w:rPr>
              <w:t>烘干工序</w:t>
            </w:r>
          </w:p>
        </w:tc>
        <w:tc>
          <w:tcPr>
            <w:tcW w:w="588" w:type="pct"/>
            <w:vMerge w:val="restart"/>
            <w:shd w:val="clear" w:color="auto" w:fill="auto"/>
            <w:noWrap w:val="0"/>
            <w:tcMar>
              <w:top w:w="57" w:type="dxa"/>
              <w:bottom w:w="57" w:type="dxa"/>
            </w:tcMar>
            <w:vAlign w:val="center"/>
          </w:tcPr>
          <w:p w14:paraId="74BDD8A0">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7030A0"/>
                <w:sz w:val="21"/>
                <w:szCs w:val="21"/>
                <w:highlight w:val="none"/>
                <w:u w:val="none" w:color="auto"/>
              </w:rPr>
            </w:pP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颗粒物</w:t>
            </w:r>
            <w:r>
              <w:rPr>
                <w:rFonts w:hint="eastAsia"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w:t>
            </w:r>
            <w:r>
              <w:rPr>
                <w:rFonts w:hint="eastAsia" w:hAnsi="宋体"/>
                <w:color w:val="000000" w:themeColor="text1"/>
                <w:sz w:val="21"/>
                <w:szCs w:val="21"/>
                <w:u w:val="none" w:color="auto"/>
                <w14:textFill>
                  <w14:solidFill>
                    <w14:schemeClr w14:val="tx1"/>
                  </w14:solidFill>
                </w14:textFill>
              </w:rPr>
              <w:t>SO</w:t>
            </w:r>
            <w:r>
              <w:rPr>
                <w:rFonts w:hint="eastAsia" w:hAnsi="宋体"/>
                <w:color w:val="000000" w:themeColor="text1"/>
                <w:sz w:val="21"/>
                <w:szCs w:val="21"/>
                <w:u w:val="none" w:color="auto"/>
                <w:vertAlign w:val="subscript"/>
                <w14:textFill>
                  <w14:solidFill>
                    <w14:schemeClr w14:val="tx1"/>
                  </w14:solidFill>
                </w14:textFill>
              </w:rPr>
              <w:t>2</w:t>
            </w:r>
            <w:r>
              <w:rPr>
                <w:rFonts w:hint="eastAsia"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w:t>
            </w:r>
            <w:r>
              <w:rPr>
                <w:rFonts w:hint="eastAsia" w:hAnsi="宋体"/>
                <w:color w:val="000000" w:themeColor="text1"/>
                <w:sz w:val="21"/>
                <w:szCs w:val="21"/>
                <w:u w:val="none" w:color="auto"/>
                <w14:textFill>
                  <w14:solidFill>
                    <w14:schemeClr w14:val="tx1"/>
                  </w14:solidFill>
                </w14:textFill>
              </w:rPr>
              <w:t>NOx</w:t>
            </w:r>
          </w:p>
        </w:tc>
        <w:tc>
          <w:tcPr>
            <w:tcW w:w="1348" w:type="pct"/>
            <w:vMerge w:val="restart"/>
            <w:shd w:val="clear" w:color="auto" w:fill="auto"/>
            <w:noWrap w:val="0"/>
            <w:tcMar>
              <w:top w:w="57" w:type="dxa"/>
              <w:bottom w:w="57" w:type="dxa"/>
            </w:tcMar>
            <w:vAlign w:val="center"/>
          </w:tcPr>
          <w:p w14:paraId="2FF781CF">
            <w:pPr>
              <w:keepNext w:val="0"/>
              <w:keepLines w:val="0"/>
              <w:suppressLineNumbers w:val="0"/>
              <w:adjustRightInd w:val="0"/>
              <w:snapToGrid w:val="0"/>
              <w:spacing w:before="0" w:beforeAutospacing="0" w:after="0" w:afterAutospacing="0" w:line="240" w:lineRule="auto"/>
              <w:ind w:left="0" w:leftChars="0" w:right="0" w:rightChars="0"/>
              <w:jc w:val="both"/>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烘干时：机制炭生产线制棒废气引入烘干机作为热源，最终与炭化炉点火和炭化初始阶段燃料燃烧废气、烘干废气一起经“碱喷淋+静电除尘装置”处理后经15m高排气筒（DA002）排放</w:t>
            </w: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w:t>
            </w: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非烘干时，制棒废气、炭化炉点火和炭化初始阶段燃料燃烧废气一起经“碱喷淋+静电除尘装置”处理后经15m高排气筒（DA00</w:t>
            </w: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2</w:t>
            </w: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）排放</w:t>
            </w:r>
            <w:r>
              <w:rPr>
                <w:rFonts w:hint="eastAsia" w:ascii="Times New Roman" w:hAnsi="Times New Roman" w:cs="Times New Roman"/>
                <w:color w:val="000000" w:themeColor="text1"/>
                <w:sz w:val="21"/>
                <w:szCs w:val="21"/>
                <w:u w:val="none" w:color="auto"/>
                <w:lang w:val="en-US" w:eastAsia="zh-CN"/>
                <w14:textFill>
                  <w14:solidFill>
                    <w14:schemeClr w14:val="tx1"/>
                  </w14:solidFill>
                </w14:textFill>
              </w:rPr>
              <w:t>。</w:t>
            </w:r>
          </w:p>
        </w:tc>
        <w:tc>
          <w:tcPr>
            <w:tcW w:w="1440" w:type="pct"/>
            <w:noWrap w:val="0"/>
            <w:tcMar>
              <w:top w:w="57" w:type="dxa"/>
              <w:bottom w:w="57" w:type="dxa"/>
            </w:tcMar>
            <w:vAlign w:val="center"/>
          </w:tcPr>
          <w:p w14:paraId="467DF5FF">
            <w:pPr>
              <w:keepNext w:val="0"/>
              <w:keepLines w:val="0"/>
              <w:pageBreakBefore w:val="0"/>
              <w:widowControl w:val="0"/>
              <w:suppressLineNumbers w:val="0"/>
              <w:kinsoku/>
              <w:wordWrap/>
              <w:overflowPunct/>
              <w:topLinePunct w:val="0"/>
              <w:autoSpaceDE/>
              <w:autoSpaceDN/>
              <w:bidi w:val="0"/>
              <w:spacing w:before="0" w:beforeAutospacing="0" w:after="0" w:afterAutospacing="0"/>
              <w:ind w:left="0" w:leftChars="0" w:right="0" w:rightChars="0"/>
              <w:jc w:val="center"/>
              <w:textAlignment w:val="auto"/>
              <w:outlineLvl w:val="9"/>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color w:val="auto"/>
                <w:sz w:val="21"/>
                <w:szCs w:val="21"/>
                <w:highlight w:val="none"/>
                <w:u w:val="none" w:color="auto"/>
                <w:lang w:val="en-US" w:eastAsia="zh-CN"/>
              </w:rPr>
              <w:t>《大气污染物综合排放标准》（GB16297-1996）表2中二级标准</w:t>
            </w:r>
            <w:r>
              <w:rPr>
                <w:rFonts w:hint="eastAsia" w:ascii="Times New Roman" w:hAnsi="Times New Roman" w:eastAsia="宋体" w:cs="Times New Roman"/>
                <w:color w:val="auto"/>
                <w:sz w:val="21"/>
                <w:szCs w:val="21"/>
                <w:highlight w:val="none"/>
                <w:u w:val="none" w:color="auto"/>
                <w:lang w:val="en-US" w:eastAsia="zh-CN"/>
              </w:rPr>
              <w:t>、</w:t>
            </w:r>
            <w:r>
              <w:rPr>
                <w:rFonts w:hint="eastAsia"/>
                <w:b w:val="0"/>
                <w:bCs/>
                <w:color w:val="auto"/>
                <w:sz w:val="21"/>
                <w:szCs w:val="21"/>
                <w:highlight w:val="none"/>
                <w:u w:val="none" w:color="auto"/>
                <w:lang w:val="en-US" w:eastAsia="zh-CN"/>
              </w:rPr>
              <w:t>《河南省工业炉窑大气污染物排放标准》(DB41/1066-2020)排放限值</w:t>
            </w:r>
          </w:p>
        </w:tc>
      </w:tr>
      <w:tr w14:paraId="66BF30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01" w:type="pct"/>
            <w:vMerge w:val="continue"/>
            <w:noWrap w:val="0"/>
            <w:tcMar>
              <w:top w:w="57" w:type="dxa"/>
              <w:bottom w:w="57" w:type="dxa"/>
            </w:tcMar>
            <w:vAlign w:val="center"/>
          </w:tcPr>
          <w:p w14:paraId="09F8272F">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7030A0"/>
                <w:sz w:val="21"/>
                <w:szCs w:val="21"/>
                <w:highlight w:val="none"/>
                <w:u w:val="none" w:color="auto"/>
              </w:rPr>
            </w:pPr>
          </w:p>
        </w:tc>
        <w:tc>
          <w:tcPr>
            <w:tcW w:w="232" w:type="pct"/>
            <w:vMerge w:val="continue"/>
            <w:noWrap w:val="0"/>
            <w:tcMar>
              <w:top w:w="57" w:type="dxa"/>
              <w:bottom w:w="57" w:type="dxa"/>
            </w:tcMar>
            <w:vAlign w:val="center"/>
          </w:tcPr>
          <w:p w14:paraId="7914D7EF">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7030A0"/>
                <w:sz w:val="21"/>
                <w:szCs w:val="21"/>
                <w:highlight w:val="none"/>
                <w:u w:val="none" w:color="auto"/>
              </w:rPr>
            </w:pPr>
          </w:p>
        </w:tc>
        <w:tc>
          <w:tcPr>
            <w:tcW w:w="351" w:type="pct"/>
            <w:vMerge w:val="continue"/>
            <w:noWrap w:val="0"/>
            <w:tcMar>
              <w:top w:w="57" w:type="dxa"/>
              <w:bottom w:w="57" w:type="dxa"/>
            </w:tcMar>
            <w:vAlign w:val="center"/>
          </w:tcPr>
          <w:p w14:paraId="22DA65CD">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outlineLvl w:val="9"/>
              <w:rPr>
                <w:rFonts w:hint="default" w:ascii="Times New Roman" w:hAnsi="Times New Roman" w:eastAsia="宋体" w:cs="Times New Roman"/>
                <w:color w:val="7030A0"/>
                <w:sz w:val="21"/>
                <w:szCs w:val="21"/>
                <w:highlight w:val="none"/>
                <w:u w:val="none" w:color="auto"/>
              </w:rPr>
            </w:pPr>
          </w:p>
        </w:tc>
        <w:tc>
          <w:tcPr>
            <w:tcW w:w="637" w:type="pct"/>
            <w:vMerge w:val="continue"/>
            <w:shd w:val="clear" w:color="auto" w:fill="auto"/>
            <w:noWrap w:val="0"/>
            <w:tcMar>
              <w:top w:w="57" w:type="dxa"/>
              <w:bottom w:w="57" w:type="dxa"/>
            </w:tcMar>
            <w:vAlign w:val="center"/>
          </w:tcPr>
          <w:p w14:paraId="11374157">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p>
        </w:tc>
        <w:tc>
          <w:tcPr>
            <w:tcW w:w="588" w:type="pct"/>
            <w:vMerge w:val="continue"/>
            <w:shd w:val="clear" w:color="auto" w:fill="auto"/>
            <w:noWrap w:val="0"/>
            <w:tcMar>
              <w:top w:w="57" w:type="dxa"/>
              <w:bottom w:w="57" w:type="dxa"/>
            </w:tcMar>
            <w:vAlign w:val="center"/>
          </w:tcPr>
          <w:p w14:paraId="3AE1498B">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p>
        </w:tc>
        <w:tc>
          <w:tcPr>
            <w:tcW w:w="1348" w:type="pct"/>
            <w:vMerge w:val="continue"/>
            <w:shd w:val="clear" w:color="auto" w:fill="auto"/>
            <w:noWrap w:val="0"/>
            <w:tcMar>
              <w:top w:w="57" w:type="dxa"/>
              <w:bottom w:w="57" w:type="dxa"/>
            </w:tcMar>
            <w:vAlign w:val="center"/>
          </w:tcPr>
          <w:p w14:paraId="3A2BCCB6">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7030A0"/>
                <w:kern w:val="2"/>
                <w:sz w:val="21"/>
                <w:szCs w:val="21"/>
                <w:highlight w:val="none"/>
                <w:u w:val="none" w:color="auto"/>
                <w:lang w:val="en-US" w:eastAsia="zh-CN" w:bidi="ar-SA"/>
              </w:rPr>
            </w:pPr>
          </w:p>
        </w:tc>
        <w:tc>
          <w:tcPr>
            <w:tcW w:w="1440" w:type="pct"/>
            <w:noWrap w:val="0"/>
            <w:tcMar>
              <w:top w:w="57" w:type="dxa"/>
              <w:bottom w:w="57" w:type="dxa"/>
            </w:tcMar>
            <w:vAlign w:val="center"/>
          </w:tcPr>
          <w:p w14:paraId="6CE8EC4A">
            <w:pPr>
              <w:keepNext w:val="0"/>
              <w:keepLines w:val="0"/>
              <w:pageBreakBefore w:val="0"/>
              <w:widowControl w:val="0"/>
              <w:suppressLineNumbers w:val="0"/>
              <w:kinsoku/>
              <w:wordWrap/>
              <w:overflowPunct/>
              <w:topLinePunct w:val="0"/>
              <w:autoSpaceDE/>
              <w:autoSpaceDN/>
              <w:bidi w:val="0"/>
              <w:spacing w:before="0" w:beforeAutospacing="0" w:after="0" w:afterAutospacing="0"/>
              <w:ind w:left="0" w:leftChars="0" w:right="0" w:rightChars="0"/>
              <w:jc w:val="center"/>
              <w:textAlignment w:val="auto"/>
              <w:outlineLvl w:val="9"/>
              <w:rPr>
                <w:rFonts w:hint="default" w:ascii="Times New Roman" w:hAnsi="Times New Roman" w:eastAsia="宋体" w:cs="Times New Roman"/>
                <w:color w:val="7030A0"/>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《河南省重污染天气重点行业应急减排措施制定技术指南》（202</w:t>
            </w:r>
            <w:r>
              <w:rPr>
                <w:rFonts w:hint="eastAsia" w:cs="Times New Roman"/>
                <w:color w:val="auto"/>
                <w:sz w:val="21"/>
                <w:szCs w:val="21"/>
                <w:highlight w:val="none"/>
                <w:u w:val="none" w:color="auto"/>
                <w:lang w:val="en-US" w:eastAsia="zh-CN"/>
              </w:rPr>
              <w:t>4</w:t>
            </w:r>
            <w:r>
              <w:rPr>
                <w:rFonts w:hint="default" w:ascii="Times New Roman" w:hAnsi="Times New Roman" w:eastAsia="宋体" w:cs="Times New Roman"/>
                <w:color w:val="auto"/>
                <w:sz w:val="21"/>
                <w:szCs w:val="21"/>
                <w:highlight w:val="none"/>
                <w:u w:val="none" w:color="auto"/>
                <w:lang w:val="en-US" w:eastAsia="zh-CN"/>
              </w:rPr>
              <w:t>年修订版）</w:t>
            </w:r>
            <w:r>
              <w:rPr>
                <w:rFonts w:hint="eastAsia"/>
                <w:b w:val="0"/>
                <w:bCs/>
                <w:color w:val="auto"/>
                <w:sz w:val="21"/>
                <w:szCs w:val="21"/>
                <w:highlight w:val="none"/>
                <w:u w:val="none" w:color="auto"/>
                <w:lang w:val="en-US" w:eastAsia="zh-CN"/>
              </w:rPr>
              <w:t>涉锅炉/炉窑企业绩效分级</w:t>
            </w:r>
            <w:r>
              <w:rPr>
                <w:rFonts w:hint="default" w:ascii="Times New Roman" w:hAnsi="Times New Roman" w:eastAsia="宋体" w:cs="Times New Roman"/>
                <w:color w:val="auto"/>
                <w:sz w:val="21"/>
                <w:szCs w:val="21"/>
                <w:highlight w:val="none"/>
                <w:u w:val="none" w:color="auto"/>
                <w:lang w:val="en-US" w:eastAsia="zh-CN"/>
              </w:rPr>
              <w:t>排放限值</w:t>
            </w:r>
            <w:r>
              <w:rPr>
                <w:rFonts w:hint="eastAsia" w:cs="Times New Roman"/>
                <w:color w:val="auto"/>
                <w:sz w:val="21"/>
                <w:szCs w:val="21"/>
                <w:highlight w:val="none"/>
                <w:u w:val="none" w:color="auto"/>
                <w:lang w:val="en-US" w:eastAsia="zh-CN"/>
              </w:rPr>
              <w:t>、</w:t>
            </w: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w:t>
            </w:r>
            <w:r>
              <w:rPr>
                <w:rFonts w:hint="eastAsia" w:cs="Times New Roman"/>
                <w:color w:val="000000" w:themeColor="text1"/>
                <w:sz w:val="21"/>
                <w:szCs w:val="21"/>
                <w:highlight w:val="none"/>
                <w:u w:val="none" w:color="auto"/>
                <w:lang w:val="en-US" w:eastAsia="zh-CN"/>
                <w14:textFill>
                  <w14:solidFill>
                    <w14:schemeClr w14:val="tx1"/>
                  </w14:solidFill>
                </w14:textFill>
              </w:rPr>
              <w:t>涉PM企业</w:t>
            </w: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w:t>
            </w:r>
          </w:p>
        </w:tc>
      </w:tr>
      <w:tr w14:paraId="3027AE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01" w:type="pct"/>
            <w:vMerge w:val="continue"/>
            <w:noWrap w:val="0"/>
            <w:tcMar>
              <w:top w:w="57" w:type="dxa"/>
              <w:bottom w:w="57" w:type="dxa"/>
            </w:tcMar>
            <w:vAlign w:val="center"/>
          </w:tcPr>
          <w:p w14:paraId="0BEBA8F1">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outlineLvl w:val="9"/>
              <w:rPr>
                <w:rFonts w:hint="default" w:ascii="Times New Roman" w:hAnsi="Times New Roman" w:eastAsia="宋体" w:cs="Times New Roman"/>
                <w:color w:val="7030A0"/>
                <w:sz w:val="21"/>
                <w:szCs w:val="21"/>
                <w:highlight w:val="none"/>
                <w:u w:val="none" w:color="auto"/>
              </w:rPr>
            </w:pPr>
          </w:p>
        </w:tc>
        <w:tc>
          <w:tcPr>
            <w:tcW w:w="232" w:type="pct"/>
            <w:vMerge w:val="continue"/>
            <w:noWrap w:val="0"/>
            <w:tcMar>
              <w:top w:w="57" w:type="dxa"/>
              <w:bottom w:w="57" w:type="dxa"/>
            </w:tcMar>
            <w:vAlign w:val="center"/>
          </w:tcPr>
          <w:p w14:paraId="607AF2C0">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outlineLvl w:val="9"/>
              <w:rPr>
                <w:rFonts w:hint="default" w:ascii="Times New Roman" w:hAnsi="Times New Roman" w:eastAsia="宋体" w:cs="Times New Roman"/>
                <w:color w:val="7030A0"/>
                <w:sz w:val="21"/>
                <w:szCs w:val="21"/>
                <w:highlight w:val="none"/>
                <w:u w:val="none" w:color="auto"/>
              </w:rPr>
            </w:pPr>
          </w:p>
        </w:tc>
        <w:tc>
          <w:tcPr>
            <w:tcW w:w="351" w:type="pct"/>
            <w:vMerge w:val="restart"/>
            <w:noWrap w:val="0"/>
            <w:tcMar>
              <w:top w:w="57" w:type="dxa"/>
              <w:bottom w:w="57" w:type="dxa"/>
            </w:tcMar>
            <w:vAlign w:val="center"/>
          </w:tcPr>
          <w:p w14:paraId="4D9593C0">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7030A0"/>
                <w:sz w:val="21"/>
                <w:szCs w:val="21"/>
                <w:highlight w:val="none"/>
                <w:u w:val="none" w:color="auto"/>
              </w:rPr>
            </w:pPr>
            <w:r>
              <w:rPr>
                <w:rFonts w:hint="eastAsia" w:cs="Times New Roman"/>
                <w:color w:val="000000" w:themeColor="text1"/>
                <w:sz w:val="21"/>
                <w:szCs w:val="21"/>
                <w:highlight w:val="none"/>
                <w:u w:val="none" w:color="auto"/>
                <w:lang w:val="en-US" w:eastAsia="zh-CN" w:bidi="ar"/>
                <w14:textFill>
                  <w14:solidFill>
                    <w14:schemeClr w14:val="tx1"/>
                  </w14:solidFill>
                </w14:textFill>
              </w:rPr>
              <w:t>生物质颗粒生产线</w:t>
            </w:r>
          </w:p>
        </w:tc>
        <w:tc>
          <w:tcPr>
            <w:tcW w:w="637" w:type="pct"/>
            <w:vMerge w:val="restart"/>
            <w:shd w:val="clear" w:color="auto" w:fill="auto"/>
            <w:noWrap w:val="0"/>
            <w:tcMar>
              <w:top w:w="57" w:type="dxa"/>
              <w:bottom w:w="57" w:type="dxa"/>
            </w:tcMar>
            <w:vAlign w:val="center"/>
          </w:tcPr>
          <w:p w14:paraId="4462DB48">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eastAsia" w:ascii="宋体" w:hAnsi="宋体" w:eastAsia="宋体" w:cs="宋体"/>
                <w:color w:val="000000" w:themeColor="text1"/>
                <w:kern w:val="0"/>
                <w:sz w:val="21"/>
                <w:szCs w:val="21"/>
                <w:u w:val="none" w:color="auto"/>
                <w:lang w:val="en-US" w:eastAsia="zh-CN" w:bidi="ar"/>
                <w14:textFill>
                  <w14:solidFill>
                    <w14:schemeClr w14:val="tx1"/>
                  </w14:solidFill>
                </w14:textFill>
              </w:rPr>
              <w:t>破碎、筛分、造粒和包装等过程</w:t>
            </w:r>
          </w:p>
        </w:tc>
        <w:tc>
          <w:tcPr>
            <w:tcW w:w="588" w:type="pct"/>
            <w:vMerge w:val="restart"/>
            <w:shd w:val="clear" w:color="auto" w:fill="auto"/>
            <w:noWrap w:val="0"/>
            <w:tcMar>
              <w:top w:w="57" w:type="dxa"/>
              <w:bottom w:w="57" w:type="dxa"/>
            </w:tcMar>
            <w:vAlign w:val="center"/>
          </w:tcPr>
          <w:p w14:paraId="3478A40D">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颗粒物</w:t>
            </w:r>
          </w:p>
        </w:tc>
        <w:tc>
          <w:tcPr>
            <w:tcW w:w="1348" w:type="pct"/>
            <w:vMerge w:val="restart"/>
            <w:shd w:val="clear" w:color="auto" w:fill="auto"/>
            <w:noWrap w:val="0"/>
            <w:tcMar>
              <w:top w:w="57" w:type="dxa"/>
              <w:bottom w:w="57" w:type="dxa"/>
            </w:tcMar>
            <w:vAlign w:val="center"/>
          </w:tcPr>
          <w:p w14:paraId="43F91A65">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both"/>
              <w:textAlignment w:val="auto"/>
              <w:outlineLvl w:val="9"/>
              <w:rPr>
                <w:rFonts w:hint="default" w:ascii="Times New Roman" w:hAnsi="Times New Roman" w:eastAsia="宋体" w:cs="Times New Roman"/>
                <w:color w:val="auto"/>
                <w:kern w:val="2"/>
                <w:sz w:val="21"/>
                <w:szCs w:val="21"/>
                <w:highlight w:val="none"/>
                <w:u w:val="none" w:color="auto"/>
                <w:lang w:val="en-US" w:eastAsia="zh-CN" w:bidi="ar-SA"/>
              </w:rPr>
            </w:pPr>
            <w:r>
              <w:rPr>
                <w:rFonts w:hint="eastAsia"/>
                <w:color w:val="000000" w:themeColor="text1"/>
                <w:sz w:val="21"/>
                <w:szCs w:val="21"/>
                <w:u w:val="none" w:color="auto"/>
                <w:lang w:val="en-US" w:eastAsia="zh-CN"/>
                <w14:textFill>
                  <w14:solidFill>
                    <w14:schemeClr w14:val="tx1"/>
                  </w14:solidFill>
                </w14:textFill>
              </w:rPr>
              <w:t>经收集后引入1套袋式</w:t>
            </w:r>
            <w:r>
              <w:rPr>
                <w:rFonts w:hint="eastAsia"/>
                <w:color w:val="000000" w:themeColor="text1"/>
                <w:sz w:val="21"/>
                <w:szCs w:val="21"/>
                <w:u w:val="none" w:color="auto"/>
                <w14:textFill>
                  <w14:solidFill>
                    <w14:schemeClr w14:val="tx1"/>
                  </w14:solidFill>
                </w14:textFill>
              </w:rPr>
              <w:t>除尘器</w:t>
            </w: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（TA00</w:t>
            </w:r>
            <w:r>
              <w:rPr>
                <w:rFonts w:hint="eastAsia"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3</w:t>
            </w: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）处理后经1根15m高排气筒（DA00</w:t>
            </w:r>
            <w:r>
              <w:rPr>
                <w:rFonts w:hint="eastAsia"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3</w:t>
            </w: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）引至高空排放</w:t>
            </w:r>
          </w:p>
        </w:tc>
        <w:tc>
          <w:tcPr>
            <w:tcW w:w="1440" w:type="pct"/>
            <w:shd w:val="clear" w:color="auto" w:fill="auto"/>
            <w:noWrap w:val="0"/>
            <w:tcMar>
              <w:top w:w="57" w:type="dxa"/>
              <w:bottom w:w="57" w:type="dxa"/>
            </w:tcMar>
            <w:vAlign w:val="center"/>
          </w:tcPr>
          <w:p w14:paraId="3A5F3AE4">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kern w:val="0"/>
                <w:sz w:val="21"/>
                <w:szCs w:val="21"/>
                <w:highlight w:val="none"/>
                <w:u w:val="none" w:color="auto"/>
              </w:rPr>
              <w:t>《大气污染物综合排放标准》（GB16297-1996）表2中二级标准</w:t>
            </w:r>
          </w:p>
        </w:tc>
      </w:tr>
      <w:tr w14:paraId="7272D0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01" w:type="pct"/>
            <w:vMerge w:val="continue"/>
            <w:noWrap w:val="0"/>
            <w:tcMar>
              <w:top w:w="57" w:type="dxa"/>
              <w:bottom w:w="57" w:type="dxa"/>
            </w:tcMar>
            <w:vAlign w:val="center"/>
          </w:tcPr>
          <w:p w14:paraId="6B41BA2F">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outlineLvl w:val="9"/>
              <w:rPr>
                <w:rFonts w:hint="default" w:ascii="Times New Roman" w:hAnsi="Times New Roman" w:eastAsia="宋体" w:cs="Times New Roman"/>
                <w:color w:val="7030A0"/>
                <w:sz w:val="21"/>
                <w:szCs w:val="21"/>
                <w:highlight w:val="none"/>
                <w:u w:val="none" w:color="auto"/>
              </w:rPr>
            </w:pPr>
          </w:p>
        </w:tc>
        <w:tc>
          <w:tcPr>
            <w:tcW w:w="232" w:type="pct"/>
            <w:vMerge w:val="continue"/>
            <w:noWrap w:val="0"/>
            <w:tcMar>
              <w:top w:w="57" w:type="dxa"/>
              <w:bottom w:w="57" w:type="dxa"/>
            </w:tcMar>
            <w:vAlign w:val="center"/>
          </w:tcPr>
          <w:p w14:paraId="01FD5184">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outlineLvl w:val="9"/>
              <w:rPr>
                <w:rFonts w:hint="default" w:ascii="Times New Roman" w:hAnsi="Times New Roman" w:eastAsia="宋体" w:cs="Times New Roman"/>
                <w:color w:val="7030A0"/>
                <w:sz w:val="21"/>
                <w:szCs w:val="21"/>
                <w:highlight w:val="none"/>
                <w:u w:val="none" w:color="auto"/>
              </w:rPr>
            </w:pPr>
          </w:p>
        </w:tc>
        <w:tc>
          <w:tcPr>
            <w:tcW w:w="351" w:type="pct"/>
            <w:vMerge w:val="continue"/>
            <w:noWrap w:val="0"/>
            <w:tcMar>
              <w:top w:w="57" w:type="dxa"/>
              <w:bottom w:w="57" w:type="dxa"/>
            </w:tcMar>
            <w:vAlign w:val="center"/>
          </w:tcPr>
          <w:p w14:paraId="5F729CAB">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7030A0"/>
                <w:sz w:val="21"/>
                <w:szCs w:val="21"/>
                <w:highlight w:val="none"/>
                <w:u w:val="none" w:color="auto"/>
              </w:rPr>
            </w:pPr>
          </w:p>
        </w:tc>
        <w:tc>
          <w:tcPr>
            <w:tcW w:w="637" w:type="pct"/>
            <w:vMerge w:val="continue"/>
            <w:shd w:val="clear" w:color="auto" w:fill="auto"/>
            <w:noWrap w:val="0"/>
            <w:tcMar>
              <w:top w:w="57" w:type="dxa"/>
              <w:bottom w:w="57" w:type="dxa"/>
            </w:tcMar>
            <w:vAlign w:val="center"/>
          </w:tcPr>
          <w:p w14:paraId="0F12C7BE">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p>
        </w:tc>
        <w:tc>
          <w:tcPr>
            <w:tcW w:w="588" w:type="pct"/>
            <w:vMerge w:val="continue"/>
            <w:shd w:val="clear" w:color="auto" w:fill="auto"/>
            <w:noWrap w:val="0"/>
            <w:tcMar>
              <w:top w:w="57" w:type="dxa"/>
              <w:bottom w:w="57" w:type="dxa"/>
            </w:tcMar>
            <w:vAlign w:val="center"/>
          </w:tcPr>
          <w:p w14:paraId="2D1E9D89">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p>
        </w:tc>
        <w:tc>
          <w:tcPr>
            <w:tcW w:w="1348" w:type="pct"/>
            <w:vMerge w:val="continue"/>
            <w:shd w:val="clear" w:color="auto" w:fill="auto"/>
            <w:noWrap w:val="0"/>
            <w:tcMar>
              <w:top w:w="57" w:type="dxa"/>
              <w:bottom w:w="57" w:type="dxa"/>
            </w:tcMar>
            <w:vAlign w:val="center"/>
          </w:tcPr>
          <w:p w14:paraId="21059C16">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auto"/>
                <w:kern w:val="2"/>
                <w:sz w:val="21"/>
                <w:szCs w:val="21"/>
                <w:highlight w:val="none"/>
                <w:u w:val="none" w:color="auto"/>
                <w:lang w:val="en-US" w:eastAsia="zh-CN" w:bidi="ar-SA"/>
              </w:rPr>
            </w:pPr>
          </w:p>
        </w:tc>
        <w:tc>
          <w:tcPr>
            <w:tcW w:w="1440" w:type="pct"/>
            <w:shd w:val="clear" w:color="auto" w:fill="auto"/>
            <w:noWrap w:val="0"/>
            <w:tcMar>
              <w:top w:w="57" w:type="dxa"/>
              <w:bottom w:w="57" w:type="dxa"/>
            </w:tcMar>
            <w:vAlign w:val="center"/>
          </w:tcPr>
          <w:p w14:paraId="5ECE7D37">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《河南省重污染天气重点行业应急减排措施制定技术指南》（202</w:t>
            </w:r>
            <w:r>
              <w:rPr>
                <w:rFonts w:hint="eastAsia" w:cs="Times New Roman"/>
                <w:color w:val="auto"/>
                <w:sz w:val="21"/>
                <w:szCs w:val="21"/>
                <w:highlight w:val="none"/>
                <w:u w:val="none" w:color="auto"/>
                <w:lang w:val="en-US" w:eastAsia="zh-CN"/>
              </w:rPr>
              <w:t>4</w:t>
            </w:r>
            <w:r>
              <w:rPr>
                <w:rFonts w:hint="default" w:ascii="Times New Roman" w:hAnsi="Times New Roman" w:eastAsia="宋体" w:cs="Times New Roman"/>
                <w:color w:val="auto"/>
                <w:sz w:val="21"/>
                <w:szCs w:val="21"/>
                <w:highlight w:val="none"/>
                <w:u w:val="none" w:color="auto"/>
                <w:lang w:val="en-US" w:eastAsia="zh-CN"/>
              </w:rPr>
              <w:t>年修订版）</w:t>
            </w:r>
            <w:r>
              <w:rPr>
                <w:rFonts w:hint="eastAsia"/>
                <w:b w:val="0"/>
                <w:bCs w:val="0"/>
                <w:color w:val="auto"/>
                <w:sz w:val="21"/>
                <w:szCs w:val="21"/>
                <w:u w:val="none" w:color="auto"/>
                <w:lang w:val="en-US" w:eastAsia="zh-CN"/>
              </w:rPr>
              <w:t>通用</w:t>
            </w:r>
            <w:r>
              <w:rPr>
                <w:rFonts w:hint="default"/>
                <w:b w:val="0"/>
                <w:bCs w:val="0"/>
                <w:color w:val="auto"/>
                <w:sz w:val="21"/>
                <w:szCs w:val="21"/>
                <w:u w:val="none" w:color="auto"/>
              </w:rPr>
              <w:t>涉</w:t>
            </w:r>
            <w:r>
              <w:rPr>
                <w:rFonts w:hint="eastAsia"/>
                <w:b w:val="0"/>
                <w:bCs w:val="0"/>
                <w:color w:val="auto"/>
                <w:sz w:val="21"/>
                <w:szCs w:val="21"/>
                <w:u w:val="none" w:color="auto"/>
                <w:lang w:val="en-US" w:eastAsia="zh-CN"/>
              </w:rPr>
              <w:t>PM</w:t>
            </w:r>
            <w:r>
              <w:rPr>
                <w:rFonts w:hint="default"/>
                <w:b w:val="0"/>
                <w:bCs w:val="0"/>
                <w:color w:val="auto"/>
                <w:sz w:val="21"/>
                <w:szCs w:val="21"/>
                <w:u w:val="none" w:color="auto"/>
              </w:rPr>
              <w:t>企业</w:t>
            </w:r>
            <w:r>
              <w:rPr>
                <w:rFonts w:hint="default" w:ascii="Times New Roman" w:hAnsi="Times New Roman" w:eastAsia="宋体" w:cs="Times New Roman"/>
                <w:color w:val="auto"/>
                <w:sz w:val="21"/>
                <w:szCs w:val="21"/>
                <w:highlight w:val="none"/>
                <w:u w:val="none" w:color="auto"/>
                <w:lang w:val="en-US" w:eastAsia="zh-CN"/>
              </w:rPr>
              <w:t>排放限值</w:t>
            </w:r>
          </w:p>
        </w:tc>
      </w:tr>
      <w:tr w14:paraId="37163A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01" w:type="pct"/>
            <w:vMerge w:val="continue"/>
            <w:noWrap w:val="0"/>
            <w:tcMar>
              <w:top w:w="57" w:type="dxa"/>
              <w:bottom w:w="57" w:type="dxa"/>
            </w:tcMar>
            <w:vAlign w:val="center"/>
          </w:tcPr>
          <w:p w14:paraId="6EA8E81F">
            <w:pPr>
              <w:pStyle w:val="65"/>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jc w:val="center"/>
              <w:outlineLvl w:val="9"/>
              <w:rPr>
                <w:rFonts w:hint="default" w:ascii="Times New Roman" w:hAnsi="Times New Roman" w:eastAsia="宋体" w:cs="Times New Roman"/>
                <w:color w:val="7030A0"/>
                <w:sz w:val="21"/>
                <w:szCs w:val="21"/>
                <w:highlight w:val="none"/>
                <w:u w:val="none" w:color="auto"/>
              </w:rPr>
            </w:pPr>
          </w:p>
        </w:tc>
        <w:tc>
          <w:tcPr>
            <w:tcW w:w="232" w:type="pct"/>
            <w:vMerge w:val="restart"/>
            <w:noWrap w:val="0"/>
            <w:tcMar>
              <w:top w:w="57" w:type="dxa"/>
              <w:bottom w:w="57" w:type="dxa"/>
            </w:tcMar>
            <w:vAlign w:val="center"/>
          </w:tcPr>
          <w:p w14:paraId="57B66B72">
            <w:pPr>
              <w:pStyle w:val="65"/>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jc w:val="center"/>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无组织</w:t>
            </w:r>
          </w:p>
        </w:tc>
        <w:tc>
          <w:tcPr>
            <w:tcW w:w="351" w:type="pct"/>
            <w:vMerge w:val="restart"/>
            <w:noWrap w:val="0"/>
            <w:tcMar>
              <w:top w:w="57" w:type="dxa"/>
              <w:bottom w:w="57" w:type="dxa"/>
            </w:tcMar>
            <w:vAlign w:val="center"/>
          </w:tcPr>
          <w:p w14:paraId="76A7D264">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eastAsia" w:cs="Times New Roman"/>
                <w:color w:val="000000" w:themeColor="text1"/>
                <w:sz w:val="21"/>
                <w:szCs w:val="21"/>
                <w:highlight w:val="none"/>
                <w:u w:val="none" w:color="auto"/>
                <w:lang w:val="en-US" w:eastAsia="zh-CN" w:bidi="ar"/>
                <w14:textFill>
                  <w14:solidFill>
                    <w14:schemeClr w14:val="tx1"/>
                  </w14:solidFill>
                </w14:textFill>
              </w:rPr>
              <w:t>生物质颗粒</w:t>
            </w:r>
            <w:r>
              <w:rPr>
                <w:rFonts w:hint="default" w:ascii="Times New Roman" w:hAnsi="Times New Roman" w:eastAsia="宋体" w:cs="Times New Roman"/>
                <w:color w:val="000000" w:themeColor="text1"/>
                <w:sz w:val="21"/>
                <w:szCs w:val="21"/>
                <w:highlight w:val="none"/>
                <w:u w:val="none" w:color="auto"/>
                <w:lang w:val="en-US" w:eastAsia="zh-CN" w:bidi="ar"/>
                <w14:textFill>
                  <w14:solidFill>
                    <w14:schemeClr w14:val="tx1"/>
                  </w14:solidFill>
                </w14:textFill>
              </w:rPr>
              <w:t>生产线</w:t>
            </w:r>
          </w:p>
        </w:tc>
        <w:tc>
          <w:tcPr>
            <w:tcW w:w="637" w:type="pct"/>
            <w:shd w:val="clear" w:color="auto" w:fill="auto"/>
            <w:noWrap w:val="0"/>
            <w:tcMar>
              <w:top w:w="57" w:type="dxa"/>
              <w:bottom w:w="57" w:type="dxa"/>
            </w:tcMar>
            <w:vAlign w:val="center"/>
          </w:tcPr>
          <w:p w14:paraId="62D3CDF8">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eastAsia"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eastAsia" w:ascii="宋体" w:hAnsi="宋体" w:eastAsia="宋体" w:cs="宋体"/>
                <w:color w:val="auto"/>
                <w:kern w:val="0"/>
                <w:sz w:val="21"/>
                <w:szCs w:val="21"/>
                <w:lang w:val="en-US" w:eastAsia="zh-CN" w:bidi="ar"/>
              </w:rPr>
              <w:t>原料装卸</w:t>
            </w:r>
            <w:r>
              <w:rPr>
                <w:rFonts w:hint="eastAsia" w:ascii="宋体" w:hAnsi="宋体" w:cs="宋体"/>
                <w:color w:val="auto"/>
                <w:kern w:val="0"/>
                <w:sz w:val="21"/>
                <w:szCs w:val="21"/>
                <w:lang w:val="en-US" w:eastAsia="zh-CN" w:bidi="ar"/>
              </w:rPr>
              <w:t>转运过程废气</w:t>
            </w:r>
          </w:p>
        </w:tc>
        <w:tc>
          <w:tcPr>
            <w:tcW w:w="588" w:type="pct"/>
            <w:shd w:val="clear" w:color="auto" w:fill="auto"/>
            <w:noWrap w:val="0"/>
            <w:tcMar>
              <w:top w:w="57" w:type="dxa"/>
              <w:bottom w:w="57" w:type="dxa"/>
            </w:tcMar>
            <w:vAlign w:val="center"/>
          </w:tcPr>
          <w:p w14:paraId="47E0D7B8">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颗粒物</w:t>
            </w:r>
          </w:p>
        </w:tc>
        <w:tc>
          <w:tcPr>
            <w:tcW w:w="1348" w:type="pct"/>
            <w:vMerge w:val="restart"/>
            <w:noWrap w:val="0"/>
            <w:tcMar>
              <w:top w:w="57" w:type="dxa"/>
              <w:bottom w:w="57" w:type="dxa"/>
            </w:tcMar>
            <w:vAlign w:val="center"/>
          </w:tcPr>
          <w:p w14:paraId="634DEC16">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eastAsia" w:cs="Times New Roman"/>
                <w:color w:val="000000" w:themeColor="text1"/>
                <w:sz w:val="21"/>
                <w:szCs w:val="21"/>
                <w:highlight w:val="none"/>
                <w:u w:val="none" w:color="auto"/>
                <w:lang w:val="en-US" w:eastAsia="zh-CN"/>
                <w14:textFill>
                  <w14:solidFill>
                    <w14:schemeClr w14:val="tx1"/>
                  </w14:solidFill>
                </w14:textFill>
              </w:rPr>
              <w:t>所在厂房封闭</w:t>
            </w:r>
          </w:p>
        </w:tc>
        <w:tc>
          <w:tcPr>
            <w:tcW w:w="1440" w:type="pct"/>
            <w:vMerge w:val="restart"/>
            <w:noWrap w:val="0"/>
            <w:tcMar>
              <w:top w:w="57" w:type="dxa"/>
              <w:bottom w:w="57" w:type="dxa"/>
            </w:tcMar>
            <w:vAlign w:val="center"/>
          </w:tcPr>
          <w:p w14:paraId="735B09B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u w:val="none" w:color="auto"/>
                <w14:textFill>
                  <w14:solidFill>
                    <w14:schemeClr w14:val="tx1"/>
                  </w14:solidFill>
                </w14:textFill>
              </w:rPr>
              <w:t>《大气污染物综合排放标准》（GB16297-1996）表2无组织排放限值</w:t>
            </w:r>
          </w:p>
        </w:tc>
      </w:tr>
      <w:tr w14:paraId="6A8E6C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01" w:type="pct"/>
            <w:vMerge w:val="continue"/>
            <w:noWrap w:val="0"/>
            <w:tcMar>
              <w:top w:w="57" w:type="dxa"/>
              <w:bottom w:w="57" w:type="dxa"/>
            </w:tcMar>
            <w:vAlign w:val="center"/>
          </w:tcPr>
          <w:p w14:paraId="5E427DCB">
            <w:pPr>
              <w:pStyle w:val="65"/>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jc w:val="center"/>
              <w:outlineLvl w:val="9"/>
              <w:rPr>
                <w:rFonts w:hint="default" w:ascii="Times New Roman" w:hAnsi="Times New Roman" w:eastAsia="宋体" w:cs="Times New Roman"/>
                <w:color w:val="7030A0"/>
                <w:sz w:val="21"/>
                <w:szCs w:val="21"/>
                <w:highlight w:val="none"/>
                <w:u w:val="none" w:color="auto"/>
              </w:rPr>
            </w:pPr>
          </w:p>
        </w:tc>
        <w:tc>
          <w:tcPr>
            <w:tcW w:w="232" w:type="pct"/>
            <w:vMerge w:val="continue"/>
            <w:noWrap w:val="0"/>
            <w:tcMar>
              <w:top w:w="57" w:type="dxa"/>
              <w:bottom w:w="57" w:type="dxa"/>
            </w:tcMar>
            <w:vAlign w:val="center"/>
          </w:tcPr>
          <w:p w14:paraId="45DBA5F8">
            <w:pPr>
              <w:pStyle w:val="65"/>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jc w:val="center"/>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351" w:type="pct"/>
            <w:vMerge w:val="continue"/>
            <w:noWrap w:val="0"/>
            <w:tcMar>
              <w:top w:w="57" w:type="dxa"/>
              <w:bottom w:w="57" w:type="dxa"/>
            </w:tcMar>
            <w:vAlign w:val="center"/>
          </w:tcPr>
          <w:p w14:paraId="2E0C20B3">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637" w:type="pct"/>
            <w:noWrap w:val="0"/>
            <w:tcMar>
              <w:top w:w="57" w:type="dxa"/>
              <w:bottom w:w="57" w:type="dxa"/>
            </w:tcMar>
            <w:vAlign w:val="center"/>
          </w:tcPr>
          <w:p w14:paraId="46C99331">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sz w:val="21"/>
                <w:szCs w:val="21"/>
                <w:highlight w:val="none"/>
                <w:u w:val="none" w:color="auto"/>
                <w:lang w:val="en-US" w:eastAsia="zh-CN" w:bidi="ar"/>
                <w14:textFill>
                  <w14:solidFill>
                    <w14:schemeClr w14:val="tx1"/>
                  </w14:solidFill>
                </w14:textFill>
              </w:rPr>
            </w:pPr>
            <w:r>
              <w:rPr>
                <w:rFonts w:hint="eastAsia" w:cs="Times New Roman"/>
                <w:color w:val="000000" w:themeColor="text1"/>
                <w:sz w:val="21"/>
                <w:szCs w:val="21"/>
                <w:highlight w:val="none"/>
                <w:u w:val="none" w:color="auto"/>
                <w:lang w:val="en-US" w:eastAsia="zh-CN" w:bidi="ar"/>
                <w14:textFill>
                  <w14:solidFill>
                    <w14:schemeClr w14:val="tx1"/>
                  </w14:solidFill>
                </w14:textFill>
              </w:rPr>
              <w:t>破碎工序和包装工序未收集</w:t>
            </w:r>
          </w:p>
        </w:tc>
        <w:tc>
          <w:tcPr>
            <w:tcW w:w="588" w:type="pct"/>
            <w:noWrap w:val="0"/>
            <w:tcMar>
              <w:top w:w="57" w:type="dxa"/>
              <w:bottom w:w="57" w:type="dxa"/>
            </w:tcMar>
            <w:vAlign w:val="center"/>
          </w:tcPr>
          <w:p w14:paraId="2CB04B85">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颗粒物</w:t>
            </w:r>
          </w:p>
        </w:tc>
        <w:tc>
          <w:tcPr>
            <w:tcW w:w="1348" w:type="pct"/>
            <w:vMerge w:val="continue"/>
            <w:noWrap w:val="0"/>
            <w:tcMar>
              <w:top w:w="57" w:type="dxa"/>
              <w:bottom w:w="57" w:type="dxa"/>
            </w:tcMar>
            <w:vAlign w:val="center"/>
          </w:tcPr>
          <w:p w14:paraId="2D1FC820">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p>
        </w:tc>
        <w:tc>
          <w:tcPr>
            <w:tcW w:w="1440" w:type="pct"/>
            <w:vMerge w:val="continue"/>
            <w:noWrap w:val="0"/>
            <w:tcMar>
              <w:top w:w="57" w:type="dxa"/>
              <w:bottom w:w="57" w:type="dxa"/>
            </w:tcMar>
            <w:vAlign w:val="center"/>
          </w:tcPr>
          <w:p w14:paraId="2AA7BD9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p>
        </w:tc>
      </w:tr>
      <w:tr w14:paraId="06E494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01" w:type="pct"/>
            <w:vMerge w:val="continue"/>
            <w:noWrap w:val="0"/>
            <w:tcMar>
              <w:top w:w="57" w:type="dxa"/>
              <w:bottom w:w="57" w:type="dxa"/>
            </w:tcMar>
            <w:vAlign w:val="center"/>
          </w:tcPr>
          <w:p w14:paraId="21FFB466">
            <w:pPr>
              <w:pStyle w:val="65"/>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jc w:val="center"/>
              <w:outlineLvl w:val="9"/>
              <w:rPr>
                <w:rFonts w:hint="default" w:ascii="Times New Roman" w:hAnsi="Times New Roman" w:eastAsia="宋体" w:cs="Times New Roman"/>
                <w:color w:val="7030A0"/>
                <w:sz w:val="21"/>
                <w:szCs w:val="21"/>
                <w:highlight w:val="none"/>
                <w:u w:val="none" w:color="auto"/>
              </w:rPr>
            </w:pPr>
          </w:p>
        </w:tc>
        <w:tc>
          <w:tcPr>
            <w:tcW w:w="232" w:type="pct"/>
            <w:vMerge w:val="continue"/>
            <w:noWrap w:val="0"/>
            <w:tcMar>
              <w:top w:w="57" w:type="dxa"/>
              <w:bottom w:w="57" w:type="dxa"/>
            </w:tcMar>
            <w:vAlign w:val="center"/>
          </w:tcPr>
          <w:p w14:paraId="3AA270F9">
            <w:pPr>
              <w:pStyle w:val="65"/>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jc w:val="center"/>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351" w:type="pct"/>
            <w:vMerge w:val="restart"/>
            <w:noWrap w:val="0"/>
            <w:tcMar>
              <w:top w:w="57" w:type="dxa"/>
              <w:bottom w:w="57" w:type="dxa"/>
            </w:tcMar>
            <w:vAlign w:val="center"/>
          </w:tcPr>
          <w:p w14:paraId="28572353">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eastAsia" w:cs="Times New Roman"/>
                <w:color w:val="000000" w:themeColor="text1"/>
                <w:sz w:val="21"/>
                <w:szCs w:val="21"/>
                <w:highlight w:val="none"/>
                <w:u w:val="none" w:color="auto"/>
                <w:lang w:val="en-US" w:eastAsia="zh-CN"/>
                <w14:textFill>
                  <w14:solidFill>
                    <w14:schemeClr w14:val="tx1"/>
                  </w14:solidFill>
                </w14:textFill>
              </w:rPr>
              <w:t>机制炭</w:t>
            </w: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生产线</w:t>
            </w:r>
          </w:p>
        </w:tc>
        <w:tc>
          <w:tcPr>
            <w:tcW w:w="637" w:type="pct"/>
            <w:shd w:val="clear" w:color="auto" w:fill="auto"/>
            <w:noWrap w:val="0"/>
            <w:tcMar>
              <w:top w:w="57" w:type="dxa"/>
              <w:bottom w:w="57" w:type="dxa"/>
            </w:tcMar>
            <w:vAlign w:val="center"/>
          </w:tcPr>
          <w:p w14:paraId="38EF9A09">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eastAsia" w:ascii="宋体" w:hAnsi="宋体" w:eastAsia="宋体" w:cs="宋体"/>
                <w:color w:val="000000" w:themeColor="text1"/>
                <w:kern w:val="0"/>
                <w:sz w:val="21"/>
                <w:szCs w:val="21"/>
                <w:u w:val="none" w:color="auto"/>
                <w:lang w:val="en-US" w:eastAsia="zh-CN" w:bidi="ar"/>
                <w14:textFill>
                  <w14:solidFill>
                    <w14:schemeClr w14:val="tx1"/>
                  </w14:solidFill>
                </w14:textFill>
              </w:rPr>
              <w:t>原料装卸</w:t>
            </w:r>
            <w:r>
              <w:rPr>
                <w:rFonts w:hint="eastAsia" w:ascii="宋体" w:hAnsi="宋体" w:cs="宋体"/>
                <w:color w:val="000000" w:themeColor="text1"/>
                <w:kern w:val="0"/>
                <w:sz w:val="21"/>
                <w:szCs w:val="21"/>
                <w:u w:val="none" w:color="auto"/>
                <w:lang w:val="en-US" w:eastAsia="zh-CN" w:bidi="ar"/>
                <w14:textFill>
                  <w14:solidFill>
                    <w14:schemeClr w14:val="tx1"/>
                  </w14:solidFill>
                </w14:textFill>
              </w:rPr>
              <w:t>转运过程废气</w:t>
            </w:r>
          </w:p>
        </w:tc>
        <w:tc>
          <w:tcPr>
            <w:tcW w:w="588" w:type="pct"/>
            <w:noWrap w:val="0"/>
            <w:tcMar>
              <w:top w:w="57" w:type="dxa"/>
              <w:bottom w:w="57" w:type="dxa"/>
            </w:tcMar>
            <w:vAlign w:val="center"/>
          </w:tcPr>
          <w:p w14:paraId="0AF243E4">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颗粒物</w:t>
            </w:r>
          </w:p>
        </w:tc>
        <w:tc>
          <w:tcPr>
            <w:tcW w:w="1348" w:type="pct"/>
            <w:vMerge w:val="restart"/>
            <w:noWrap w:val="0"/>
            <w:tcMar>
              <w:top w:w="57" w:type="dxa"/>
              <w:bottom w:w="57" w:type="dxa"/>
            </w:tcMar>
            <w:vAlign w:val="center"/>
          </w:tcPr>
          <w:p w14:paraId="30ECBD22">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eastAsia" w:cs="Times New Roman"/>
                <w:color w:val="000000" w:themeColor="text1"/>
                <w:sz w:val="21"/>
                <w:szCs w:val="21"/>
                <w:highlight w:val="none"/>
                <w:u w:val="none" w:color="auto"/>
                <w:lang w:val="en-US" w:eastAsia="zh-CN"/>
                <w14:textFill>
                  <w14:solidFill>
                    <w14:schemeClr w14:val="tx1"/>
                  </w14:solidFill>
                </w14:textFill>
              </w:rPr>
              <w:t>所在厂房封闭</w:t>
            </w:r>
          </w:p>
        </w:tc>
        <w:tc>
          <w:tcPr>
            <w:tcW w:w="1440" w:type="pct"/>
            <w:vMerge w:val="restart"/>
            <w:noWrap w:val="0"/>
            <w:tcMar>
              <w:top w:w="57" w:type="dxa"/>
              <w:bottom w:w="57" w:type="dxa"/>
            </w:tcMar>
            <w:vAlign w:val="center"/>
          </w:tcPr>
          <w:p w14:paraId="334AA3F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bCs/>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u w:val="none" w:color="auto"/>
                <w14:textFill>
                  <w14:solidFill>
                    <w14:schemeClr w14:val="tx1"/>
                  </w14:solidFill>
                </w14:textFill>
              </w:rPr>
              <w:t>《大气污染物综合排放标准》（GB16297-1996）表2无组织排放限值</w:t>
            </w:r>
          </w:p>
        </w:tc>
      </w:tr>
      <w:tr w14:paraId="28F534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01" w:type="pct"/>
            <w:vMerge w:val="continue"/>
            <w:noWrap w:val="0"/>
            <w:tcMar>
              <w:top w:w="57" w:type="dxa"/>
              <w:bottom w:w="57" w:type="dxa"/>
            </w:tcMar>
            <w:vAlign w:val="center"/>
          </w:tcPr>
          <w:p w14:paraId="5F814467">
            <w:pPr>
              <w:pStyle w:val="65"/>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jc w:val="center"/>
              <w:outlineLvl w:val="9"/>
              <w:rPr>
                <w:rFonts w:hint="default" w:ascii="Times New Roman" w:hAnsi="Times New Roman" w:eastAsia="宋体" w:cs="Times New Roman"/>
                <w:color w:val="7030A0"/>
                <w:sz w:val="21"/>
                <w:szCs w:val="21"/>
                <w:highlight w:val="none"/>
                <w:u w:val="none" w:color="auto"/>
              </w:rPr>
            </w:pPr>
          </w:p>
        </w:tc>
        <w:tc>
          <w:tcPr>
            <w:tcW w:w="232" w:type="pct"/>
            <w:vMerge w:val="continue"/>
            <w:noWrap w:val="0"/>
            <w:tcMar>
              <w:top w:w="57" w:type="dxa"/>
              <w:bottom w:w="57" w:type="dxa"/>
            </w:tcMar>
            <w:vAlign w:val="center"/>
          </w:tcPr>
          <w:p w14:paraId="72B1064A">
            <w:pPr>
              <w:pStyle w:val="65"/>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jc w:val="center"/>
              <w:outlineLvl w:val="9"/>
              <w:rPr>
                <w:rFonts w:hint="default" w:ascii="Times New Roman" w:hAnsi="Times New Roman" w:eastAsia="宋体" w:cs="Times New Roman"/>
                <w:color w:val="7030A0"/>
                <w:sz w:val="21"/>
                <w:szCs w:val="21"/>
                <w:highlight w:val="none"/>
                <w:u w:val="none" w:color="auto"/>
              </w:rPr>
            </w:pPr>
          </w:p>
        </w:tc>
        <w:tc>
          <w:tcPr>
            <w:tcW w:w="351" w:type="pct"/>
            <w:vMerge w:val="continue"/>
            <w:noWrap w:val="0"/>
            <w:tcMar>
              <w:top w:w="57" w:type="dxa"/>
              <w:bottom w:w="57" w:type="dxa"/>
            </w:tcMar>
            <w:vAlign w:val="center"/>
          </w:tcPr>
          <w:p w14:paraId="1C1541FA">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7030A0"/>
                <w:sz w:val="21"/>
                <w:szCs w:val="21"/>
                <w:highlight w:val="none"/>
                <w:u w:val="none" w:color="auto"/>
                <w:lang w:val="en-US" w:eastAsia="zh-CN"/>
              </w:rPr>
            </w:pPr>
          </w:p>
        </w:tc>
        <w:tc>
          <w:tcPr>
            <w:tcW w:w="637" w:type="pct"/>
            <w:shd w:val="clear" w:color="auto" w:fill="auto"/>
            <w:noWrap w:val="0"/>
            <w:tcMar>
              <w:top w:w="57" w:type="dxa"/>
              <w:bottom w:w="57" w:type="dxa"/>
            </w:tcMar>
            <w:vAlign w:val="center"/>
          </w:tcPr>
          <w:p w14:paraId="5F4F39B7">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auto"/>
                <w:kern w:val="2"/>
                <w:sz w:val="21"/>
                <w:szCs w:val="21"/>
                <w:highlight w:val="none"/>
                <w:u w:val="none" w:color="auto"/>
                <w:lang w:val="en-US" w:eastAsia="zh-CN" w:bidi="ar-SA"/>
              </w:rPr>
            </w:pPr>
            <w:r>
              <w:rPr>
                <w:rFonts w:hint="eastAsia" w:cs="Times New Roman"/>
                <w:color w:val="000000" w:themeColor="text1"/>
                <w:sz w:val="21"/>
                <w:szCs w:val="21"/>
                <w:highlight w:val="none"/>
                <w:u w:val="none" w:color="auto"/>
                <w:lang w:val="en-US" w:eastAsia="zh-CN"/>
                <w14:textFill>
                  <w14:solidFill>
                    <w14:schemeClr w14:val="tx1"/>
                  </w14:solidFill>
                </w14:textFill>
              </w:rPr>
              <w:t>破碎、筛分、</w:t>
            </w:r>
            <w:r>
              <w:rPr>
                <w:rFonts w:hint="eastAsia" w:ascii="宋体" w:hAnsi="宋体" w:cs="宋体"/>
                <w:b w:val="0"/>
                <w:bCs/>
                <w:color w:val="000000" w:themeColor="text1"/>
                <w:sz w:val="21"/>
                <w:szCs w:val="21"/>
                <w:highlight w:val="none"/>
                <w:u w:val="none" w:color="auto"/>
                <w:lang w:val="en-US" w:eastAsia="zh-CN"/>
                <w14:textFill>
                  <w14:solidFill>
                    <w14:schemeClr w14:val="tx1"/>
                  </w14:solidFill>
                </w14:textFill>
              </w:rPr>
              <w:t>冷却、</w:t>
            </w:r>
            <w:r>
              <w:rPr>
                <w:rFonts w:hint="eastAsia"/>
                <w:b w:val="0"/>
                <w:bCs/>
                <w:color w:val="000000" w:themeColor="text1"/>
                <w:sz w:val="21"/>
                <w:szCs w:val="21"/>
                <w:highlight w:val="none"/>
                <w:u w:val="none" w:color="auto"/>
                <w:lang w:val="en-US" w:eastAsia="zh-CN"/>
                <w14:textFill>
                  <w14:solidFill>
                    <w14:schemeClr w14:val="tx1"/>
                  </w14:solidFill>
                </w14:textFill>
              </w:rPr>
              <w:t>锯切、包装</w:t>
            </w:r>
            <w:r>
              <w:rPr>
                <w:rFonts w:hint="eastAsia" w:cs="Times New Roman"/>
                <w:color w:val="000000" w:themeColor="text1"/>
                <w:sz w:val="21"/>
                <w:szCs w:val="21"/>
                <w:highlight w:val="none"/>
                <w:u w:val="none" w:color="auto"/>
                <w:lang w:val="en-US" w:eastAsia="zh-CN"/>
                <w14:textFill>
                  <w14:solidFill>
                    <w14:schemeClr w14:val="tx1"/>
                  </w14:solidFill>
                </w14:textFill>
              </w:rPr>
              <w:t>工序集气罩未收集</w:t>
            </w:r>
          </w:p>
        </w:tc>
        <w:tc>
          <w:tcPr>
            <w:tcW w:w="588" w:type="pct"/>
            <w:noWrap w:val="0"/>
            <w:tcMar>
              <w:top w:w="57" w:type="dxa"/>
              <w:bottom w:w="57" w:type="dxa"/>
            </w:tcMar>
            <w:vAlign w:val="center"/>
          </w:tcPr>
          <w:p w14:paraId="2BBC8C80">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颗粒物</w:t>
            </w:r>
          </w:p>
        </w:tc>
        <w:tc>
          <w:tcPr>
            <w:tcW w:w="1348" w:type="pct"/>
            <w:vMerge w:val="continue"/>
            <w:noWrap w:val="0"/>
            <w:tcMar>
              <w:top w:w="57" w:type="dxa"/>
              <w:bottom w:w="57" w:type="dxa"/>
            </w:tcMar>
            <w:vAlign w:val="center"/>
          </w:tcPr>
          <w:p w14:paraId="1658ADE2">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7030A0"/>
                <w:sz w:val="21"/>
                <w:szCs w:val="21"/>
                <w:highlight w:val="none"/>
                <w:u w:val="none" w:color="auto"/>
                <w:lang w:val="en-US" w:eastAsia="zh-CN"/>
              </w:rPr>
            </w:pPr>
          </w:p>
        </w:tc>
        <w:tc>
          <w:tcPr>
            <w:tcW w:w="1440" w:type="pct"/>
            <w:vMerge w:val="continue"/>
            <w:noWrap w:val="0"/>
            <w:tcMar>
              <w:top w:w="57" w:type="dxa"/>
              <w:bottom w:w="57" w:type="dxa"/>
            </w:tcMar>
            <w:vAlign w:val="center"/>
          </w:tcPr>
          <w:p w14:paraId="68B9FEF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bCs/>
                <w:color w:val="7030A0"/>
                <w:sz w:val="21"/>
                <w:szCs w:val="21"/>
                <w:highlight w:val="none"/>
                <w:u w:val="none" w:color="auto"/>
              </w:rPr>
            </w:pPr>
          </w:p>
        </w:tc>
      </w:tr>
      <w:tr w14:paraId="2D0878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01" w:type="pct"/>
            <w:vMerge w:val="continue"/>
            <w:noWrap w:val="0"/>
            <w:tcMar>
              <w:top w:w="57" w:type="dxa"/>
              <w:bottom w:w="57" w:type="dxa"/>
            </w:tcMar>
            <w:vAlign w:val="center"/>
          </w:tcPr>
          <w:p w14:paraId="30373F66">
            <w:pPr>
              <w:pStyle w:val="65"/>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jc w:val="center"/>
              <w:outlineLvl w:val="9"/>
              <w:rPr>
                <w:rFonts w:hint="default" w:ascii="Times New Roman" w:hAnsi="Times New Roman" w:eastAsia="宋体" w:cs="Times New Roman"/>
                <w:color w:val="7030A0"/>
                <w:sz w:val="21"/>
                <w:szCs w:val="21"/>
                <w:highlight w:val="none"/>
                <w:u w:val="none" w:color="auto"/>
              </w:rPr>
            </w:pPr>
          </w:p>
        </w:tc>
        <w:tc>
          <w:tcPr>
            <w:tcW w:w="232" w:type="pct"/>
            <w:vMerge w:val="continue"/>
            <w:noWrap w:val="0"/>
            <w:tcMar>
              <w:top w:w="57" w:type="dxa"/>
              <w:bottom w:w="57" w:type="dxa"/>
            </w:tcMar>
            <w:vAlign w:val="center"/>
          </w:tcPr>
          <w:p w14:paraId="15B0EA55">
            <w:pPr>
              <w:pStyle w:val="65"/>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jc w:val="center"/>
              <w:outlineLvl w:val="9"/>
              <w:rPr>
                <w:rFonts w:hint="default" w:ascii="Times New Roman" w:hAnsi="Times New Roman" w:eastAsia="宋体" w:cs="Times New Roman"/>
                <w:color w:val="7030A0"/>
                <w:sz w:val="21"/>
                <w:szCs w:val="21"/>
                <w:highlight w:val="none"/>
                <w:u w:val="none" w:color="auto"/>
              </w:rPr>
            </w:pPr>
          </w:p>
        </w:tc>
        <w:tc>
          <w:tcPr>
            <w:tcW w:w="351" w:type="pct"/>
            <w:vMerge w:val="continue"/>
            <w:noWrap w:val="0"/>
            <w:tcMar>
              <w:top w:w="57" w:type="dxa"/>
              <w:bottom w:w="57" w:type="dxa"/>
            </w:tcMar>
            <w:vAlign w:val="center"/>
          </w:tcPr>
          <w:p w14:paraId="22D842EB">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7030A0"/>
                <w:sz w:val="21"/>
                <w:szCs w:val="21"/>
                <w:highlight w:val="none"/>
                <w:u w:val="none" w:color="auto"/>
                <w:lang w:val="en-US" w:eastAsia="zh-CN"/>
              </w:rPr>
            </w:pPr>
          </w:p>
        </w:tc>
        <w:tc>
          <w:tcPr>
            <w:tcW w:w="637" w:type="pct"/>
            <w:shd w:val="clear" w:color="auto" w:fill="auto"/>
            <w:noWrap w:val="0"/>
            <w:tcMar>
              <w:top w:w="57" w:type="dxa"/>
              <w:bottom w:w="57" w:type="dxa"/>
            </w:tcMar>
            <w:vAlign w:val="center"/>
          </w:tcPr>
          <w:p w14:paraId="1E443952">
            <w:pPr>
              <w:keepNext w:val="0"/>
              <w:keepLines w:val="0"/>
              <w:suppressLineNumbers w:val="0"/>
              <w:spacing w:before="0" w:beforeAutospacing="0" w:after="0" w:afterAutospacing="0" w:line="240" w:lineRule="atLeast"/>
              <w:ind w:left="0" w:leftChars="0" w:right="0" w:rightChars="0"/>
              <w:jc w:val="center"/>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eastAsia"/>
                <w:color w:val="000000" w:themeColor="text1"/>
                <w:sz w:val="21"/>
                <w:szCs w:val="21"/>
                <w:u w:val="none" w:color="auto"/>
                <w14:textFill>
                  <w14:solidFill>
                    <w14:schemeClr w14:val="tx1"/>
                  </w14:solidFill>
                </w14:textFill>
              </w:rPr>
              <w:t>制棒废气</w:t>
            </w:r>
            <w:r>
              <w:rPr>
                <w:rFonts w:hint="eastAsia" w:cs="Times New Roman"/>
                <w:color w:val="000000" w:themeColor="text1"/>
                <w:sz w:val="21"/>
                <w:szCs w:val="21"/>
                <w:highlight w:val="none"/>
                <w:u w:val="none" w:color="auto"/>
                <w:lang w:val="en-US" w:eastAsia="zh-CN"/>
                <w14:textFill>
                  <w14:solidFill>
                    <w14:schemeClr w14:val="tx1"/>
                  </w14:solidFill>
                </w14:textFill>
              </w:rPr>
              <w:t>集气罩未收集</w:t>
            </w:r>
          </w:p>
        </w:tc>
        <w:tc>
          <w:tcPr>
            <w:tcW w:w="588" w:type="pct"/>
            <w:noWrap w:val="0"/>
            <w:tcMar>
              <w:top w:w="57" w:type="dxa"/>
              <w:bottom w:w="57" w:type="dxa"/>
            </w:tcMar>
            <w:vAlign w:val="center"/>
          </w:tcPr>
          <w:p w14:paraId="26AF566A">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颗粒物</w:t>
            </w:r>
          </w:p>
        </w:tc>
        <w:tc>
          <w:tcPr>
            <w:tcW w:w="1348" w:type="pct"/>
            <w:vMerge w:val="continue"/>
            <w:noWrap w:val="0"/>
            <w:tcMar>
              <w:top w:w="57" w:type="dxa"/>
              <w:bottom w:w="57" w:type="dxa"/>
            </w:tcMar>
            <w:vAlign w:val="center"/>
          </w:tcPr>
          <w:p w14:paraId="1D135645">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7030A0"/>
                <w:sz w:val="21"/>
                <w:szCs w:val="21"/>
                <w:highlight w:val="none"/>
                <w:u w:val="none" w:color="auto"/>
                <w:lang w:val="en-US" w:eastAsia="zh-CN"/>
              </w:rPr>
            </w:pPr>
          </w:p>
        </w:tc>
        <w:tc>
          <w:tcPr>
            <w:tcW w:w="1440" w:type="pct"/>
            <w:vMerge w:val="continue"/>
            <w:noWrap w:val="0"/>
            <w:tcMar>
              <w:top w:w="57" w:type="dxa"/>
              <w:bottom w:w="57" w:type="dxa"/>
            </w:tcMar>
            <w:vAlign w:val="center"/>
          </w:tcPr>
          <w:p w14:paraId="494C24C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bCs/>
                <w:color w:val="7030A0"/>
                <w:sz w:val="21"/>
                <w:szCs w:val="21"/>
                <w:highlight w:val="none"/>
                <w:u w:val="none" w:color="auto"/>
              </w:rPr>
            </w:pPr>
          </w:p>
        </w:tc>
      </w:tr>
      <w:tr w14:paraId="271510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01" w:type="pct"/>
            <w:noWrap w:val="0"/>
            <w:tcMar>
              <w:top w:w="57" w:type="dxa"/>
              <w:bottom w:w="57" w:type="dxa"/>
            </w:tcMar>
            <w:vAlign w:val="center"/>
          </w:tcPr>
          <w:p w14:paraId="50409521">
            <w:pPr>
              <w:pStyle w:val="65"/>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jc w:val="center"/>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声环境</w:t>
            </w:r>
          </w:p>
        </w:tc>
        <w:tc>
          <w:tcPr>
            <w:tcW w:w="1221" w:type="pct"/>
            <w:gridSpan w:val="3"/>
            <w:noWrap w:val="0"/>
            <w:tcMar>
              <w:top w:w="57" w:type="dxa"/>
              <w:bottom w:w="57" w:type="dxa"/>
            </w:tcMar>
            <w:vAlign w:val="center"/>
          </w:tcPr>
          <w:p w14:paraId="08670894">
            <w:pPr>
              <w:keepNext w:val="0"/>
              <w:keepLines w:val="0"/>
              <w:pageBreakBefore w:val="0"/>
              <w:suppressLineNumbers w:val="0"/>
              <w:kinsoku/>
              <w:wordWrap/>
              <w:overflowPunct/>
              <w:topLinePunct w:val="0"/>
              <w:bidi w:val="0"/>
              <w:snapToGrid w:val="0"/>
              <w:spacing w:before="0" w:beforeAutospacing="0" w:after="0" w:afterAutospacing="0"/>
              <w:ind w:left="0" w:right="0"/>
              <w:jc w:val="center"/>
              <w:outlineLvl w:val="9"/>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设备运行过程产生的噪声</w:t>
            </w:r>
          </w:p>
        </w:tc>
        <w:tc>
          <w:tcPr>
            <w:tcW w:w="588" w:type="pct"/>
            <w:noWrap w:val="0"/>
            <w:tcMar>
              <w:top w:w="57" w:type="dxa"/>
              <w:bottom w:w="57" w:type="dxa"/>
            </w:tcMar>
            <w:vAlign w:val="center"/>
          </w:tcPr>
          <w:p w14:paraId="60F29F76">
            <w:pPr>
              <w:keepNext w:val="0"/>
              <w:keepLines w:val="0"/>
              <w:pageBreakBefore w:val="0"/>
              <w:suppressLineNumbers w:val="0"/>
              <w:kinsoku/>
              <w:wordWrap/>
              <w:overflowPunct/>
              <w:topLinePunct w:val="0"/>
              <w:bidi w:val="0"/>
              <w:snapToGrid w:val="0"/>
              <w:spacing w:before="0" w:beforeAutospacing="0" w:after="0" w:afterAutospacing="0"/>
              <w:ind w:left="0" w:right="0"/>
              <w:jc w:val="center"/>
              <w:outlineLvl w:val="9"/>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机械噪声</w:t>
            </w:r>
          </w:p>
        </w:tc>
        <w:tc>
          <w:tcPr>
            <w:tcW w:w="1348" w:type="pct"/>
            <w:noWrap w:val="0"/>
            <w:tcMar>
              <w:top w:w="57" w:type="dxa"/>
              <w:bottom w:w="57" w:type="dxa"/>
            </w:tcMar>
            <w:vAlign w:val="center"/>
          </w:tcPr>
          <w:p w14:paraId="2315F830">
            <w:pPr>
              <w:keepNext w:val="0"/>
              <w:keepLines w:val="0"/>
              <w:pageBreakBefore w:val="0"/>
              <w:suppressLineNumbers w:val="0"/>
              <w:kinsoku/>
              <w:wordWrap/>
              <w:overflowPunct/>
              <w:topLinePunct w:val="0"/>
              <w:bidi w:val="0"/>
              <w:snapToGrid w:val="0"/>
              <w:spacing w:before="0" w:beforeAutospacing="0" w:after="0" w:afterAutospacing="0"/>
              <w:ind w:left="0" w:right="0"/>
              <w:jc w:val="center"/>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产噪设备合理布局；安装减振、隔声降噪</w:t>
            </w:r>
            <w:r>
              <w:rPr>
                <w:rFonts w:hint="default" w:ascii="Times New Roman" w:hAnsi="Times New Roman" w:eastAsia="宋体" w:cs="Times New Roman"/>
                <w:color w:val="000000" w:themeColor="text1"/>
                <w:sz w:val="21"/>
                <w:szCs w:val="21"/>
                <w:highlight w:val="none"/>
                <w:u w:val="none" w:color="auto"/>
                <w:lang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废气治理设施风机设置隔声间</w:t>
            </w: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措施；加强对设备进行维修，保证设备正常工作</w:t>
            </w:r>
          </w:p>
        </w:tc>
        <w:tc>
          <w:tcPr>
            <w:tcW w:w="1440" w:type="pct"/>
            <w:noWrap w:val="0"/>
            <w:tcMar>
              <w:top w:w="57" w:type="dxa"/>
              <w:bottom w:w="57" w:type="dxa"/>
            </w:tcMar>
            <w:vAlign w:val="center"/>
          </w:tcPr>
          <w:p w14:paraId="3814E839">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jc w:val="center"/>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《工业企业厂界环境噪声排放标准》（GB12348-2008）2类标准</w:t>
            </w:r>
          </w:p>
        </w:tc>
      </w:tr>
      <w:tr w14:paraId="6E9377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01" w:type="pct"/>
            <w:noWrap w:val="0"/>
            <w:tcMar>
              <w:top w:w="57" w:type="dxa"/>
              <w:bottom w:w="57" w:type="dxa"/>
            </w:tcMar>
            <w:vAlign w:val="center"/>
          </w:tcPr>
          <w:p w14:paraId="27B6AF42">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jc w:val="center"/>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电磁辐射</w:t>
            </w:r>
          </w:p>
        </w:tc>
        <w:tc>
          <w:tcPr>
            <w:tcW w:w="1221" w:type="pct"/>
            <w:gridSpan w:val="3"/>
            <w:noWrap w:val="0"/>
            <w:tcMar>
              <w:top w:w="57" w:type="dxa"/>
              <w:bottom w:w="57" w:type="dxa"/>
            </w:tcMar>
            <w:vAlign w:val="center"/>
          </w:tcPr>
          <w:p w14:paraId="40383199">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jc w:val="center"/>
              <w:outlineLvl w:val="9"/>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w:t>
            </w:r>
          </w:p>
        </w:tc>
        <w:tc>
          <w:tcPr>
            <w:tcW w:w="588" w:type="pct"/>
            <w:noWrap w:val="0"/>
            <w:tcMar>
              <w:top w:w="57" w:type="dxa"/>
              <w:bottom w:w="57" w:type="dxa"/>
            </w:tcMar>
            <w:vAlign w:val="center"/>
          </w:tcPr>
          <w:p w14:paraId="62361B6E">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jc w:val="center"/>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w:t>
            </w:r>
          </w:p>
        </w:tc>
        <w:tc>
          <w:tcPr>
            <w:tcW w:w="1348" w:type="pct"/>
            <w:noWrap w:val="0"/>
            <w:tcMar>
              <w:top w:w="57" w:type="dxa"/>
              <w:bottom w:w="57" w:type="dxa"/>
            </w:tcMar>
            <w:vAlign w:val="center"/>
          </w:tcPr>
          <w:p w14:paraId="5865243E">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jc w:val="center"/>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w:t>
            </w:r>
          </w:p>
        </w:tc>
        <w:tc>
          <w:tcPr>
            <w:tcW w:w="1440" w:type="pct"/>
            <w:noWrap w:val="0"/>
            <w:tcMar>
              <w:top w:w="57" w:type="dxa"/>
              <w:bottom w:w="57" w:type="dxa"/>
            </w:tcMar>
            <w:vAlign w:val="center"/>
          </w:tcPr>
          <w:p w14:paraId="5F919C6E">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jc w:val="center"/>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w:t>
            </w:r>
          </w:p>
        </w:tc>
      </w:tr>
      <w:tr w14:paraId="257D60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01" w:type="pct"/>
            <w:vMerge w:val="restart"/>
            <w:noWrap w:val="0"/>
            <w:tcMar>
              <w:top w:w="57" w:type="dxa"/>
              <w:bottom w:w="57" w:type="dxa"/>
            </w:tcMar>
            <w:vAlign w:val="center"/>
          </w:tcPr>
          <w:p w14:paraId="0015F384">
            <w:pPr>
              <w:keepNext w:val="0"/>
              <w:keepLines w:val="0"/>
              <w:pageBreakBefore w:val="0"/>
              <w:suppressLineNumbers w:val="0"/>
              <w:kinsoku/>
              <w:wordWrap/>
              <w:overflowPunct/>
              <w:topLinePunct w:val="0"/>
              <w:bidi w:val="0"/>
              <w:snapToGrid w:val="0"/>
              <w:spacing w:before="0" w:beforeAutospacing="0" w:after="0" w:afterAutospacing="0" w:line="240" w:lineRule="auto"/>
              <w:ind w:left="0" w:right="0"/>
              <w:jc w:val="center"/>
              <w:outlineLvl w:val="9"/>
              <w:rPr>
                <w:rFonts w:hint="default" w:ascii="Times New Roman" w:hAnsi="Times New Roman" w:eastAsia="宋体" w:cs="Times New Roman"/>
                <w:color w:val="7030A0"/>
                <w:sz w:val="21"/>
                <w:szCs w:val="21"/>
                <w:highlight w:val="none"/>
                <w:u w:val="none" w:color="auto"/>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固体废物</w:t>
            </w:r>
          </w:p>
        </w:tc>
        <w:tc>
          <w:tcPr>
            <w:tcW w:w="1221" w:type="pct"/>
            <w:gridSpan w:val="3"/>
            <w:noWrap w:val="0"/>
            <w:tcMar>
              <w:top w:w="57" w:type="dxa"/>
              <w:bottom w:w="57" w:type="dxa"/>
            </w:tcMar>
            <w:vAlign w:val="center"/>
          </w:tcPr>
          <w:p w14:paraId="35583DE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bCs/>
                <w:color w:val="000000" w:themeColor="text1"/>
                <w:kern w:val="0"/>
                <w:sz w:val="21"/>
                <w:szCs w:val="21"/>
                <w:highlight w:val="none"/>
                <w:u w:val="none" w:color="auto"/>
                <w:lang w:val="en-US" w:eastAsia="zh-CN"/>
                <w14:textFill>
                  <w14:solidFill>
                    <w14:schemeClr w14:val="tx1"/>
                  </w14:solidFill>
                </w14:textFill>
              </w:rPr>
              <w:t>职工生活</w:t>
            </w:r>
          </w:p>
        </w:tc>
        <w:tc>
          <w:tcPr>
            <w:tcW w:w="588" w:type="pct"/>
            <w:noWrap w:val="0"/>
            <w:tcMar>
              <w:top w:w="57" w:type="dxa"/>
              <w:bottom w:w="57" w:type="dxa"/>
            </w:tcMar>
            <w:vAlign w:val="center"/>
          </w:tcPr>
          <w:p w14:paraId="04F4C8A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职工生活垃圾</w:t>
            </w:r>
          </w:p>
        </w:tc>
        <w:tc>
          <w:tcPr>
            <w:tcW w:w="1348" w:type="pct"/>
            <w:noWrap w:val="0"/>
            <w:tcMar>
              <w:top w:w="57" w:type="dxa"/>
              <w:bottom w:w="57" w:type="dxa"/>
            </w:tcMar>
            <w:vAlign w:val="center"/>
          </w:tcPr>
          <w:p w14:paraId="0330666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bCs/>
                <w:color w:val="000000" w:themeColor="text1"/>
                <w:kern w:val="0"/>
                <w:sz w:val="21"/>
                <w:szCs w:val="21"/>
                <w:highlight w:val="none"/>
                <w:u w:val="none" w:color="auto"/>
                <w14:textFill>
                  <w14:solidFill>
                    <w14:schemeClr w14:val="tx1"/>
                  </w14:solidFill>
                </w14:textFill>
              </w:rPr>
              <w:t>分类收集后交由环卫部门运至附近垃圾中转站处理</w:t>
            </w:r>
          </w:p>
        </w:tc>
        <w:tc>
          <w:tcPr>
            <w:tcW w:w="1440" w:type="pct"/>
            <w:vMerge w:val="restart"/>
            <w:noWrap w:val="0"/>
            <w:tcMar>
              <w:top w:w="57" w:type="dxa"/>
              <w:bottom w:w="57" w:type="dxa"/>
            </w:tcMar>
            <w:vAlign w:val="center"/>
          </w:tcPr>
          <w:p w14:paraId="4217733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bCs/>
                <w:color w:val="7030A0"/>
                <w:kern w:val="0"/>
                <w:sz w:val="21"/>
                <w:szCs w:val="21"/>
                <w:highlight w:val="none"/>
                <w:u w:val="none" w:color="auto"/>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w:t>
            </w: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fldChar w:fldCharType="begin"/>
            </w: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instrText xml:space="preserve"> HYPERLINK "http://www.es.org.cn/download/15-1.pdf" \h </w:instrText>
            </w: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fldChar w:fldCharType="separate"/>
            </w:r>
            <w:r>
              <w:rPr>
                <w:rStyle w:val="32"/>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一般工业固体废物贮存和填埋污染控制标准</w:t>
            </w:r>
            <w:r>
              <w:rPr>
                <w:rStyle w:val="32"/>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fldChar w:fldCharType="end"/>
            </w: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》（GB18599-2020）</w:t>
            </w:r>
          </w:p>
        </w:tc>
      </w:tr>
      <w:tr w14:paraId="329F9E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01" w:type="pct"/>
            <w:vMerge w:val="continue"/>
            <w:noWrap w:val="0"/>
            <w:tcMar>
              <w:top w:w="57" w:type="dxa"/>
              <w:bottom w:w="57" w:type="dxa"/>
            </w:tcMar>
            <w:vAlign w:val="center"/>
          </w:tcPr>
          <w:p w14:paraId="5F513059">
            <w:pPr>
              <w:keepNext w:val="0"/>
              <w:keepLines w:val="0"/>
              <w:pageBreakBefore w:val="0"/>
              <w:suppressLineNumbers w:val="0"/>
              <w:kinsoku/>
              <w:wordWrap/>
              <w:overflowPunct/>
              <w:topLinePunct w:val="0"/>
              <w:bidi w:val="0"/>
              <w:snapToGrid w:val="0"/>
              <w:spacing w:before="0" w:beforeAutospacing="0" w:after="0" w:afterAutospacing="0" w:line="240" w:lineRule="auto"/>
              <w:ind w:left="0" w:right="0"/>
              <w:jc w:val="center"/>
              <w:outlineLvl w:val="9"/>
              <w:rPr>
                <w:rFonts w:hint="default" w:ascii="Times New Roman" w:hAnsi="Times New Roman" w:eastAsia="宋体" w:cs="Times New Roman"/>
                <w:color w:val="7030A0"/>
                <w:sz w:val="21"/>
                <w:szCs w:val="21"/>
                <w:highlight w:val="none"/>
                <w:u w:val="none" w:color="auto"/>
              </w:rPr>
            </w:pPr>
          </w:p>
        </w:tc>
        <w:tc>
          <w:tcPr>
            <w:tcW w:w="1221" w:type="pct"/>
            <w:gridSpan w:val="3"/>
            <w:noWrap w:val="0"/>
            <w:tcMar>
              <w:top w:w="57" w:type="dxa"/>
              <w:bottom w:w="57" w:type="dxa"/>
            </w:tcMar>
            <w:vAlign w:val="center"/>
          </w:tcPr>
          <w:p w14:paraId="73E5BF1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bCs/>
                <w:color w:val="000000" w:themeColor="text1"/>
                <w:kern w:val="0"/>
                <w:sz w:val="21"/>
                <w:szCs w:val="21"/>
                <w:highlight w:val="none"/>
                <w:u w:val="none" w:color="auto"/>
                <w:lang w:val="en-US" w:eastAsia="zh-CN"/>
                <w14:textFill>
                  <w14:solidFill>
                    <w14:schemeClr w14:val="tx1"/>
                  </w14:solidFill>
                </w14:textFill>
              </w:rPr>
              <w:t>化粪池</w:t>
            </w:r>
          </w:p>
        </w:tc>
        <w:tc>
          <w:tcPr>
            <w:tcW w:w="588" w:type="pct"/>
            <w:noWrap w:val="0"/>
            <w:tcMar>
              <w:top w:w="57" w:type="dxa"/>
              <w:bottom w:w="57" w:type="dxa"/>
            </w:tcMar>
            <w:vAlign w:val="center"/>
          </w:tcPr>
          <w:p w14:paraId="6B9E4C7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bCs/>
                <w:color w:val="000000" w:themeColor="text1"/>
                <w:kern w:val="0"/>
                <w:sz w:val="21"/>
                <w:szCs w:val="21"/>
                <w:highlight w:val="none"/>
                <w:u w:val="none" w:color="auto"/>
                <w:lang w:val="en-US" w:eastAsia="zh-CN"/>
                <w14:textFill>
                  <w14:solidFill>
                    <w14:schemeClr w14:val="tx1"/>
                  </w14:solidFill>
                </w14:textFill>
              </w:rPr>
              <w:t>污泥</w:t>
            </w:r>
          </w:p>
        </w:tc>
        <w:tc>
          <w:tcPr>
            <w:tcW w:w="1348" w:type="pct"/>
            <w:noWrap w:val="0"/>
            <w:tcMar>
              <w:top w:w="57" w:type="dxa"/>
              <w:bottom w:w="57" w:type="dxa"/>
            </w:tcMar>
            <w:vAlign w:val="center"/>
          </w:tcPr>
          <w:p w14:paraId="2BDEC69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bCs/>
                <w:color w:val="000000" w:themeColor="text1"/>
                <w:kern w:val="0"/>
                <w:sz w:val="21"/>
                <w:szCs w:val="21"/>
                <w:highlight w:val="none"/>
                <w:u w:val="none" w:color="auto"/>
                <w:lang w:val="en-US" w:eastAsia="zh-CN"/>
                <w14:textFill>
                  <w14:solidFill>
                    <w14:schemeClr w14:val="tx1"/>
                  </w14:solidFill>
                </w14:textFill>
              </w:rPr>
              <w:t>定期清掏交由环卫部门处理</w:t>
            </w:r>
          </w:p>
        </w:tc>
        <w:tc>
          <w:tcPr>
            <w:tcW w:w="1440" w:type="pct"/>
            <w:vMerge w:val="continue"/>
            <w:noWrap w:val="0"/>
            <w:tcMar>
              <w:top w:w="57" w:type="dxa"/>
              <w:bottom w:w="57" w:type="dxa"/>
            </w:tcMar>
            <w:vAlign w:val="center"/>
          </w:tcPr>
          <w:p w14:paraId="3539946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bCs/>
                <w:color w:val="7030A0"/>
                <w:kern w:val="0"/>
                <w:sz w:val="21"/>
                <w:szCs w:val="21"/>
                <w:highlight w:val="none"/>
                <w:u w:val="none" w:color="auto"/>
                <w:lang w:val="en-US" w:eastAsia="zh-CN"/>
              </w:rPr>
            </w:pPr>
          </w:p>
        </w:tc>
      </w:tr>
      <w:tr w14:paraId="6DCACF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01" w:type="pct"/>
            <w:vMerge w:val="continue"/>
            <w:noWrap w:val="0"/>
            <w:tcMar>
              <w:top w:w="57" w:type="dxa"/>
              <w:bottom w:w="57" w:type="dxa"/>
            </w:tcMar>
            <w:vAlign w:val="center"/>
          </w:tcPr>
          <w:p w14:paraId="3CC5C380">
            <w:pPr>
              <w:keepNext w:val="0"/>
              <w:keepLines w:val="0"/>
              <w:pageBreakBefore w:val="0"/>
              <w:suppressLineNumbers w:val="0"/>
              <w:kinsoku/>
              <w:wordWrap/>
              <w:overflowPunct/>
              <w:topLinePunct w:val="0"/>
              <w:bidi w:val="0"/>
              <w:snapToGrid w:val="0"/>
              <w:spacing w:before="0" w:beforeAutospacing="0" w:after="0" w:afterAutospacing="0" w:line="240" w:lineRule="auto"/>
              <w:ind w:left="0" w:right="0"/>
              <w:jc w:val="center"/>
              <w:outlineLvl w:val="9"/>
              <w:rPr>
                <w:rFonts w:hint="default" w:ascii="Times New Roman" w:hAnsi="Times New Roman" w:eastAsia="宋体" w:cs="Times New Roman"/>
                <w:color w:val="7030A0"/>
                <w:sz w:val="21"/>
                <w:szCs w:val="21"/>
                <w:highlight w:val="none"/>
                <w:u w:val="none" w:color="auto"/>
              </w:rPr>
            </w:pPr>
          </w:p>
        </w:tc>
        <w:tc>
          <w:tcPr>
            <w:tcW w:w="1221" w:type="pct"/>
            <w:gridSpan w:val="3"/>
            <w:noWrap w:val="0"/>
            <w:tcMar>
              <w:top w:w="57" w:type="dxa"/>
              <w:bottom w:w="57" w:type="dxa"/>
            </w:tcMar>
            <w:vAlign w:val="center"/>
          </w:tcPr>
          <w:p w14:paraId="77233D2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eastAsia" w:ascii="Times New Roman" w:hAnsi="Times New Roman" w:eastAsia="宋体" w:cs="Times New Roman"/>
                <w:bCs/>
                <w:color w:val="000000" w:themeColor="text1"/>
                <w:kern w:val="0"/>
                <w:sz w:val="21"/>
                <w:szCs w:val="21"/>
                <w:highlight w:val="none"/>
                <w:u w:val="none" w:color="auto"/>
                <w:lang w:val="en-US" w:eastAsia="zh-CN"/>
                <w14:textFill>
                  <w14:solidFill>
                    <w14:schemeClr w14:val="tx1"/>
                  </w14:solidFill>
                </w14:textFill>
              </w:rPr>
              <w:t>袋式</w:t>
            </w:r>
            <w:r>
              <w:rPr>
                <w:rFonts w:hint="default" w:ascii="Times New Roman" w:hAnsi="Times New Roman" w:eastAsia="宋体" w:cs="Times New Roman"/>
                <w:bCs/>
                <w:color w:val="000000" w:themeColor="text1"/>
                <w:kern w:val="0"/>
                <w:sz w:val="21"/>
                <w:szCs w:val="21"/>
                <w:highlight w:val="none"/>
                <w:u w:val="none" w:color="auto"/>
                <w:lang w:val="en-US" w:eastAsia="zh-CN"/>
                <w14:textFill>
                  <w14:solidFill>
                    <w14:schemeClr w14:val="tx1"/>
                  </w14:solidFill>
                </w14:textFill>
              </w:rPr>
              <w:t>除尘器收集的粉尘</w:t>
            </w:r>
          </w:p>
        </w:tc>
        <w:tc>
          <w:tcPr>
            <w:tcW w:w="588" w:type="pct"/>
            <w:noWrap w:val="0"/>
            <w:tcMar>
              <w:top w:w="57" w:type="dxa"/>
              <w:bottom w:w="57" w:type="dxa"/>
            </w:tcMar>
            <w:vAlign w:val="center"/>
          </w:tcPr>
          <w:p w14:paraId="683498D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bCs/>
                <w:color w:val="000000" w:themeColor="text1"/>
                <w:kern w:val="0"/>
                <w:sz w:val="21"/>
                <w:szCs w:val="21"/>
                <w:highlight w:val="none"/>
                <w:u w:val="none" w:color="auto"/>
                <w:lang w:val="en-US" w:eastAsia="zh-CN"/>
                <w14:textFill>
                  <w14:solidFill>
                    <w14:schemeClr w14:val="tx1"/>
                  </w14:solidFill>
                </w14:textFill>
              </w:rPr>
              <w:t>颗粒物</w:t>
            </w:r>
          </w:p>
        </w:tc>
        <w:tc>
          <w:tcPr>
            <w:tcW w:w="1348" w:type="pct"/>
            <w:noWrap w:val="0"/>
            <w:tcMar>
              <w:top w:w="57" w:type="dxa"/>
              <w:bottom w:w="57" w:type="dxa"/>
            </w:tcMar>
            <w:vAlign w:val="center"/>
          </w:tcPr>
          <w:p w14:paraId="50C2EEE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定期收集后</w:t>
            </w: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外售</w:t>
            </w:r>
            <w:r>
              <w:rPr>
                <w:rFonts w:hint="eastAsia" w:cs="Times New Roman"/>
                <w:color w:val="000000" w:themeColor="text1"/>
                <w:sz w:val="21"/>
                <w:szCs w:val="21"/>
                <w:highlight w:val="none"/>
                <w:u w:val="none" w:color="auto"/>
                <w:lang w:val="en-US" w:eastAsia="zh-CN"/>
                <w14:textFill>
                  <w14:solidFill>
                    <w14:schemeClr w14:val="tx1"/>
                  </w14:solidFill>
                </w14:textFill>
              </w:rPr>
              <w:t>做农肥</w:t>
            </w:r>
          </w:p>
        </w:tc>
        <w:tc>
          <w:tcPr>
            <w:tcW w:w="1440" w:type="pct"/>
            <w:vMerge w:val="continue"/>
            <w:noWrap w:val="0"/>
            <w:tcMar>
              <w:top w:w="57" w:type="dxa"/>
              <w:bottom w:w="57" w:type="dxa"/>
            </w:tcMar>
            <w:vAlign w:val="center"/>
          </w:tcPr>
          <w:p w14:paraId="731AC7B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7030A0"/>
                <w:sz w:val="21"/>
                <w:szCs w:val="21"/>
                <w:highlight w:val="none"/>
                <w:u w:val="none" w:color="auto"/>
              </w:rPr>
            </w:pPr>
          </w:p>
        </w:tc>
      </w:tr>
      <w:tr w14:paraId="13D3C5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01" w:type="pct"/>
            <w:vMerge w:val="continue"/>
            <w:noWrap w:val="0"/>
            <w:tcMar>
              <w:top w:w="57" w:type="dxa"/>
              <w:bottom w:w="57" w:type="dxa"/>
            </w:tcMar>
            <w:vAlign w:val="center"/>
          </w:tcPr>
          <w:p w14:paraId="3FE6022B">
            <w:pPr>
              <w:keepNext w:val="0"/>
              <w:keepLines w:val="0"/>
              <w:pageBreakBefore w:val="0"/>
              <w:suppressLineNumbers w:val="0"/>
              <w:kinsoku/>
              <w:wordWrap/>
              <w:overflowPunct/>
              <w:topLinePunct w:val="0"/>
              <w:bidi w:val="0"/>
              <w:snapToGrid w:val="0"/>
              <w:spacing w:before="0" w:beforeAutospacing="0" w:after="0" w:afterAutospacing="0" w:line="240" w:lineRule="auto"/>
              <w:ind w:left="0" w:right="0"/>
              <w:jc w:val="center"/>
              <w:outlineLvl w:val="9"/>
              <w:rPr>
                <w:rFonts w:hint="default" w:ascii="Times New Roman" w:hAnsi="Times New Roman" w:eastAsia="宋体" w:cs="Times New Roman"/>
                <w:color w:val="7030A0"/>
                <w:sz w:val="21"/>
                <w:szCs w:val="21"/>
                <w:highlight w:val="none"/>
                <w:u w:val="none" w:color="auto"/>
              </w:rPr>
            </w:pPr>
          </w:p>
        </w:tc>
        <w:tc>
          <w:tcPr>
            <w:tcW w:w="1221" w:type="pct"/>
            <w:gridSpan w:val="3"/>
            <w:shd w:val="clear" w:color="auto" w:fill="auto"/>
            <w:noWrap w:val="0"/>
            <w:tcMar>
              <w:top w:w="57" w:type="dxa"/>
              <w:bottom w:w="57" w:type="dxa"/>
            </w:tcMar>
            <w:vAlign w:val="center"/>
          </w:tcPr>
          <w:p w14:paraId="12C1D57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default" w:ascii="Times New Roman" w:hAnsi="Times New Roman" w:cs="Times New Roman"/>
                <w:bCs/>
                <w:color w:val="000000" w:themeColor="text1"/>
                <w:kern w:val="0"/>
                <w:sz w:val="21"/>
                <w:szCs w:val="21"/>
                <w:highlight w:val="none"/>
                <w:u w:val="none" w:color="auto"/>
                <w:lang w:val="en-US" w:eastAsia="zh-CN"/>
                <w14:textFill>
                  <w14:solidFill>
                    <w14:schemeClr w14:val="tx1"/>
                  </w14:solidFill>
                </w14:textFill>
              </w:rPr>
              <w:t>生物质燃料</w:t>
            </w:r>
            <w:r>
              <w:rPr>
                <w:rFonts w:hint="default" w:ascii="Times New Roman" w:hAnsi="Times New Roman" w:eastAsia="宋体" w:cs="Times New Roman"/>
                <w:b w:val="0"/>
                <w:bCs w:val="0"/>
                <w:color w:val="auto"/>
                <w:kern w:val="0"/>
                <w:sz w:val="21"/>
                <w:szCs w:val="21"/>
                <w:highlight w:val="none"/>
                <w:u w:val="none" w:color="auto"/>
                <w:lang w:val="en-US" w:eastAsia="zh-CN" w:bidi="ar"/>
              </w:rPr>
              <w:t>点炉</w:t>
            </w:r>
            <w:r>
              <w:rPr>
                <w:rFonts w:hint="default" w:ascii="Times New Roman" w:hAnsi="Times New Roman" w:cs="Times New Roman"/>
                <w:b w:val="0"/>
                <w:bCs w:val="0"/>
                <w:color w:val="auto"/>
                <w:kern w:val="0"/>
                <w:sz w:val="21"/>
                <w:szCs w:val="21"/>
                <w:highlight w:val="none"/>
                <w:u w:val="none" w:color="auto"/>
                <w:lang w:val="en-US" w:eastAsia="zh-CN" w:bidi="ar"/>
              </w:rPr>
              <w:t>等</w:t>
            </w:r>
            <w:r>
              <w:rPr>
                <w:rFonts w:hint="eastAsia" w:ascii="Times New Roman" w:hAnsi="Times New Roman" w:cs="Times New Roman"/>
                <w:b w:val="0"/>
                <w:bCs w:val="0"/>
                <w:color w:val="auto"/>
                <w:kern w:val="0"/>
                <w:sz w:val="21"/>
                <w:szCs w:val="21"/>
                <w:highlight w:val="none"/>
                <w:u w:val="none" w:color="auto"/>
                <w:lang w:val="en-US" w:eastAsia="zh-CN" w:bidi="ar"/>
              </w:rPr>
              <w:t>过程</w:t>
            </w:r>
          </w:p>
        </w:tc>
        <w:tc>
          <w:tcPr>
            <w:tcW w:w="588" w:type="pct"/>
            <w:shd w:val="clear" w:color="auto" w:fill="auto"/>
            <w:noWrap w:val="0"/>
            <w:tcMar>
              <w:top w:w="57" w:type="dxa"/>
              <w:bottom w:w="57" w:type="dxa"/>
            </w:tcMar>
            <w:vAlign w:val="center"/>
          </w:tcPr>
          <w:p w14:paraId="585B76C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eastAsia" w:cs="Times New Roman"/>
                <w:color w:val="000000" w:themeColor="text1"/>
                <w:sz w:val="21"/>
                <w:szCs w:val="21"/>
                <w:highlight w:val="none"/>
                <w:u w:val="none" w:color="auto"/>
                <w:lang w:val="en-US" w:eastAsia="zh-CN"/>
                <w14:textFill>
                  <w14:solidFill>
                    <w14:schemeClr w14:val="tx1"/>
                  </w14:solidFill>
                </w14:textFill>
              </w:rPr>
              <w:t>灰渣</w:t>
            </w:r>
          </w:p>
        </w:tc>
        <w:tc>
          <w:tcPr>
            <w:tcW w:w="1348" w:type="pct"/>
            <w:noWrap w:val="0"/>
            <w:tcMar>
              <w:top w:w="57" w:type="dxa"/>
              <w:bottom w:w="57" w:type="dxa"/>
            </w:tcMar>
            <w:vAlign w:val="center"/>
          </w:tcPr>
          <w:p w14:paraId="72DF085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eastAsia" w:cs="Times New Roman"/>
                <w:color w:val="000000" w:themeColor="text1"/>
                <w:sz w:val="21"/>
                <w:szCs w:val="21"/>
                <w:highlight w:val="none"/>
                <w:u w:val="none" w:color="auto"/>
                <w:lang w:val="en-US" w:eastAsia="zh-CN"/>
                <w14:textFill>
                  <w14:solidFill>
                    <w14:schemeClr w14:val="tx1"/>
                  </w14:solidFill>
                </w14:textFill>
              </w:rPr>
            </w:pPr>
            <w:r>
              <w:rPr>
                <w:rFonts w:hint="eastAsia" w:cs="Times New Roman"/>
                <w:color w:val="000000" w:themeColor="text1"/>
                <w:sz w:val="21"/>
                <w:szCs w:val="21"/>
                <w:highlight w:val="none"/>
                <w:u w:val="none" w:color="auto"/>
                <w:lang w:val="en-US" w:eastAsia="zh-CN"/>
                <w14:textFill>
                  <w14:solidFill>
                    <w14:schemeClr w14:val="tx1"/>
                  </w14:solidFill>
                </w14:textFill>
              </w:rPr>
              <w:t>收集后外售做农肥</w:t>
            </w:r>
          </w:p>
        </w:tc>
        <w:tc>
          <w:tcPr>
            <w:tcW w:w="1440" w:type="pct"/>
            <w:vMerge w:val="continue"/>
            <w:noWrap w:val="0"/>
            <w:tcMar>
              <w:top w:w="57" w:type="dxa"/>
              <w:bottom w:w="57" w:type="dxa"/>
            </w:tcMar>
            <w:vAlign w:val="center"/>
          </w:tcPr>
          <w:p w14:paraId="795437F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7030A0"/>
                <w:sz w:val="21"/>
                <w:szCs w:val="21"/>
                <w:highlight w:val="none"/>
                <w:u w:val="none" w:color="auto"/>
                <w:lang w:val="en-US" w:eastAsia="zh-CN"/>
              </w:rPr>
            </w:pPr>
          </w:p>
        </w:tc>
      </w:tr>
      <w:tr w14:paraId="237D46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01" w:type="pct"/>
            <w:vMerge w:val="continue"/>
            <w:noWrap w:val="0"/>
            <w:tcMar>
              <w:top w:w="57" w:type="dxa"/>
              <w:bottom w:w="57" w:type="dxa"/>
            </w:tcMar>
            <w:vAlign w:val="center"/>
          </w:tcPr>
          <w:p w14:paraId="17D4E097">
            <w:pPr>
              <w:keepNext w:val="0"/>
              <w:keepLines w:val="0"/>
              <w:pageBreakBefore w:val="0"/>
              <w:suppressLineNumbers w:val="0"/>
              <w:kinsoku/>
              <w:wordWrap/>
              <w:overflowPunct/>
              <w:topLinePunct w:val="0"/>
              <w:bidi w:val="0"/>
              <w:snapToGrid w:val="0"/>
              <w:spacing w:before="0" w:beforeAutospacing="0" w:after="0" w:afterAutospacing="0" w:line="240" w:lineRule="auto"/>
              <w:ind w:left="0" w:right="0"/>
              <w:jc w:val="center"/>
              <w:outlineLvl w:val="9"/>
              <w:rPr>
                <w:rFonts w:hint="default" w:ascii="Times New Roman" w:hAnsi="Times New Roman" w:eastAsia="宋体" w:cs="Times New Roman"/>
                <w:color w:val="7030A0"/>
                <w:sz w:val="21"/>
                <w:szCs w:val="21"/>
                <w:highlight w:val="none"/>
                <w:u w:val="none" w:color="auto"/>
              </w:rPr>
            </w:pPr>
          </w:p>
        </w:tc>
        <w:tc>
          <w:tcPr>
            <w:tcW w:w="1221" w:type="pct"/>
            <w:gridSpan w:val="3"/>
            <w:shd w:val="clear" w:color="auto" w:fill="auto"/>
            <w:noWrap w:val="0"/>
            <w:tcMar>
              <w:top w:w="57" w:type="dxa"/>
              <w:bottom w:w="57" w:type="dxa"/>
            </w:tcMar>
            <w:vAlign w:val="center"/>
          </w:tcPr>
          <w:p w14:paraId="1D8B10A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cs="Times New Roman"/>
                <w:bCs/>
                <w:color w:val="auto"/>
                <w:kern w:val="0"/>
                <w:sz w:val="21"/>
                <w:szCs w:val="21"/>
                <w:highlight w:val="none"/>
                <w:u w:val="none" w:color="auto"/>
                <w:lang w:val="en-US" w:eastAsia="zh-CN"/>
              </w:rPr>
            </w:pPr>
            <w:r>
              <w:rPr>
                <w:rFonts w:hint="eastAsia" w:cs="Times New Roman"/>
                <w:bCs/>
                <w:color w:val="auto"/>
                <w:kern w:val="0"/>
                <w:sz w:val="21"/>
                <w:szCs w:val="21"/>
                <w:highlight w:val="none"/>
                <w:u w:val="none" w:color="auto"/>
                <w:lang w:val="en-US" w:eastAsia="zh-CN"/>
              </w:rPr>
              <w:t>锯切等过程炭渣</w:t>
            </w:r>
          </w:p>
        </w:tc>
        <w:tc>
          <w:tcPr>
            <w:tcW w:w="588" w:type="pct"/>
            <w:shd w:val="clear" w:color="auto" w:fill="auto"/>
            <w:noWrap w:val="0"/>
            <w:tcMar>
              <w:top w:w="57" w:type="dxa"/>
              <w:bottom w:w="57" w:type="dxa"/>
            </w:tcMar>
            <w:vAlign w:val="center"/>
          </w:tcPr>
          <w:p w14:paraId="6EE0743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cs="Times New Roman"/>
                <w:color w:val="auto"/>
                <w:sz w:val="21"/>
                <w:szCs w:val="21"/>
                <w:highlight w:val="none"/>
                <w:u w:val="none" w:color="auto"/>
                <w:lang w:val="en-US" w:eastAsia="zh-CN"/>
              </w:rPr>
            </w:pPr>
            <w:r>
              <w:rPr>
                <w:rFonts w:hint="eastAsia" w:cs="Times New Roman"/>
                <w:bCs/>
                <w:color w:val="auto"/>
                <w:kern w:val="0"/>
                <w:sz w:val="21"/>
                <w:szCs w:val="21"/>
                <w:highlight w:val="none"/>
                <w:u w:val="none" w:color="auto"/>
                <w:lang w:val="en-US" w:eastAsia="zh-CN"/>
              </w:rPr>
              <w:t>炭渣</w:t>
            </w:r>
          </w:p>
        </w:tc>
        <w:tc>
          <w:tcPr>
            <w:tcW w:w="1348" w:type="pct"/>
            <w:noWrap w:val="0"/>
            <w:tcMar>
              <w:top w:w="57" w:type="dxa"/>
              <w:bottom w:w="57" w:type="dxa"/>
            </w:tcMar>
            <w:vAlign w:val="center"/>
          </w:tcPr>
          <w:p w14:paraId="2AA4A6B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eastAsia" w:cs="Times New Roman"/>
                <w:color w:val="000000" w:themeColor="text1"/>
                <w:sz w:val="21"/>
                <w:szCs w:val="21"/>
                <w:highlight w:val="none"/>
                <w:u w:val="none" w:color="auto"/>
                <w:lang w:val="en-US" w:eastAsia="zh-CN"/>
                <w14:textFill>
                  <w14:solidFill>
                    <w14:schemeClr w14:val="tx1"/>
                  </w14:solidFill>
                </w14:textFill>
              </w:rPr>
            </w:pPr>
            <w:r>
              <w:rPr>
                <w:rFonts w:hint="eastAsia" w:cs="Times New Roman"/>
                <w:color w:val="auto"/>
                <w:sz w:val="21"/>
                <w:szCs w:val="21"/>
                <w:highlight w:val="none"/>
                <w:u w:val="none" w:color="auto"/>
                <w:lang w:val="en-US" w:eastAsia="zh-CN"/>
              </w:rPr>
              <w:t>定期收集后外售</w:t>
            </w:r>
          </w:p>
        </w:tc>
        <w:tc>
          <w:tcPr>
            <w:tcW w:w="1440" w:type="pct"/>
            <w:vMerge w:val="continue"/>
            <w:noWrap w:val="0"/>
            <w:tcMar>
              <w:top w:w="57" w:type="dxa"/>
              <w:bottom w:w="57" w:type="dxa"/>
            </w:tcMar>
            <w:vAlign w:val="center"/>
          </w:tcPr>
          <w:p w14:paraId="43F527B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7030A0"/>
                <w:sz w:val="21"/>
                <w:szCs w:val="21"/>
                <w:highlight w:val="none"/>
                <w:u w:val="none" w:color="auto"/>
                <w:lang w:val="en-US" w:eastAsia="zh-CN"/>
              </w:rPr>
            </w:pPr>
          </w:p>
        </w:tc>
      </w:tr>
      <w:tr w14:paraId="71C4C0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01" w:type="pct"/>
            <w:vMerge w:val="continue"/>
            <w:noWrap w:val="0"/>
            <w:tcMar>
              <w:top w:w="57" w:type="dxa"/>
              <w:bottom w:w="57" w:type="dxa"/>
            </w:tcMar>
            <w:vAlign w:val="center"/>
          </w:tcPr>
          <w:p w14:paraId="65776EE0">
            <w:pPr>
              <w:keepNext w:val="0"/>
              <w:keepLines w:val="0"/>
              <w:pageBreakBefore w:val="0"/>
              <w:suppressLineNumbers w:val="0"/>
              <w:kinsoku/>
              <w:wordWrap/>
              <w:overflowPunct/>
              <w:topLinePunct w:val="0"/>
              <w:bidi w:val="0"/>
              <w:snapToGrid w:val="0"/>
              <w:spacing w:before="0" w:beforeAutospacing="0" w:after="0" w:afterAutospacing="0" w:line="240" w:lineRule="auto"/>
              <w:ind w:left="0" w:right="0"/>
              <w:jc w:val="center"/>
              <w:outlineLvl w:val="9"/>
              <w:rPr>
                <w:rFonts w:hint="default" w:ascii="Times New Roman" w:hAnsi="Times New Roman" w:eastAsia="宋体" w:cs="Times New Roman"/>
                <w:color w:val="7030A0"/>
                <w:sz w:val="21"/>
                <w:szCs w:val="21"/>
                <w:highlight w:val="none"/>
                <w:u w:val="none" w:color="auto"/>
              </w:rPr>
            </w:pPr>
          </w:p>
        </w:tc>
        <w:tc>
          <w:tcPr>
            <w:tcW w:w="1221" w:type="pct"/>
            <w:gridSpan w:val="3"/>
            <w:shd w:val="clear" w:color="auto" w:fill="auto"/>
            <w:noWrap w:val="0"/>
            <w:tcMar>
              <w:top w:w="57" w:type="dxa"/>
              <w:bottom w:w="57" w:type="dxa"/>
            </w:tcMar>
            <w:vAlign w:val="center"/>
          </w:tcPr>
          <w:p w14:paraId="48705FB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eastAsia" w:cs="Times New Roman"/>
                <w:color w:val="000000" w:themeColor="text1"/>
                <w:sz w:val="21"/>
                <w:szCs w:val="21"/>
                <w:highlight w:val="none"/>
                <w:u w:val="none" w:color="auto"/>
                <w:lang w:val="en-US" w:eastAsia="zh-CN"/>
                <w14:textFill>
                  <w14:solidFill>
                    <w14:schemeClr w14:val="tx1"/>
                  </w14:solidFill>
                </w14:textFill>
              </w:rPr>
              <w:t>包装过程</w:t>
            </w:r>
          </w:p>
        </w:tc>
        <w:tc>
          <w:tcPr>
            <w:tcW w:w="588" w:type="pct"/>
            <w:shd w:val="clear" w:color="auto" w:fill="auto"/>
            <w:noWrap w:val="0"/>
            <w:tcMar>
              <w:top w:w="57" w:type="dxa"/>
              <w:bottom w:w="57" w:type="dxa"/>
            </w:tcMar>
            <w:vAlign w:val="center"/>
          </w:tcPr>
          <w:p w14:paraId="7CFF323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eastAsia" w:cs="Times New Roman"/>
                <w:color w:val="000000" w:themeColor="text1"/>
                <w:sz w:val="21"/>
                <w:szCs w:val="21"/>
                <w:highlight w:val="none"/>
                <w:u w:val="none" w:color="auto"/>
                <w:lang w:val="en-US" w:eastAsia="zh-CN"/>
                <w14:textFill>
                  <w14:solidFill>
                    <w14:schemeClr w14:val="tx1"/>
                  </w14:solidFill>
                </w14:textFill>
              </w:rPr>
              <w:t>废包装材料</w:t>
            </w:r>
          </w:p>
        </w:tc>
        <w:tc>
          <w:tcPr>
            <w:tcW w:w="1348" w:type="pct"/>
            <w:noWrap w:val="0"/>
            <w:tcMar>
              <w:top w:w="57" w:type="dxa"/>
              <w:bottom w:w="57" w:type="dxa"/>
            </w:tcMar>
            <w:vAlign w:val="center"/>
          </w:tcPr>
          <w:p w14:paraId="37441FD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eastAsia" w:cs="Times New Roman"/>
                <w:color w:val="000000" w:themeColor="text1"/>
                <w:sz w:val="21"/>
                <w:szCs w:val="21"/>
                <w:highlight w:val="none"/>
                <w:u w:val="none" w:color="auto"/>
                <w:lang w:val="en-US" w:eastAsia="zh-CN"/>
                <w14:textFill>
                  <w14:solidFill>
                    <w14:schemeClr w14:val="tx1"/>
                  </w14:solidFill>
                </w14:textFill>
              </w:rPr>
            </w:pPr>
            <w:r>
              <w:rPr>
                <w:rFonts w:hint="eastAsia" w:cs="Times New Roman"/>
                <w:color w:val="000000" w:themeColor="text1"/>
                <w:sz w:val="21"/>
                <w:szCs w:val="21"/>
                <w:highlight w:val="none"/>
                <w:u w:val="none" w:color="auto"/>
                <w:lang w:val="en-US" w:eastAsia="zh-CN"/>
                <w14:textFill>
                  <w14:solidFill>
                    <w14:schemeClr w14:val="tx1"/>
                  </w14:solidFill>
                </w14:textFill>
              </w:rPr>
              <w:t>收集后外售</w:t>
            </w:r>
          </w:p>
        </w:tc>
        <w:tc>
          <w:tcPr>
            <w:tcW w:w="1440" w:type="pct"/>
            <w:vMerge w:val="continue"/>
            <w:noWrap w:val="0"/>
            <w:tcMar>
              <w:top w:w="57" w:type="dxa"/>
              <w:bottom w:w="57" w:type="dxa"/>
            </w:tcMar>
            <w:vAlign w:val="center"/>
          </w:tcPr>
          <w:p w14:paraId="46BEA71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7030A0"/>
                <w:sz w:val="21"/>
                <w:szCs w:val="21"/>
                <w:highlight w:val="none"/>
                <w:u w:val="none" w:color="auto"/>
              </w:rPr>
            </w:pPr>
          </w:p>
        </w:tc>
      </w:tr>
      <w:tr w14:paraId="5B005A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01" w:type="pct"/>
            <w:vMerge w:val="continue"/>
            <w:noWrap w:val="0"/>
            <w:tcMar>
              <w:top w:w="57" w:type="dxa"/>
              <w:bottom w:w="57" w:type="dxa"/>
            </w:tcMar>
            <w:vAlign w:val="center"/>
          </w:tcPr>
          <w:p w14:paraId="4ADE0F64">
            <w:pPr>
              <w:keepNext w:val="0"/>
              <w:keepLines w:val="0"/>
              <w:pageBreakBefore w:val="0"/>
              <w:suppressLineNumbers w:val="0"/>
              <w:kinsoku/>
              <w:wordWrap/>
              <w:overflowPunct/>
              <w:topLinePunct w:val="0"/>
              <w:bidi w:val="0"/>
              <w:snapToGrid w:val="0"/>
              <w:spacing w:before="0" w:beforeAutospacing="0" w:after="0" w:afterAutospacing="0" w:line="240" w:lineRule="auto"/>
              <w:ind w:left="0" w:right="0"/>
              <w:jc w:val="center"/>
              <w:outlineLvl w:val="9"/>
              <w:rPr>
                <w:rFonts w:hint="default" w:ascii="Times New Roman" w:hAnsi="Times New Roman" w:eastAsia="宋体" w:cs="Times New Roman"/>
                <w:color w:val="7030A0"/>
                <w:sz w:val="21"/>
                <w:szCs w:val="21"/>
                <w:highlight w:val="none"/>
                <w:u w:val="none" w:color="auto"/>
              </w:rPr>
            </w:pPr>
          </w:p>
        </w:tc>
        <w:tc>
          <w:tcPr>
            <w:tcW w:w="1221" w:type="pct"/>
            <w:gridSpan w:val="3"/>
            <w:shd w:val="clear" w:color="auto" w:fill="auto"/>
            <w:noWrap w:val="0"/>
            <w:tcMar>
              <w:top w:w="57" w:type="dxa"/>
              <w:bottom w:w="57" w:type="dxa"/>
            </w:tcMar>
            <w:vAlign w:val="center"/>
          </w:tcPr>
          <w:p w14:paraId="4E792305">
            <w:pPr>
              <w:pStyle w:val="51"/>
              <w:keepNext w:val="0"/>
              <w:keepLines w:val="0"/>
              <w:pageBreakBefore w:val="0"/>
              <w:suppressLineNumbers w:val="0"/>
              <w:kinsoku/>
              <w:wordWrap/>
              <w:overflowPunct/>
              <w:topLinePunct w:val="0"/>
              <w:bidi w:val="0"/>
              <w:snapToGrid w:val="0"/>
              <w:spacing w:before="0" w:beforeAutospacing="0" w:after="0" w:afterAutospacing="0" w:line="240" w:lineRule="auto"/>
              <w:ind w:left="0" w:leftChars="0" w:right="0" w:rightChars="0"/>
              <w:rPr>
                <w:rFonts w:hint="eastAsia" w:ascii="Times New Roman" w:hAnsi="Times New Roman" w:eastAsia="宋体" w:cs="Times New Roman"/>
                <w:color w:val="000000" w:themeColor="text1"/>
                <w:kern w:val="24"/>
                <w:sz w:val="21"/>
                <w:szCs w:val="21"/>
                <w:highlight w:val="none"/>
                <w:u w:val="none" w:color="auto"/>
                <w:lang w:val="en-US" w:eastAsia="zh-CN" w:bidi="ar-SA"/>
                <w14:textFill>
                  <w14:solidFill>
                    <w14:schemeClr w14:val="tx1"/>
                  </w14:solidFill>
                </w14:textFill>
              </w:rPr>
            </w:pPr>
            <w:r>
              <w:rPr>
                <w:rFonts w:hint="eastAsia"/>
                <w:color w:val="000000" w:themeColor="text1"/>
                <w:sz w:val="21"/>
                <w:szCs w:val="21"/>
                <w:u w:val="none" w:color="auto"/>
                <w14:textFill>
                  <w14:solidFill>
                    <w14:schemeClr w14:val="tx1"/>
                  </w14:solidFill>
                </w14:textFill>
              </w:rPr>
              <w:t>炭化过程</w:t>
            </w:r>
          </w:p>
        </w:tc>
        <w:tc>
          <w:tcPr>
            <w:tcW w:w="588" w:type="pct"/>
            <w:shd w:val="clear" w:color="auto" w:fill="auto"/>
            <w:noWrap w:val="0"/>
            <w:tcMar>
              <w:top w:w="57" w:type="dxa"/>
              <w:bottom w:w="57" w:type="dxa"/>
            </w:tcMar>
            <w:vAlign w:val="center"/>
          </w:tcPr>
          <w:p w14:paraId="0F7CABF8">
            <w:pPr>
              <w:keepNext w:val="0"/>
              <w:keepLines w:val="0"/>
              <w:pageBreakBefore w:val="0"/>
              <w:suppressLineNumbers w:val="0"/>
              <w:kinsoku/>
              <w:wordWrap/>
              <w:overflowPunct/>
              <w:topLinePunct w:val="0"/>
              <w:bidi w:val="0"/>
              <w:spacing w:before="0" w:beforeAutospacing="0" w:after="0" w:afterAutospacing="0" w:line="240" w:lineRule="auto"/>
              <w:ind w:left="0" w:leftChars="0" w:right="0" w:rightChars="0"/>
              <w:jc w:val="center"/>
              <w:rPr>
                <w:rFonts w:hint="eastAsia"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eastAsia"/>
                <w:color w:val="000000" w:themeColor="text1"/>
                <w:sz w:val="21"/>
                <w:szCs w:val="21"/>
                <w:u w:val="none" w:color="auto"/>
                <w:lang w:val="en-US" w:eastAsia="zh-CN"/>
                <w14:textFill>
                  <w14:solidFill>
                    <w14:schemeClr w14:val="tx1"/>
                  </w14:solidFill>
                </w14:textFill>
              </w:rPr>
              <w:t>粗</w:t>
            </w:r>
            <w:r>
              <w:rPr>
                <w:rFonts w:hint="eastAsia"/>
                <w:color w:val="000000" w:themeColor="text1"/>
                <w:sz w:val="21"/>
                <w:szCs w:val="21"/>
                <w:u w:val="none" w:color="auto"/>
                <w14:textFill>
                  <w14:solidFill>
                    <w14:schemeClr w14:val="tx1"/>
                  </w14:solidFill>
                </w14:textFill>
              </w:rPr>
              <w:t>木焦油、木醋液</w:t>
            </w:r>
          </w:p>
        </w:tc>
        <w:tc>
          <w:tcPr>
            <w:tcW w:w="1348" w:type="pct"/>
            <w:shd w:val="clear" w:color="auto" w:fill="auto"/>
            <w:noWrap w:val="0"/>
            <w:tcMar>
              <w:top w:w="57" w:type="dxa"/>
              <w:bottom w:w="57" w:type="dxa"/>
            </w:tcMar>
            <w:vAlign w:val="center"/>
          </w:tcPr>
          <w:p w14:paraId="6C0E4F4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eastAsia" w:cs="Times New Roman"/>
                <w:color w:val="000000" w:themeColor="text1"/>
                <w:sz w:val="21"/>
                <w:szCs w:val="21"/>
                <w:highlight w:val="none"/>
                <w:u w:val="none" w:color="auto"/>
                <w:lang w:val="en-US" w:eastAsia="zh-CN"/>
                <w14:textFill>
                  <w14:solidFill>
                    <w14:schemeClr w14:val="tx1"/>
                  </w14:solidFill>
                </w14:textFill>
              </w:rPr>
            </w:pPr>
            <w:r>
              <w:rPr>
                <w:rFonts w:hint="eastAsia"/>
                <w:color w:val="000000" w:themeColor="text1"/>
                <w:sz w:val="21"/>
                <w:szCs w:val="21"/>
                <w:u w:val="none" w:color="auto"/>
                <w14:textFill>
                  <w14:solidFill>
                    <w14:schemeClr w14:val="tx1"/>
                  </w14:solidFill>
                </w14:textFill>
              </w:rPr>
              <w:t>采用防渗防漏的专用容器盛装密封</w:t>
            </w:r>
            <w:r>
              <w:rPr>
                <w:rFonts w:hint="eastAsia"/>
                <w:color w:val="000000" w:themeColor="text1"/>
                <w:sz w:val="21"/>
                <w:szCs w:val="21"/>
                <w:u w:val="none" w:color="auto"/>
                <w:lang w:eastAsia="zh-CN"/>
                <w14:textFill>
                  <w14:solidFill>
                    <w14:schemeClr w14:val="tx1"/>
                  </w14:solidFill>
                </w14:textFill>
              </w:rPr>
              <w:t>，</w:t>
            </w:r>
            <w:r>
              <w:rPr>
                <w:rFonts w:hint="eastAsia"/>
                <w:color w:val="000000" w:themeColor="text1"/>
                <w:sz w:val="21"/>
                <w:szCs w:val="21"/>
                <w:u w:val="none" w:color="auto"/>
                <w14:textFill>
                  <w14:solidFill>
                    <w14:schemeClr w14:val="tx1"/>
                  </w14:solidFill>
                </w14:textFill>
              </w:rPr>
              <w:t>作为副产品外售</w:t>
            </w:r>
            <w:r>
              <w:rPr>
                <w:rFonts w:hint="eastAsia"/>
                <w:color w:val="000000" w:themeColor="text1"/>
                <w:sz w:val="21"/>
                <w:szCs w:val="21"/>
                <w:u w:val="none" w:color="auto"/>
                <w:lang w:eastAsia="zh-CN"/>
                <w14:textFill>
                  <w14:solidFill>
                    <w14:schemeClr w14:val="tx1"/>
                  </w14:solidFill>
                </w14:textFill>
              </w:rPr>
              <w:t>。</w:t>
            </w:r>
            <w:r>
              <w:rPr>
                <w:rFonts w:hint="eastAsia"/>
                <w:color w:val="000000" w:themeColor="text1"/>
                <w:sz w:val="21"/>
                <w:szCs w:val="21"/>
                <w:u w:val="none" w:color="auto"/>
                <w:lang w:val="en-US" w:eastAsia="zh-CN"/>
                <w14:textFill>
                  <w14:solidFill>
                    <w14:schemeClr w14:val="tx1"/>
                  </w14:solidFill>
                </w14:textFill>
              </w:rPr>
              <w:t>其中木焦油由社旗县瑞发建材有限公司回收后用于乳化沥青加工，木醋液由河南润灵药业有限公司回收后用于杀虫剂加工。</w:t>
            </w:r>
          </w:p>
        </w:tc>
        <w:tc>
          <w:tcPr>
            <w:tcW w:w="1440" w:type="pct"/>
            <w:vMerge w:val="continue"/>
            <w:noWrap w:val="0"/>
            <w:tcMar>
              <w:top w:w="57" w:type="dxa"/>
              <w:bottom w:w="57" w:type="dxa"/>
            </w:tcMar>
            <w:vAlign w:val="center"/>
          </w:tcPr>
          <w:p w14:paraId="0B7821F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7030A0"/>
                <w:sz w:val="21"/>
                <w:szCs w:val="21"/>
                <w:highlight w:val="none"/>
                <w:u w:val="none" w:color="auto"/>
              </w:rPr>
            </w:pPr>
          </w:p>
        </w:tc>
      </w:tr>
      <w:tr w14:paraId="5D46ED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01" w:type="pct"/>
            <w:noWrap w:val="0"/>
            <w:tcMar>
              <w:top w:w="57" w:type="dxa"/>
              <w:bottom w:w="57" w:type="dxa"/>
            </w:tcMar>
            <w:vAlign w:val="center"/>
          </w:tcPr>
          <w:p w14:paraId="3329C7B2">
            <w:pPr>
              <w:keepNext w:val="0"/>
              <w:keepLines w:val="0"/>
              <w:pageBreakBefore w:val="0"/>
              <w:suppressLineNumbers w:val="0"/>
              <w:kinsoku/>
              <w:wordWrap/>
              <w:overflowPunct/>
              <w:topLinePunct w:val="0"/>
              <w:bidi w:val="0"/>
              <w:snapToGrid w:val="0"/>
              <w:spacing w:before="0" w:beforeAutospacing="0" w:after="0" w:afterAutospacing="0" w:line="240" w:lineRule="auto"/>
              <w:ind w:left="0" w:right="0"/>
              <w:jc w:val="center"/>
              <w:outlineLvl w:val="9"/>
              <w:rPr>
                <w:rFonts w:hint="default" w:ascii="Times New Roman" w:hAnsi="Times New Roman" w:eastAsia="宋体" w:cs="Times New Roman"/>
                <w:b/>
                <w:bCs/>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危险废物</w:t>
            </w:r>
          </w:p>
        </w:tc>
        <w:tc>
          <w:tcPr>
            <w:tcW w:w="1221" w:type="pct"/>
            <w:gridSpan w:val="3"/>
            <w:shd w:val="clear" w:color="auto" w:fill="auto"/>
            <w:noWrap w:val="0"/>
            <w:tcMar>
              <w:top w:w="57" w:type="dxa"/>
              <w:bottom w:w="57" w:type="dxa"/>
            </w:tcMar>
            <w:vAlign w:val="center"/>
          </w:tcPr>
          <w:p w14:paraId="41888026">
            <w:pPr>
              <w:pStyle w:val="51"/>
              <w:keepNext w:val="0"/>
              <w:keepLines w:val="0"/>
              <w:pageBreakBefore w:val="0"/>
              <w:suppressLineNumbers w:val="0"/>
              <w:kinsoku/>
              <w:wordWrap/>
              <w:overflowPunct/>
              <w:topLinePunct w:val="0"/>
              <w:bidi w:val="0"/>
              <w:snapToGrid w:val="0"/>
              <w:spacing w:before="0" w:beforeAutospacing="0" w:after="0" w:afterAutospacing="0" w:line="240" w:lineRule="auto"/>
              <w:ind w:left="0" w:leftChars="0" w:right="0" w:rightChars="0"/>
              <w:jc w:val="center"/>
              <w:outlineLvl w:val="9"/>
              <w:rPr>
                <w:rFonts w:hint="default" w:ascii="Times New Roman" w:hAnsi="Times New Roman" w:eastAsia="宋体" w:cs="Times New Roman"/>
                <w:color w:val="000000" w:themeColor="text1"/>
                <w:kern w:val="0"/>
                <w:sz w:val="21"/>
                <w:szCs w:val="21"/>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设备维护</w:t>
            </w:r>
          </w:p>
        </w:tc>
        <w:tc>
          <w:tcPr>
            <w:tcW w:w="588" w:type="pct"/>
            <w:shd w:val="clear" w:color="auto" w:fill="auto"/>
            <w:noWrap w:val="0"/>
            <w:tcMar>
              <w:top w:w="57" w:type="dxa"/>
              <w:bottom w:w="57" w:type="dxa"/>
            </w:tcMar>
            <w:vAlign w:val="center"/>
          </w:tcPr>
          <w:p w14:paraId="531F601C">
            <w:pPr>
              <w:keepNext w:val="0"/>
              <w:keepLines w:val="0"/>
              <w:pageBreakBefore w:val="0"/>
              <w:suppressLineNumbers w:val="0"/>
              <w:kinsoku/>
              <w:wordWrap/>
              <w:overflowPunct/>
              <w:topLinePunct w:val="0"/>
              <w:bidi w:val="0"/>
              <w:spacing w:before="0" w:beforeAutospacing="0" w:after="0" w:afterAutospacing="0" w:line="240" w:lineRule="auto"/>
              <w:ind w:left="0" w:leftChars="0" w:right="0" w:rightChars="0"/>
              <w:jc w:val="center"/>
              <w:outlineLvl w:val="9"/>
              <w:rPr>
                <w:rFonts w:hint="default" w:ascii="Times New Roman" w:hAnsi="Times New Roman" w:eastAsia="宋体" w:cs="Times New Roman"/>
                <w:color w:val="7030A0"/>
                <w:kern w:val="0"/>
                <w:sz w:val="21"/>
                <w:szCs w:val="21"/>
                <w:highlight w:val="none"/>
                <w:u w:val="none" w:color="auto"/>
                <w:lang w:val="en-US" w:eastAsia="zh-CN" w:bidi="ar-SA"/>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废润滑油</w:t>
            </w:r>
            <w:r>
              <w:rPr>
                <w:rFonts w:hint="eastAsia" w:ascii="Times New Roman" w:hAnsi="Times New Roman" w:eastAsia="宋体" w:cs="Times New Roman"/>
                <w:color w:val="000000" w:themeColor="text1"/>
                <w:sz w:val="21"/>
                <w:szCs w:val="21"/>
                <w:highlight w:val="none"/>
                <w:u w:val="none" w:color="auto"/>
                <w:lang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废润滑油桶</w:t>
            </w:r>
          </w:p>
        </w:tc>
        <w:tc>
          <w:tcPr>
            <w:tcW w:w="1348" w:type="pct"/>
            <w:shd w:val="clear" w:color="auto" w:fill="auto"/>
            <w:noWrap w:val="0"/>
            <w:tcMar>
              <w:top w:w="57" w:type="dxa"/>
              <w:bottom w:w="57" w:type="dxa"/>
            </w:tcMar>
            <w:vAlign w:val="center"/>
          </w:tcPr>
          <w:p w14:paraId="50FA6528">
            <w:pPr>
              <w:pStyle w:val="51"/>
              <w:keepNext w:val="0"/>
              <w:keepLines w:val="0"/>
              <w:pageBreakBefore w:val="0"/>
              <w:suppressLineNumbers w:val="0"/>
              <w:kinsoku/>
              <w:wordWrap/>
              <w:overflowPunct/>
              <w:topLinePunct w:val="0"/>
              <w:bidi w:val="0"/>
              <w:snapToGrid w:val="0"/>
              <w:spacing w:before="0" w:beforeAutospacing="0" w:after="0" w:afterAutospacing="0" w:line="240" w:lineRule="auto"/>
              <w:ind w:left="0" w:leftChars="0" w:right="0" w:rightChars="0"/>
              <w:jc w:val="center"/>
              <w:outlineLvl w:val="9"/>
              <w:rPr>
                <w:rFonts w:hint="default" w:ascii="Times New Roman" w:hAnsi="Times New Roman" w:eastAsia="宋体" w:cs="Times New Roman"/>
                <w:color w:val="000000" w:themeColor="text1"/>
                <w:kern w:val="0"/>
                <w:sz w:val="21"/>
                <w:szCs w:val="21"/>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分类集中收集于危废暂存间（面积</w:t>
            </w:r>
            <w:r>
              <w:rPr>
                <w:rFonts w:hint="eastAsia" w:ascii="Times New Roman" w:hAnsi="Times New Roman" w:cs="Times New Roman"/>
                <w:color w:val="000000" w:themeColor="text1"/>
                <w:sz w:val="21"/>
                <w:szCs w:val="21"/>
                <w:highlight w:val="none"/>
                <w:u w:val="none" w:color="auto"/>
                <w:lang w:val="en-US" w:eastAsia="zh-CN"/>
                <w14:textFill>
                  <w14:solidFill>
                    <w14:schemeClr w14:val="tx1"/>
                  </w14:solidFill>
                </w14:textFill>
              </w:rPr>
              <w:t>10</w:t>
            </w: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m</w:t>
            </w:r>
            <w:r>
              <w:rPr>
                <w:rFonts w:hint="default" w:ascii="Times New Roman" w:hAnsi="Times New Roman" w:eastAsia="宋体" w:cs="Times New Roman"/>
                <w:color w:val="000000" w:themeColor="text1"/>
                <w:sz w:val="21"/>
                <w:szCs w:val="21"/>
                <w:highlight w:val="none"/>
                <w:u w:val="none" w:color="auto"/>
                <w:vertAlign w:val="superscript"/>
                <w14:textFill>
                  <w14:solidFill>
                    <w14:schemeClr w14:val="tx1"/>
                  </w14:solidFill>
                </w14:textFill>
              </w:rPr>
              <w:t>2</w:t>
            </w: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，采取“六防”措施），定期交由有危废处理资质单位进行处置。</w:t>
            </w:r>
          </w:p>
        </w:tc>
        <w:tc>
          <w:tcPr>
            <w:tcW w:w="1440" w:type="pct"/>
            <w:noWrap w:val="0"/>
            <w:tcMar>
              <w:top w:w="57" w:type="dxa"/>
              <w:bottom w:w="57" w:type="dxa"/>
            </w:tcMar>
            <w:vAlign w:val="center"/>
          </w:tcPr>
          <w:p w14:paraId="25EE8AAC">
            <w:pPr>
              <w:keepNext w:val="0"/>
              <w:keepLines w:val="0"/>
              <w:pageBreakBefore w:val="0"/>
              <w:widowControl/>
              <w:suppressLineNumbers w:val="0"/>
              <w:kinsoku/>
              <w:wordWrap/>
              <w:overflowPunct/>
              <w:topLinePunct w:val="0"/>
              <w:bidi w:val="0"/>
              <w:adjustRightInd w:val="0"/>
              <w:snapToGrid w:val="0"/>
              <w:spacing w:before="0" w:beforeAutospacing="0" w:after="0" w:afterAutospacing="0" w:line="240" w:lineRule="auto"/>
              <w:ind w:left="0" w:right="0"/>
              <w:jc w:val="center"/>
              <w:outlineLvl w:val="9"/>
              <w:rPr>
                <w:rFonts w:hint="default" w:ascii="Times New Roman" w:hAnsi="Times New Roman" w:eastAsia="宋体" w:cs="Times New Roman"/>
                <w:color w:val="000000" w:themeColor="text1"/>
                <w:kern w:val="0"/>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《危险废物贮存污染控制标准》（GB18597-2023）</w:t>
            </w:r>
          </w:p>
        </w:tc>
      </w:tr>
      <w:tr w14:paraId="0631B4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01" w:type="pct"/>
            <w:noWrap w:val="0"/>
            <w:tcMar>
              <w:top w:w="57" w:type="dxa"/>
              <w:bottom w:w="57" w:type="dxa"/>
            </w:tcMar>
            <w:vAlign w:val="center"/>
          </w:tcPr>
          <w:p w14:paraId="42025665">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jc w:val="center"/>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土壤及地下水污染防治措施</w:t>
            </w:r>
          </w:p>
        </w:tc>
        <w:tc>
          <w:tcPr>
            <w:tcW w:w="4598" w:type="pct"/>
            <w:gridSpan w:val="6"/>
            <w:noWrap w:val="0"/>
            <w:tcMar>
              <w:top w:w="57" w:type="dxa"/>
              <w:bottom w:w="57" w:type="dxa"/>
            </w:tcMar>
            <w:vAlign w:val="center"/>
          </w:tcPr>
          <w:p w14:paraId="3A25AC8F">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jc w:val="both"/>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设置分区防渗，重点防渗区为：危废暂存间。一般防渗区为：</w:t>
            </w:r>
            <w:r>
              <w:rPr>
                <w:rFonts w:hint="eastAsia" w:cs="Times New Roman"/>
                <w:color w:val="000000" w:themeColor="text1"/>
                <w:sz w:val="21"/>
                <w:szCs w:val="21"/>
                <w:highlight w:val="none"/>
                <w:u w:val="none" w:color="auto"/>
                <w:lang w:val="en-US" w:eastAsia="zh-CN"/>
                <w14:textFill>
                  <w14:solidFill>
                    <w14:schemeClr w14:val="tx1"/>
                  </w14:solidFill>
                </w14:textFill>
              </w:rPr>
              <w:t>各</w:t>
            </w: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生产车间、</w:t>
            </w:r>
            <w:r>
              <w:rPr>
                <w:rFonts w:hint="eastAsia" w:cs="Times New Roman"/>
                <w:color w:val="000000" w:themeColor="text1"/>
                <w:sz w:val="21"/>
                <w:szCs w:val="21"/>
                <w:highlight w:val="none"/>
                <w:u w:val="none" w:color="auto"/>
                <w:lang w:val="en-US" w:eastAsia="zh-CN"/>
                <w14:textFill>
                  <w14:solidFill>
                    <w14:schemeClr w14:val="tx1"/>
                  </w14:solidFill>
                </w14:textFill>
              </w:rPr>
              <w:t>化粪池、沙池、一般固废暂存间</w:t>
            </w: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等地。分区防渗要求：</w:t>
            </w:r>
          </w:p>
          <w:p w14:paraId="49345B48">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jc w:val="both"/>
              <w:outlineLvl w:val="9"/>
              <w:rPr>
                <w:rFonts w:hint="eastAsia" w:cs="Times New Roman"/>
                <w:color w:val="000000" w:themeColor="text1"/>
                <w:sz w:val="21"/>
                <w:szCs w:val="21"/>
                <w:highlight w:val="none"/>
                <w:u w:val="none" w:color="auto"/>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①重点防渗区</w:t>
            </w:r>
          </w:p>
          <w:p w14:paraId="09EFADFD">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jc w:val="both"/>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重点防渗区等效黏土防渗层Mb≥6.0m，且渗透系数 K≤1.0×10</w:t>
            </w:r>
            <w:r>
              <w:rPr>
                <w:rFonts w:hint="default" w:ascii="Times New Roman" w:hAnsi="Times New Roman" w:eastAsia="宋体" w:cs="Times New Roman"/>
                <w:color w:val="000000" w:themeColor="text1"/>
                <w:sz w:val="21"/>
                <w:szCs w:val="21"/>
                <w:highlight w:val="none"/>
                <w:u w:val="none" w:color="auto"/>
                <w:vertAlign w:val="superscript"/>
                <w14:textFill>
                  <w14:solidFill>
                    <w14:schemeClr w14:val="tx1"/>
                  </w14:solidFill>
                </w14:textFill>
              </w:rPr>
              <w:t>-7</w:t>
            </w: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cm/s。</w:t>
            </w:r>
          </w:p>
          <w:p w14:paraId="2B088812">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jc w:val="both"/>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②一般防渗区一般防渗区的防渗技术要求</w:t>
            </w:r>
          </w:p>
          <w:p w14:paraId="6FE9BB89">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jc w:val="both"/>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等效黏土防渗层 Mb≥1.5m，K≤1.0×10</w:t>
            </w:r>
            <w:r>
              <w:rPr>
                <w:rFonts w:hint="default" w:ascii="Times New Roman" w:hAnsi="Times New Roman" w:eastAsia="宋体" w:cs="Times New Roman"/>
                <w:color w:val="000000" w:themeColor="text1"/>
                <w:sz w:val="21"/>
                <w:szCs w:val="21"/>
                <w:highlight w:val="none"/>
                <w:u w:val="none" w:color="auto"/>
                <w:vertAlign w:val="superscript"/>
                <w14:textFill>
                  <w14:solidFill>
                    <w14:schemeClr w14:val="tx1"/>
                  </w14:solidFill>
                </w14:textFill>
              </w:rPr>
              <w:t>-7</w:t>
            </w: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cm/s。</w:t>
            </w:r>
          </w:p>
        </w:tc>
      </w:tr>
      <w:tr w14:paraId="3413E1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01" w:type="pct"/>
            <w:noWrap w:val="0"/>
            <w:tcMar>
              <w:top w:w="57" w:type="dxa"/>
              <w:bottom w:w="57" w:type="dxa"/>
            </w:tcMar>
            <w:vAlign w:val="center"/>
          </w:tcPr>
          <w:p w14:paraId="68AEE75F">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jc w:val="center"/>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生态保护措施</w:t>
            </w:r>
          </w:p>
        </w:tc>
        <w:tc>
          <w:tcPr>
            <w:tcW w:w="4598" w:type="pct"/>
            <w:gridSpan w:val="6"/>
            <w:noWrap w:val="0"/>
            <w:tcMar>
              <w:top w:w="57" w:type="dxa"/>
              <w:bottom w:w="57" w:type="dxa"/>
            </w:tcMar>
            <w:vAlign w:val="center"/>
          </w:tcPr>
          <w:p w14:paraId="6E8D9110">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jc w:val="center"/>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w:t>
            </w:r>
          </w:p>
        </w:tc>
      </w:tr>
      <w:tr w14:paraId="307E97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01" w:type="pct"/>
            <w:noWrap w:val="0"/>
            <w:tcMar>
              <w:top w:w="57" w:type="dxa"/>
              <w:bottom w:w="57" w:type="dxa"/>
            </w:tcMar>
            <w:vAlign w:val="center"/>
          </w:tcPr>
          <w:p w14:paraId="57574373">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jc w:val="center"/>
              <w:outlineLvl w:val="9"/>
              <w:rPr>
                <w:rFonts w:hint="default" w:ascii="Times New Roman" w:hAnsi="Times New Roman" w:eastAsia="宋体" w:cs="Times New Roman"/>
                <w:color w:val="000000" w:themeColor="text1"/>
                <w:spacing w:val="-8"/>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pacing w:val="-8"/>
                <w:sz w:val="21"/>
                <w:szCs w:val="21"/>
                <w:highlight w:val="none"/>
                <w:u w:val="none" w:color="auto"/>
                <w14:textFill>
                  <w14:solidFill>
                    <w14:schemeClr w14:val="tx1"/>
                  </w14:solidFill>
                </w14:textFill>
              </w:rPr>
              <w:t>环境风险</w:t>
            </w:r>
          </w:p>
          <w:p w14:paraId="6FF4B197">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jc w:val="center"/>
              <w:outlineLvl w:val="9"/>
              <w:rPr>
                <w:rFonts w:hint="default" w:ascii="Times New Roman" w:hAnsi="Times New Roman" w:eastAsia="宋体" w:cs="Times New Roman"/>
                <w:color w:val="7030A0"/>
                <w:sz w:val="21"/>
                <w:szCs w:val="21"/>
                <w:highlight w:val="none"/>
                <w:u w:val="none" w:color="auto"/>
              </w:rPr>
            </w:pPr>
            <w:r>
              <w:rPr>
                <w:rFonts w:hint="default" w:ascii="Times New Roman" w:hAnsi="Times New Roman" w:eastAsia="宋体" w:cs="Times New Roman"/>
                <w:color w:val="000000" w:themeColor="text1"/>
                <w:spacing w:val="-8"/>
                <w:sz w:val="21"/>
                <w:szCs w:val="21"/>
                <w:highlight w:val="none"/>
                <w:u w:val="none" w:color="auto"/>
                <w14:textFill>
                  <w14:solidFill>
                    <w14:schemeClr w14:val="tx1"/>
                  </w14:solidFill>
                </w14:textFill>
              </w:rPr>
              <w:t>防范措施</w:t>
            </w:r>
          </w:p>
        </w:tc>
        <w:tc>
          <w:tcPr>
            <w:tcW w:w="4598" w:type="pct"/>
            <w:gridSpan w:val="6"/>
            <w:noWrap w:val="0"/>
            <w:tcMar>
              <w:top w:w="57" w:type="dxa"/>
              <w:bottom w:w="57" w:type="dxa"/>
            </w:tcMar>
            <w:vAlign w:val="center"/>
          </w:tcPr>
          <w:p w14:paraId="05ED68D1">
            <w:pPr>
              <w:pStyle w:val="8"/>
              <w:keepNext w:val="0"/>
              <w:keepLines w:val="0"/>
              <w:pageBreakBefore w:val="0"/>
              <w:kinsoku/>
              <w:wordWrap/>
              <w:overflowPunct/>
              <w:topLinePunct w:val="0"/>
              <w:autoSpaceDE/>
              <w:autoSpaceDN/>
              <w:bidi w:val="0"/>
              <w:spacing w:before="0" w:beforeAutospacing="0" w:after="0" w:line="240" w:lineRule="auto"/>
              <w:ind w:left="0" w:leftChars="0" w:right="0" w:firstLine="0" w:firstLineChars="0"/>
              <w:jc w:val="both"/>
              <w:textAlignment w:val="auto"/>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u w:val="none" w:color="auto"/>
                <w:lang w:eastAsia="zh-CN"/>
                <w14:textFill>
                  <w14:solidFill>
                    <w14:schemeClr w14:val="tx1"/>
                  </w14:solidFill>
                </w14:textFill>
              </w:rPr>
              <w:t>（</w:t>
            </w:r>
            <w:r>
              <w:rPr>
                <w:rFonts w:hint="eastAsia"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1</w:t>
            </w:r>
            <w:r>
              <w:rPr>
                <w:rFonts w:hint="eastAsia" w:ascii="Times New Roman" w:hAnsi="Times New Roman" w:eastAsia="宋体" w:cs="Times New Roman"/>
                <w:color w:val="000000" w:themeColor="text1"/>
                <w:sz w:val="21"/>
                <w:szCs w:val="21"/>
                <w:highlight w:val="none"/>
                <w:u w:val="none" w:color="auto"/>
                <w:lang w:eastAsia="zh-CN"/>
                <w14:textFill>
                  <w14:solidFill>
                    <w14:schemeClr w14:val="tx1"/>
                  </w14:solidFill>
                </w14:textFill>
              </w:rPr>
              <w:t>）</w:t>
            </w:r>
            <w:r>
              <w:rPr>
                <w:rFonts w:hint="eastAsia"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中间产品（木煤气）</w:t>
            </w:r>
          </w:p>
          <w:p w14:paraId="22EA51BC">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both"/>
              <w:textAlignment w:val="auto"/>
              <w:rPr>
                <w:rFonts w:hint="eastAsia" w:eastAsia="宋体"/>
                <w:snapToGrid w:val="0"/>
                <w:color w:val="000000" w:themeColor="text1"/>
                <w:sz w:val="21"/>
                <w:szCs w:val="21"/>
                <w:lang w:val="en-US" w:eastAsia="zh-CN"/>
                <w14:textFill>
                  <w14:solidFill>
                    <w14:schemeClr w14:val="tx1"/>
                  </w14:solidFill>
                </w14:textFill>
              </w:rPr>
            </w:pPr>
            <w:r>
              <w:rPr>
                <w:rFonts w:hint="eastAsia"/>
                <w:snapToGrid w:val="0"/>
                <w:color w:val="000000" w:themeColor="text1"/>
                <w:sz w:val="21"/>
                <w:szCs w:val="21"/>
                <w14:textFill>
                  <w14:solidFill>
                    <w14:schemeClr w14:val="tx1"/>
                  </w14:solidFill>
                </w14:textFill>
              </w:rPr>
              <w:t>①为了防范事故和减少灾害，木煤气管道及其他设施的设计、制造、施工、运行、管理和维修等，应参照执行《工业企业煤气安全规程》（</w:t>
            </w:r>
            <w:r>
              <w:rPr>
                <w:rFonts w:hint="default"/>
                <w:snapToGrid w:val="0"/>
                <w:color w:val="000000" w:themeColor="text1"/>
                <w:sz w:val="21"/>
                <w:szCs w:val="21"/>
                <w14:textFill>
                  <w14:solidFill>
                    <w14:schemeClr w14:val="tx1"/>
                  </w14:solidFill>
                </w14:textFill>
              </w:rPr>
              <w:t>GB6222-86</w:t>
            </w:r>
            <w:r>
              <w:rPr>
                <w:rFonts w:hint="eastAsia"/>
                <w:snapToGrid w:val="0"/>
                <w:color w:val="000000" w:themeColor="text1"/>
                <w:sz w:val="21"/>
                <w:szCs w:val="21"/>
                <w14:textFill>
                  <w14:solidFill>
                    <w14:schemeClr w14:val="tx1"/>
                  </w14:solidFill>
                </w14:textFill>
              </w:rPr>
              <w:t>）的要求，必须制定风险事故的防范措施和应急预案。</w:t>
            </w:r>
          </w:p>
          <w:p w14:paraId="4D6EBEDD">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both"/>
              <w:textAlignment w:val="auto"/>
              <w:rPr>
                <w:rFonts w:hint="eastAsia"/>
                <w:snapToGrid w:val="0"/>
                <w:color w:val="000000" w:themeColor="text1"/>
                <w:sz w:val="21"/>
                <w:szCs w:val="21"/>
                <w14:textFill>
                  <w14:solidFill>
                    <w14:schemeClr w14:val="tx1"/>
                  </w14:solidFill>
                </w14:textFill>
              </w:rPr>
            </w:pPr>
            <w:r>
              <w:rPr>
                <w:rFonts w:hint="eastAsia"/>
                <w:snapToGrid w:val="0"/>
                <w:color w:val="000000" w:themeColor="text1"/>
                <w:sz w:val="21"/>
                <w:szCs w:val="21"/>
                <w14:textFill>
                  <w14:solidFill>
                    <w14:schemeClr w14:val="tx1"/>
                  </w14:solidFill>
                </w14:textFill>
              </w:rPr>
              <w:t>②在对木煤气设施运行及停气检修时必须严格按照有关安全生产的规定进行。收集管道及木煤气燃烧设备的设计和施工中，应参照《工业企业煤气安全规程》（GB 6222-86）等安全生产的有关规定进行。</w:t>
            </w:r>
          </w:p>
          <w:p w14:paraId="68E340C6">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both"/>
              <w:textAlignment w:val="auto"/>
              <w:rPr>
                <w:rFonts w:hint="eastAsia"/>
                <w:snapToGrid w:val="0"/>
                <w:color w:val="000000" w:themeColor="text1"/>
                <w:sz w:val="21"/>
                <w:szCs w:val="21"/>
                <w14:textFill>
                  <w14:solidFill>
                    <w14:schemeClr w14:val="tx1"/>
                  </w14:solidFill>
                </w14:textFill>
              </w:rPr>
            </w:pPr>
            <w:r>
              <w:rPr>
                <w:rFonts w:hint="eastAsia"/>
                <w:snapToGrid w:val="0"/>
                <w:color w:val="000000" w:themeColor="text1"/>
                <w:sz w:val="21"/>
                <w:szCs w:val="21"/>
                <w:lang w:val="en-US" w:eastAsia="zh-CN"/>
                <w14:textFill>
                  <w14:solidFill>
                    <w14:schemeClr w14:val="tx1"/>
                  </w14:solidFill>
                </w14:textFill>
              </w:rPr>
              <w:t>③</w:t>
            </w:r>
            <w:r>
              <w:rPr>
                <w:rFonts w:hint="eastAsia"/>
                <w:snapToGrid w:val="0"/>
                <w:color w:val="000000" w:themeColor="text1"/>
                <w:sz w:val="21"/>
                <w:szCs w:val="21"/>
                <w14:textFill>
                  <w14:solidFill>
                    <w14:schemeClr w14:val="tx1"/>
                  </w14:solidFill>
                </w14:textFill>
              </w:rPr>
              <w:t>建立事故预防、监测、检验、报警系统，设置厂内医疗急救站；采取技术、工艺、设备、管理等综合预防措施，避免木煤气意外泄漏事故发生；在易产生泄漏的位置设置检测仪和自动报警器，当发生泄漏事故时能及时报警，使事故能够得到及时扼杀；生产场所应设置相应的通风设施，确保工作人员不受有害气体的危害；对输送管道、管件等以及与之相关的设备进行重点安全监督。</w:t>
            </w:r>
          </w:p>
          <w:p w14:paraId="28F1AE97">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eastAsia" w:ascii="Times New Roman" w:hAnsi="Times New Roman" w:eastAsia="宋体" w:cs="Times New Roman"/>
                <w:color w:val="000000" w:themeColor="text1"/>
                <w:sz w:val="21"/>
                <w:szCs w:val="21"/>
                <w:highlight w:val="none"/>
                <w:u w:val="none" w:color="auto"/>
                <w:lang w:eastAsia="zh-CN"/>
                <w14:textFill>
                  <w14:solidFill>
                    <w14:schemeClr w14:val="tx1"/>
                  </w14:solidFill>
                </w14:textFill>
              </w:rPr>
              <w:t>（</w:t>
            </w:r>
            <w:r>
              <w:rPr>
                <w:rFonts w:hint="eastAsia" w:cs="Times New Roman"/>
                <w:color w:val="000000" w:themeColor="text1"/>
                <w:sz w:val="21"/>
                <w:szCs w:val="21"/>
                <w:highlight w:val="none"/>
                <w:u w:val="none" w:color="auto"/>
                <w:lang w:val="en-US" w:eastAsia="zh-CN"/>
                <w14:textFill>
                  <w14:solidFill>
                    <w14:schemeClr w14:val="tx1"/>
                  </w14:solidFill>
                </w14:textFill>
              </w:rPr>
              <w:t>2</w:t>
            </w:r>
            <w:r>
              <w:rPr>
                <w:rFonts w:hint="eastAsia" w:ascii="Times New Roman" w:hAnsi="Times New Roman" w:eastAsia="宋体" w:cs="Times New Roman"/>
                <w:color w:val="000000" w:themeColor="text1"/>
                <w:sz w:val="21"/>
                <w:szCs w:val="21"/>
                <w:highlight w:val="none"/>
                <w:u w:val="none" w:color="auto"/>
                <w:lang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原料储存过程事故收集措施</w:t>
            </w:r>
          </w:p>
          <w:p w14:paraId="4F6DC3DD">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both"/>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加强贮存使用管理，及时检查包装容器完好使用情况，严防出现泄漏事故。原料仓库四周</w:t>
            </w:r>
            <w:r>
              <w:rPr>
                <w:rFonts w:hint="eastAsia"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均</w:t>
            </w: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设置围堰，泄露物料及时收集后作为危废处理，危废间设置“六防”措施。一旦发生泄漏情况，应迅速撤离污染区人员至上风处，设置一定隔离距离，严格限制无关人员出入；建议应急处理人员戴自给正压式呼吸器，穿防护服，从上风处进入现场，及时清理现场泄漏物料，防止外排污染水环境。</w:t>
            </w:r>
          </w:p>
          <w:p w14:paraId="1AD1FB7B">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both"/>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w:t>
            </w:r>
            <w:r>
              <w:rPr>
                <w:rFonts w:hint="eastAsia" w:cs="Times New Roman"/>
                <w:color w:val="000000" w:themeColor="text1"/>
                <w:sz w:val="21"/>
                <w:szCs w:val="21"/>
                <w:highlight w:val="none"/>
                <w:u w:val="none" w:color="auto"/>
                <w:lang w:val="en-US" w:eastAsia="zh-CN"/>
                <w14:textFill>
                  <w14:solidFill>
                    <w14:schemeClr w14:val="tx1"/>
                  </w14:solidFill>
                </w14:textFill>
              </w:rPr>
              <w:t>3</w:t>
            </w: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w:t>
            </w:r>
            <w:r>
              <w:rPr>
                <w:rFonts w:hint="eastAsia"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木焦油、木醋液、废润滑油等</w:t>
            </w: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危废暂存过程中风险防范措施：</w:t>
            </w:r>
          </w:p>
          <w:p w14:paraId="76E6A185">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both"/>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①危废暂存间贮存区域应符合有关安全、防火规定，并设置相应的通风、防爆、防火、灭火等安全设施。</w:t>
            </w:r>
          </w:p>
          <w:p w14:paraId="33B428C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both"/>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②储存地点设置围堰，防止事故泄露</w:t>
            </w:r>
          </w:p>
          <w:p w14:paraId="3861A31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both"/>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③危废暂存间设置事故沟等风险防范措施；</w:t>
            </w:r>
          </w:p>
          <w:p w14:paraId="7C16DA29">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both"/>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④建立安全生产岗位责任制，制定安全生产规章制度、安全操作规程，加强员工安全环保意识教育，树立安全生产意识，防止人为事故发生。</w:t>
            </w:r>
          </w:p>
          <w:p w14:paraId="5D001003">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both"/>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w:t>
            </w:r>
            <w:r>
              <w:rPr>
                <w:rFonts w:hint="eastAsia" w:cs="Times New Roman"/>
                <w:color w:val="000000" w:themeColor="text1"/>
                <w:sz w:val="21"/>
                <w:szCs w:val="21"/>
                <w:highlight w:val="none"/>
                <w:u w:val="none" w:color="auto"/>
                <w:lang w:val="en-US" w:eastAsia="zh-CN"/>
                <w14:textFill>
                  <w14:solidFill>
                    <w14:schemeClr w14:val="tx1"/>
                  </w14:solidFill>
                </w14:textFill>
              </w:rPr>
              <w:t>4</w:t>
            </w: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）火灾事故风险防范措施</w:t>
            </w:r>
          </w:p>
          <w:p w14:paraId="6921F711">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both"/>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①在工程设计中，应严格按照国家有关规范和标准进行平面布置、建筑设计。生产区与办公室之间根据消防部门意见保持足够的安全距离。原料及产品库区设计按规范要求进行；平面布置上建筑物间的距离必须符合有关防火设计规范，各区可利用道路进行功能分区，必须满足交通和消防两方面要求。</w:t>
            </w:r>
          </w:p>
          <w:p w14:paraId="747C8E49">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both"/>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②建立健全安全、环境管理体系及高效的安全生产机构，一旦发生事故，要做到快速、高效、安全处置。</w:t>
            </w:r>
          </w:p>
          <w:p w14:paraId="6033A85F">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both"/>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③厂内的电气设备严格按照防爆区划分配置。</w:t>
            </w:r>
          </w:p>
          <w:p w14:paraId="2B59BE8F">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both"/>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④如突发火灾，应立即采取急救措施，并及时向当地环保局等有关部门报告。一旦发生火灾事故，迅速按灭火作战预案紧急处理。</w:t>
            </w:r>
          </w:p>
          <w:p w14:paraId="36A42A94">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⑤</w:t>
            </w:r>
            <w:r>
              <w:rPr>
                <w:rFonts w:hint="default" w:ascii="Times New Roman" w:hAnsi="Times New Roman" w:eastAsia="宋体" w:cs="Times New Roman"/>
                <w:bCs/>
                <w:color w:val="000000" w:themeColor="text1"/>
                <w:sz w:val="21"/>
                <w:szCs w:val="21"/>
                <w:highlight w:val="none"/>
                <w:u w:val="none" w:color="auto"/>
                <w14:textFill>
                  <w14:solidFill>
                    <w14:schemeClr w14:val="tx1"/>
                  </w14:solidFill>
                </w14:textFill>
              </w:rPr>
              <w:t>一旦发生事故，建设单位应及时采用正确方法处理所发生事故，应急处理人员穿戴全身专用防护服，佩戴氧气呼吸器对事故进行应急处理，尽量减轻对人员的影响，发生小范围火灾事故时，使用干粉灭火器及时灭火；发生大范围火灾事故时，使用消防水及时灭火。若发生大范围火灾事故时，使用消防水进行灭火，会产生消防废水，建设单位应及时用沙袋封堵厂区雨水总排口，截留有限的消防废水，</w:t>
            </w:r>
            <w:r>
              <w:rPr>
                <w:rFonts w:hint="default" w:ascii="Times New Roman" w:hAnsi="Times New Roman" w:eastAsia="宋体" w:cs="Times New Roman"/>
                <w:color w:val="000000" w:themeColor="text1"/>
                <w:kern w:val="0"/>
                <w:sz w:val="21"/>
                <w:szCs w:val="21"/>
                <w:highlight w:val="none"/>
                <w:u w:val="none" w:color="auto"/>
                <w:lang w:bidi="ar"/>
                <w14:textFill>
                  <w14:solidFill>
                    <w14:schemeClr w14:val="tx1"/>
                  </w14:solidFill>
                </w14:textFill>
              </w:rPr>
              <w:t>参考《水体污染防控紧急措施设计导则》，消防废水储存设施总有效容积计算公式为：</w:t>
            </w:r>
          </w:p>
          <w:p w14:paraId="13EED0CD">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u w:val="none" w:color="auto"/>
                <w:lang w:bidi="ar"/>
                <w14:textFill>
                  <w14:solidFill>
                    <w14:schemeClr w14:val="tx1"/>
                  </w14:solidFill>
                </w14:textFill>
              </w:rPr>
              <w:t>V2—发生事故的储罐或装置的消防水量，m</w:t>
            </w:r>
            <w:r>
              <w:rPr>
                <w:rFonts w:hint="default" w:ascii="Times New Roman" w:hAnsi="Times New Roman" w:eastAsia="宋体" w:cs="Times New Roman"/>
                <w:color w:val="000000" w:themeColor="text1"/>
                <w:kern w:val="0"/>
                <w:sz w:val="21"/>
                <w:szCs w:val="21"/>
                <w:highlight w:val="none"/>
                <w:u w:val="none" w:color="auto"/>
                <w:vertAlign w:val="superscript"/>
                <w:lang w:bidi="ar"/>
                <w14:textFill>
                  <w14:solidFill>
                    <w14:schemeClr w14:val="tx1"/>
                  </w14:solidFill>
                </w14:textFill>
              </w:rPr>
              <w:t>3</w:t>
            </w:r>
            <w:r>
              <w:rPr>
                <w:rFonts w:hint="default" w:ascii="Times New Roman" w:hAnsi="Times New Roman" w:eastAsia="宋体" w:cs="Times New Roman"/>
                <w:color w:val="000000" w:themeColor="text1"/>
                <w:kern w:val="0"/>
                <w:sz w:val="21"/>
                <w:szCs w:val="21"/>
                <w:highlight w:val="none"/>
                <w:u w:val="none" w:color="auto"/>
                <w:lang w:bidi="ar"/>
                <w14:textFill>
                  <w14:solidFill>
                    <w14:schemeClr w14:val="tx1"/>
                  </w14:solidFill>
                </w14:textFill>
              </w:rPr>
              <w:t>；</w:t>
            </w:r>
          </w:p>
          <w:p w14:paraId="43001C2D">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u w:val="none" w:color="auto"/>
                <w:lang w:bidi="ar"/>
                <w14:textFill>
                  <w14:solidFill>
                    <w14:schemeClr w14:val="tx1"/>
                  </w14:solidFill>
                </w14:textFill>
              </w:rPr>
              <w:t>V2=∑Q</w:t>
            </w:r>
            <w:r>
              <w:rPr>
                <w:rFonts w:hint="default" w:ascii="Times New Roman" w:hAnsi="Times New Roman" w:eastAsia="宋体" w:cs="Times New Roman"/>
                <w:color w:val="000000" w:themeColor="text1"/>
                <w:kern w:val="0"/>
                <w:sz w:val="21"/>
                <w:szCs w:val="21"/>
                <w:highlight w:val="none"/>
                <w:u w:val="none" w:color="auto"/>
                <w:vertAlign w:val="subscript"/>
                <w:lang w:bidi="ar"/>
                <w14:textFill>
                  <w14:solidFill>
                    <w14:schemeClr w14:val="tx1"/>
                  </w14:solidFill>
                </w14:textFill>
              </w:rPr>
              <w:t>消</w:t>
            </w:r>
            <w:r>
              <w:rPr>
                <w:rFonts w:hint="default" w:ascii="Times New Roman" w:hAnsi="Times New Roman" w:eastAsia="宋体" w:cs="Times New Roman"/>
                <w:color w:val="000000" w:themeColor="text1"/>
                <w:kern w:val="0"/>
                <w:sz w:val="21"/>
                <w:szCs w:val="21"/>
                <w:highlight w:val="none"/>
                <w:u w:val="none" w:color="auto"/>
                <w:lang w:bidi="ar"/>
                <w14:textFill>
                  <w14:solidFill>
                    <w14:schemeClr w14:val="tx1"/>
                  </w14:solidFill>
                </w14:textFill>
              </w:rPr>
              <w:t>t</w:t>
            </w:r>
            <w:r>
              <w:rPr>
                <w:rFonts w:hint="default" w:ascii="Times New Roman" w:hAnsi="Times New Roman" w:eastAsia="宋体" w:cs="Times New Roman"/>
                <w:color w:val="000000" w:themeColor="text1"/>
                <w:kern w:val="0"/>
                <w:sz w:val="21"/>
                <w:szCs w:val="21"/>
                <w:highlight w:val="none"/>
                <w:u w:val="none" w:color="auto"/>
                <w:vertAlign w:val="subscript"/>
                <w:lang w:bidi="ar"/>
                <w14:textFill>
                  <w14:solidFill>
                    <w14:schemeClr w14:val="tx1"/>
                  </w14:solidFill>
                </w14:textFill>
              </w:rPr>
              <w:t>消</w:t>
            </w:r>
          </w:p>
          <w:p w14:paraId="772F2B1D">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u w:val="none" w:color="auto"/>
                <w:lang w:bidi="ar"/>
                <w14:textFill>
                  <w14:solidFill>
                    <w14:schemeClr w14:val="tx1"/>
                  </w14:solidFill>
                </w14:textFill>
              </w:rPr>
              <w:t>Q 消—发生事故时的储罐或装置同时使用的消防设施给水流量，m</w:t>
            </w:r>
            <w:r>
              <w:rPr>
                <w:rFonts w:hint="default" w:ascii="Times New Roman" w:hAnsi="Times New Roman" w:eastAsia="宋体" w:cs="Times New Roman"/>
                <w:color w:val="000000" w:themeColor="text1"/>
                <w:kern w:val="0"/>
                <w:sz w:val="21"/>
                <w:szCs w:val="21"/>
                <w:highlight w:val="none"/>
                <w:u w:val="none" w:color="auto"/>
                <w:vertAlign w:val="superscript"/>
                <w:lang w:bidi="ar"/>
                <w14:textFill>
                  <w14:solidFill>
                    <w14:schemeClr w14:val="tx1"/>
                  </w14:solidFill>
                </w14:textFill>
              </w:rPr>
              <w:t>3</w:t>
            </w:r>
            <w:r>
              <w:rPr>
                <w:rFonts w:hint="default" w:ascii="Times New Roman" w:hAnsi="Times New Roman" w:eastAsia="宋体" w:cs="Times New Roman"/>
                <w:color w:val="000000" w:themeColor="text1"/>
                <w:kern w:val="0"/>
                <w:sz w:val="21"/>
                <w:szCs w:val="21"/>
                <w:highlight w:val="none"/>
                <w:u w:val="none" w:color="auto"/>
                <w:lang w:bidi="ar"/>
                <w14:textFill>
                  <w14:solidFill>
                    <w14:schemeClr w14:val="tx1"/>
                  </w14:solidFill>
                </w14:textFill>
              </w:rPr>
              <w:t xml:space="preserve">/h；综合考虑灭火喷淋消防给水量，取10L/s； </w:t>
            </w:r>
          </w:p>
          <w:p w14:paraId="52271F25">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u w:val="none" w:color="auto"/>
                <w:lang w:bidi="ar"/>
                <w14:textFill>
                  <w14:solidFill>
                    <w14:schemeClr w14:val="tx1"/>
                  </w14:solidFill>
                </w14:textFill>
              </w:rPr>
              <w:t>t消—消防设施对应的设计消防历时（h），取2.0h；</w:t>
            </w:r>
          </w:p>
          <w:p w14:paraId="7E14E85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right="0"/>
              <w:jc w:val="both"/>
              <w:textAlignment w:val="auto"/>
              <w:outlineLvl w:val="9"/>
              <w:rPr>
                <w:rFonts w:hint="default" w:ascii="Times New Roman" w:hAnsi="Times New Roman" w:eastAsia="宋体" w:cs="Times New Roman"/>
                <w:color w:val="7030A0"/>
                <w:sz w:val="21"/>
                <w:szCs w:val="21"/>
                <w:highlight w:val="none"/>
                <w:u w:val="none" w:color="auto"/>
              </w:rPr>
            </w:pPr>
            <w:r>
              <w:rPr>
                <w:rFonts w:hint="default" w:ascii="Times New Roman" w:hAnsi="Times New Roman" w:eastAsia="宋体" w:cs="Times New Roman"/>
                <w:color w:val="000000" w:themeColor="text1"/>
                <w:kern w:val="0"/>
                <w:sz w:val="21"/>
                <w:szCs w:val="21"/>
                <w:highlight w:val="none"/>
                <w:u w:val="none" w:color="auto"/>
                <w:lang w:bidi="ar"/>
                <w14:textFill>
                  <w14:solidFill>
                    <w14:schemeClr w14:val="tx1"/>
                  </w14:solidFill>
                </w14:textFill>
              </w:rPr>
              <w:t>经计算，消防用水量为72m</w:t>
            </w:r>
            <w:r>
              <w:rPr>
                <w:rFonts w:hint="default" w:ascii="Times New Roman" w:hAnsi="Times New Roman" w:eastAsia="宋体" w:cs="Times New Roman"/>
                <w:color w:val="000000" w:themeColor="text1"/>
                <w:kern w:val="0"/>
                <w:sz w:val="21"/>
                <w:szCs w:val="21"/>
                <w:highlight w:val="none"/>
                <w:u w:val="none" w:color="auto"/>
                <w:vertAlign w:val="superscript"/>
                <w:lang w:bidi="ar"/>
                <w14:textFill>
                  <w14:solidFill>
                    <w14:schemeClr w14:val="tx1"/>
                  </w14:solidFill>
                </w14:textFill>
              </w:rPr>
              <w:t>3</w:t>
            </w:r>
            <w:r>
              <w:rPr>
                <w:rFonts w:hint="default" w:ascii="Times New Roman" w:hAnsi="Times New Roman" w:eastAsia="宋体" w:cs="Times New Roman"/>
                <w:color w:val="000000" w:themeColor="text1"/>
                <w:kern w:val="0"/>
                <w:sz w:val="21"/>
                <w:szCs w:val="21"/>
                <w:highlight w:val="none"/>
                <w:u w:val="none" w:color="auto"/>
                <w:lang w:bidi="ar"/>
                <w14:textFill>
                  <w14:solidFill>
                    <w14:schemeClr w14:val="tx1"/>
                  </w14:solidFill>
                </w14:textFill>
              </w:rPr>
              <w:t>。项目设计1座100m</w:t>
            </w:r>
            <w:r>
              <w:rPr>
                <w:rFonts w:hint="default" w:ascii="Times New Roman" w:hAnsi="Times New Roman" w:eastAsia="宋体" w:cs="Times New Roman"/>
                <w:color w:val="000000" w:themeColor="text1"/>
                <w:kern w:val="0"/>
                <w:sz w:val="21"/>
                <w:szCs w:val="21"/>
                <w:highlight w:val="none"/>
                <w:u w:val="none" w:color="auto"/>
                <w:vertAlign w:val="superscript"/>
                <w:lang w:bidi="ar"/>
                <w14:textFill>
                  <w14:solidFill>
                    <w14:schemeClr w14:val="tx1"/>
                  </w14:solidFill>
                </w14:textFill>
              </w:rPr>
              <w:t>3</w:t>
            </w:r>
            <w:r>
              <w:rPr>
                <w:rFonts w:hint="default" w:ascii="Times New Roman" w:hAnsi="Times New Roman" w:eastAsia="宋体" w:cs="Times New Roman"/>
                <w:color w:val="000000" w:themeColor="text1"/>
                <w:kern w:val="0"/>
                <w:sz w:val="21"/>
                <w:szCs w:val="21"/>
                <w:highlight w:val="none"/>
                <w:u w:val="none" w:color="auto"/>
                <w:lang w:bidi="ar"/>
                <w14:textFill>
                  <w14:solidFill>
                    <w14:schemeClr w14:val="tx1"/>
                  </w14:solidFill>
                </w14:textFill>
              </w:rPr>
              <w:t>消防废水池</w:t>
            </w:r>
            <w:r>
              <w:rPr>
                <w:rFonts w:hint="default" w:ascii="Times New Roman" w:hAnsi="Times New Roman" w:eastAsia="宋体" w:cs="Times New Roman"/>
                <w:bCs/>
                <w:color w:val="000000" w:themeColor="text1"/>
                <w:sz w:val="21"/>
                <w:szCs w:val="21"/>
                <w:highlight w:val="none"/>
                <w:u w:val="none" w:color="auto"/>
                <w14:textFill>
                  <w14:solidFill>
                    <w14:schemeClr w14:val="tx1"/>
                  </w14:solidFill>
                </w14:textFill>
              </w:rPr>
              <w:t>，待事故结束后，委托有资质单位对截留的消防废水水质进行检测，若水质满足污水处理厂进水水质要求，将消防废水外运至污水处理厂处理；若水质不能满足污水处理厂进水水质要求，将消防废水外运委托有资质单位处理。</w:t>
            </w:r>
          </w:p>
        </w:tc>
      </w:tr>
      <w:tr w14:paraId="21813C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01" w:type="pct"/>
            <w:noWrap w:val="0"/>
            <w:tcMar>
              <w:top w:w="57" w:type="dxa"/>
              <w:bottom w:w="57" w:type="dxa"/>
            </w:tcMar>
            <w:vAlign w:val="center"/>
          </w:tcPr>
          <w:p w14:paraId="1592E836">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jc w:val="center"/>
              <w:outlineLvl w:val="9"/>
              <w:rPr>
                <w:rFonts w:hint="default" w:ascii="Times New Roman" w:hAnsi="Times New Roman" w:eastAsia="宋体" w:cs="Times New Roman"/>
                <w:color w:val="000000" w:themeColor="text1"/>
                <w:spacing w:val="-8"/>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pacing w:val="-8"/>
                <w:sz w:val="21"/>
                <w:szCs w:val="21"/>
                <w:highlight w:val="none"/>
                <w:u w:val="none" w:color="auto"/>
                <w14:textFill>
                  <w14:solidFill>
                    <w14:schemeClr w14:val="tx1"/>
                  </w14:solidFill>
                </w14:textFill>
              </w:rPr>
              <w:t>其他环境</w:t>
            </w:r>
          </w:p>
          <w:p w14:paraId="363F943E">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jc w:val="center"/>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pacing w:val="-8"/>
                <w:sz w:val="21"/>
                <w:szCs w:val="21"/>
                <w:highlight w:val="none"/>
                <w:u w:val="none" w:color="auto"/>
                <w14:textFill>
                  <w14:solidFill>
                    <w14:schemeClr w14:val="tx1"/>
                  </w14:solidFill>
                </w14:textFill>
              </w:rPr>
              <w:t>管理要求</w:t>
            </w:r>
          </w:p>
        </w:tc>
        <w:tc>
          <w:tcPr>
            <w:tcW w:w="4598" w:type="pct"/>
            <w:gridSpan w:val="6"/>
            <w:noWrap w:val="0"/>
            <w:tcMar>
              <w:top w:w="57" w:type="dxa"/>
              <w:bottom w:w="57" w:type="dxa"/>
            </w:tcMar>
            <w:vAlign w:val="center"/>
          </w:tcPr>
          <w:p w14:paraId="6719EB10">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jc w:val="left"/>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①按照排污许可证申请与核发技术规范要求，企业及时办理排污许可证。</w:t>
            </w:r>
          </w:p>
          <w:p w14:paraId="69F2BCA3">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jc w:val="left"/>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②建立完善的环境管理制度，设立专门环境管理机构，建立完善的环境监测制度。</w:t>
            </w:r>
          </w:p>
          <w:p w14:paraId="62618026">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jc w:val="left"/>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③按照环境监测计划对项目废气、</w:t>
            </w: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远期</w:t>
            </w: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废水、厂界噪声等定期进行监测。</w:t>
            </w:r>
          </w:p>
          <w:p w14:paraId="1265B764">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jc w:val="left"/>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④废气排气筒预留监测口并设立相应标志牌。</w:t>
            </w:r>
          </w:p>
          <w:p w14:paraId="09C7582F">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jc w:val="left"/>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⑤按照《固定源废气监测技术规范》（HJ/T 397-2007）要求设置采样口。</w:t>
            </w:r>
          </w:p>
          <w:p w14:paraId="5EC56F4C">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jc w:val="left"/>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⑥一般工业固废贮存设施按照《环境保护图形标志》的规定设置警示标志。</w:t>
            </w:r>
          </w:p>
        </w:tc>
      </w:tr>
    </w:tbl>
    <w:p w14:paraId="01F40D55">
      <w:pPr>
        <w:pStyle w:val="27"/>
        <w:jc w:val="center"/>
        <w:outlineLvl w:val="0"/>
        <w:rPr>
          <w:rFonts w:hint="default" w:ascii="Times New Roman" w:hAnsi="Times New Roman" w:eastAsia="宋体" w:cs="Times New Roman"/>
          <w:snapToGrid w:val="0"/>
          <w:color w:val="7030A0"/>
          <w:sz w:val="24"/>
          <w:szCs w:val="24"/>
          <w:highlight w:val="none"/>
          <w:u w:val="none" w:color="auto"/>
        </w:rPr>
      </w:pPr>
      <w:r>
        <w:rPr>
          <w:rFonts w:hint="default" w:ascii="Times New Roman" w:hAnsi="Times New Roman" w:eastAsia="宋体" w:cs="Times New Roman"/>
          <w:snapToGrid w:val="0"/>
          <w:color w:val="7030A0"/>
          <w:sz w:val="24"/>
          <w:szCs w:val="24"/>
          <w:highlight w:val="none"/>
          <w:u w:val="none" w:color="auto"/>
        </w:rPr>
        <w:br w:type="page"/>
      </w:r>
      <w:bookmarkStart w:id="78" w:name="_Toc7564"/>
      <w:bookmarkStart w:id="79" w:name="_Toc4323"/>
      <w:r>
        <w:rPr>
          <w:rStyle w:val="34"/>
          <w:rFonts w:hint="default"/>
          <w:color w:val="000000" w:themeColor="text1"/>
          <w14:textFill>
            <w14:solidFill>
              <w14:schemeClr w14:val="tx1"/>
            </w14:solidFill>
          </w14:textFill>
        </w:rPr>
        <w:t>六、结论</w:t>
      </w:r>
      <w:bookmarkEnd w:id="78"/>
      <w:bookmarkEnd w:id="79"/>
    </w:p>
    <w:tbl>
      <w:tblPr>
        <w:tblStyle w:val="29"/>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082"/>
      </w:tblGrid>
      <w:tr w14:paraId="25BA6C8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189" w:hRule="atLeast"/>
          <w:jc w:val="center"/>
        </w:trPr>
        <w:tc>
          <w:tcPr>
            <w:tcW w:w="9082" w:type="dxa"/>
            <w:noWrap w:val="0"/>
            <w:vAlign w:val="center"/>
          </w:tcPr>
          <w:p w14:paraId="622458E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80" w:lineRule="exact"/>
              <w:ind w:left="0" w:right="0" w:firstLine="480" w:firstLineChars="200"/>
              <w:textAlignment w:val="auto"/>
              <w:rPr>
                <w:rFonts w:hint="default" w:ascii="Times New Roman" w:hAnsi="Times New Roman" w:eastAsia="宋体" w:cs="Times New Roman"/>
                <w:color w:val="7030A0"/>
                <w:sz w:val="24"/>
                <w:szCs w:val="24"/>
                <w:highlight w:val="none"/>
                <w:u w:val="none" w:color="auto"/>
              </w:rPr>
            </w:pP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综上所述，本项目建设符合国家产业政策和环保政策要求，项目选址符合土地利用要求</w:t>
            </w:r>
            <w:r>
              <w:rPr>
                <w:rFonts w:hint="default" w:ascii="Times New Roman" w:hAnsi="Times New Roman" w:eastAsia="宋体" w:cs="Times New Roman"/>
                <w:color w:val="000000" w:themeColor="text1"/>
                <w:sz w:val="24"/>
                <w:szCs w:val="24"/>
                <w:highlight w:val="none"/>
                <w:u w:val="none" w:color="auto"/>
                <w:lang w:val="en-US" w:eastAsia="zh-CN"/>
                <w14:textFill>
                  <w14:solidFill>
                    <w14:schemeClr w14:val="tx1"/>
                  </w14:solidFill>
                </w14:textFill>
              </w:rPr>
              <w:t>及相关规划</w:t>
            </w: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项目选址及平面布局合理，各项污染防治措施得当；在认真贯彻执行国家相关环保法律、法规，严格落实环评要求的各项污染防治措施，加强企业环境管理的情况下，污染物可以达标排放，对环境影响较小。从环境保护角度考虑，评价认为本项目的建设是可行的</w:t>
            </w:r>
            <w:r>
              <w:rPr>
                <w:rFonts w:hint="default" w:ascii="Times New Roman" w:hAnsi="Times New Roman" w:eastAsia="宋体" w:cs="Times New Roman"/>
                <w:color w:val="000000" w:themeColor="text1"/>
                <w:sz w:val="24"/>
                <w:szCs w:val="24"/>
                <w:highlight w:val="none"/>
                <w:u w:val="none" w:color="auto"/>
                <w:lang w:eastAsia="zh-CN"/>
                <w14:textFill>
                  <w14:solidFill>
                    <w14:schemeClr w14:val="tx1"/>
                  </w14:solidFill>
                </w14:textFill>
              </w:rPr>
              <w:t>。</w:t>
            </w:r>
          </w:p>
        </w:tc>
      </w:tr>
    </w:tbl>
    <w:p w14:paraId="03B3CF48">
      <w:pPr>
        <w:rPr>
          <w:rFonts w:hint="default" w:ascii="Times New Roman" w:hAnsi="Times New Roman" w:eastAsia="宋体" w:cs="Times New Roman"/>
          <w:color w:val="7030A0"/>
          <w:sz w:val="24"/>
          <w:szCs w:val="24"/>
          <w:highlight w:val="none"/>
          <w:u w:val="none" w:color="auto"/>
        </w:rPr>
        <w:sectPr>
          <w:pgSz w:w="11906" w:h="16838"/>
          <w:pgMar w:top="1440" w:right="1083" w:bottom="1440" w:left="1083" w:header="851" w:footer="850" w:gutter="0"/>
          <w:pgBorders>
            <w:top w:val="none" w:sz="0" w:space="0"/>
            <w:left w:val="none" w:sz="0" w:space="0"/>
            <w:bottom w:val="none" w:sz="0" w:space="0"/>
            <w:right w:val="none" w:sz="0" w:space="0"/>
          </w:pgBorders>
          <w:pgNumType w:fmt="decimal"/>
          <w:cols w:space="0" w:num="1"/>
          <w:rtlGutter w:val="0"/>
          <w:docGrid w:linePitch="312" w:charSpace="0"/>
        </w:sectPr>
      </w:pPr>
    </w:p>
    <w:p w14:paraId="155998EE">
      <w:pPr>
        <w:pStyle w:val="2"/>
        <w:keepNext/>
        <w:keepLines/>
        <w:pageBreakBefore w:val="0"/>
        <w:widowControl w:val="0"/>
        <w:kinsoku/>
        <w:wordWrap/>
        <w:overflowPunct/>
        <w:topLinePunct w:val="0"/>
        <w:autoSpaceDE w:val="0"/>
        <w:autoSpaceDN w:val="0"/>
        <w:bidi w:val="0"/>
        <w:adjustRightInd/>
        <w:snapToGrid/>
        <w:spacing w:before="0" w:after="0" w:line="360" w:lineRule="auto"/>
        <w:jc w:val="left"/>
        <w:textAlignment w:val="auto"/>
        <w:rPr>
          <w:rFonts w:hint="default"/>
          <w:color w:val="000000" w:themeColor="text1"/>
          <w14:textFill>
            <w14:solidFill>
              <w14:schemeClr w14:val="tx1"/>
            </w14:solidFill>
          </w14:textFill>
        </w:rPr>
      </w:pPr>
      <w:bookmarkStart w:id="80" w:name="_Toc25653"/>
      <w:bookmarkStart w:id="81" w:name="_Toc30400"/>
      <w:r>
        <w:rPr>
          <w:rFonts w:hint="default"/>
          <w:color w:val="000000" w:themeColor="text1"/>
          <w14:textFill>
            <w14:solidFill>
              <w14:schemeClr w14:val="tx1"/>
            </w14:solidFill>
          </w14:textFill>
        </w:rPr>
        <w:t>附表</w:t>
      </w:r>
      <w:bookmarkEnd w:id="80"/>
      <w:bookmarkEnd w:id="81"/>
    </w:p>
    <w:p w14:paraId="610FFCD5">
      <w:pPr>
        <w:bidi w:val="0"/>
        <w:jc w:val="center"/>
        <w:rPr>
          <w:rFonts w:hint="default"/>
          <w:b/>
          <w:bCs/>
          <w:sz w:val="32"/>
          <w:szCs w:val="32"/>
        </w:rPr>
      </w:pPr>
      <w:bookmarkStart w:id="82" w:name="_Toc10411"/>
      <w:bookmarkStart w:id="83" w:name="_Toc7407"/>
      <w:r>
        <w:rPr>
          <w:rFonts w:hint="default"/>
          <w:b/>
          <w:bCs/>
          <w:sz w:val="32"/>
          <w:szCs w:val="32"/>
        </w:rPr>
        <w:t>建设项目污染物排放量汇总表</w:t>
      </w:r>
      <w:bookmarkEnd w:id="82"/>
      <w:bookmarkEnd w:id="83"/>
    </w:p>
    <w:tbl>
      <w:tblPr>
        <w:tblStyle w:val="29"/>
        <w:tblW w:w="5027"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275"/>
        <w:gridCol w:w="2107"/>
        <w:gridCol w:w="1537"/>
        <w:gridCol w:w="1111"/>
        <w:gridCol w:w="1535"/>
        <w:gridCol w:w="1537"/>
        <w:gridCol w:w="1554"/>
        <w:gridCol w:w="2093"/>
        <w:gridCol w:w="1341"/>
      </w:tblGrid>
      <w:tr w14:paraId="31B8C49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2" w:type="pct"/>
            <w:tcBorders>
              <w:tl2br w:val="single" w:color="auto" w:sz="4" w:space="0"/>
            </w:tcBorders>
            <w:noWrap w:val="0"/>
            <w:tcMar>
              <w:left w:w="28" w:type="dxa"/>
              <w:right w:w="28" w:type="dxa"/>
            </w:tcMar>
            <w:vAlign w:val="center"/>
          </w:tcPr>
          <w:p w14:paraId="128FC6D2">
            <w:pPr>
              <w:pStyle w:val="3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rPr>
                <w:rFonts w:hint="default" w:ascii="Times New Roman" w:hAnsi="Times New Roman" w:eastAsia="宋体" w:cs="Times New Roman"/>
                <w:b w:val="0"/>
                <w:bCs/>
                <w:snapToGrid w:val="0"/>
                <w:color w:val="000000" w:themeColor="text1"/>
                <w:kern w:val="21"/>
                <w:sz w:val="21"/>
                <w:szCs w:val="21"/>
                <w:highlight w:val="none"/>
                <w:u w:val="none" w:color="auto"/>
                <w14:textFill>
                  <w14:solidFill>
                    <w14:schemeClr w14:val="tx1"/>
                  </w14:solidFill>
                </w14:textFill>
              </w:rPr>
            </w:pPr>
            <w:r>
              <w:rPr>
                <w:rFonts w:hint="default" w:ascii="Times New Roman" w:hAnsi="Times New Roman" w:eastAsia="宋体" w:cs="Times New Roman"/>
                <w:b w:val="0"/>
                <w:bCs/>
                <w:snapToGrid w:val="0"/>
                <w:color w:val="000000" w:themeColor="text1"/>
                <w:kern w:val="21"/>
                <w:sz w:val="21"/>
                <w:szCs w:val="21"/>
                <w:highlight w:val="none"/>
                <w:u w:val="none" w:color="auto"/>
                <w14:textFill>
                  <w14:solidFill>
                    <w14:schemeClr w14:val="tx1"/>
                  </w14:solidFill>
                </w14:textFill>
              </w:rPr>
              <w:t>项目</w:t>
            </w:r>
          </w:p>
          <w:p w14:paraId="53F39D2C">
            <w:pPr>
              <w:pStyle w:val="3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rPr>
                <w:rFonts w:hint="default" w:ascii="Times New Roman" w:hAnsi="Times New Roman" w:eastAsia="宋体" w:cs="Times New Roman"/>
                <w:b w:val="0"/>
                <w:bCs/>
                <w:snapToGrid w:val="0"/>
                <w:color w:val="000000" w:themeColor="text1"/>
                <w:kern w:val="21"/>
                <w:sz w:val="21"/>
                <w:szCs w:val="21"/>
                <w:highlight w:val="none"/>
                <w:u w:val="none" w:color="auto"/>
                <w14:textFill>
                  <w14:solidFill>
                    <w14:schemeClr w14:val="tx1"/>
                  </w14:solidFill>
                </w14:textFill>
              </w:rPr>
            </w:pPr>
            <w:r>
              <w:rPr>
                <w:rFonts w:hint="default" w:ascii="Times New Roman" w:hAnsi="Times New Roman" w:eastAsia="宋体" w:cs="Times New Roman"/>
                <w:b w:val="0"/>
                <w:bCs/>
                <w:snapToGrid w:val="0"/>
                <w:color w:val="000000" w:themeColor="text1"/>
                <w:kern w:val="21"/>
                <w:sz w:val="21"/>
                <w:szCs w:val="21"/>
                <w:highlight w:val="none"/>
                <w:u w:val="none" w:color="auto"/>
                <w14:textFill>
                  <w14:solidFill>
                    <w14:schemeClr w14:val="tx1"/>
                  </w14:solidFill>
                </w14:textFill>
              </w:rPr>
              <w:t>分类</w:t>
            </w:r>
          </w:p>
        </w:tc>
        <w:tc>
          <w:tcPr>
            <w:tcW w:w="747" w:type="pct"/>
            <w:noWrap w:val="0"/>
            <w:tcMar>
              <w:left w:w="28" w:type="dxa"/>
              <w:right w:w="28" w:type="dxa"/>
            </w:tcMar>
            <w:vAlign w:val="center"/>
          </w:tcPr>
          <w:p w14:paraId="5C5F8F28">
            <w:pPr>
              <w:pStyle w:val="3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rPr>
                <w:rFonts w:hint="default" w:ascii="Times New Roman" w:hAnsi="Times New Roman" w:eastAsia="宋体" w:cs="Times New Roman"/>
                <w:b w:val="0"/>
                <w:bCs/>
                <w:snapToGrid w:val="0"/>
                <w:color w:val="000000" w:themeColor="text1"/>
                <w:kern w:val="21"/>
                <w:sz w:val="21"/>
                <w:szCs w:val="21"/>
                <w:highlight w:val="none"/>
                <w:u w:val="none" w:color="auto"/>
                <w14:textFill>
                  <w14:solidFill>
                    <w14:schemeClr w14:val="tx1"/>
                  </w14:solidFill>
                </w14:textFill>
              </w:rPr>
            </w:pPr>
            <w:r>
              <w:rPr>
                <w:rFonts w:hint="default" w:ascii="Times New Roman" w:hAnsi="Times New Roman" w:eastAsia="宋体" w:cs="Times New Roman"/>
                <w:b w:val="0"/>
                <w:bCs/>
                <w:snapToGrid w:val="0"/>
                <w:color w:val="000000" w:themeColor="text1"/>
                <w:kern w:val="21"/>
                <w:sz w:val="21"/>
                <w:szCs w:val="21"/>
                <w:highlight w:val="none"/>
                <w:u w:val="none" w:color="auto"/>
                <w14:textFill>
                  <w14:solidFill>
                    <w14:schemeClr w14:val="tx1"/>
                  </w14:solidFill>
                </w14:textFill>
              </w:rPr>
              <w:t>污染物名称</w:t>
            </w:r>
          </w:p>
        </w:tc>
        <w:tc>
          <w:tcPr>
            <w:tcW w:w="545" w:type="pct"/>
            <w:noWrap w:val="0"/>
            <w:tcMar>
              <w:left w:w="28" w:type="dxa"/>
              <w:right w:w="28" w:type="dxa"/>
            </w:tcMar>
            <w:vAlign w:val="center"/>
          </w:tcPr>
          <w:p w14:paraId="3781300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val="0"/>
                <w:bCs/>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u w:val="none" w:color="auto"/>
                <w14:textFill>
                  <w14:solidFill>
                    <w14:schemeClr w14:val="tx1"/>
                  </w14:solidFill>
                </w14:textFill>
              </w:rPr>
              <w:t>现有工程</w:t>
            </w:r>
          </w:p>
          <w:p w14:paraId="36C0AB9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val="0"/>
                <w:bCs/>
                <w:snapToGrid w:val="0"/>
                <w:color w:val="000000" w:themeColor="text1"/>
                <w:kern w:val="21"/>
                <w:sz w:val="21"/>
                <w:szCs w:val="21"/>
                <w:highlight w:val="none"/>
                <w:u w:val="none" w:color="auto"/>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u w:val="none" w:color="auto"/>
                <w14:textFill>
                  <w14:solidFill>
                    <w14:schemeClr w14:val="tx1"/>
                  </w14:solidFill>
                </w14:textFill>
              </w:rPr>
              <w:t>排放量（固体废物产生量）</w:t>
            </w:r>
            <w:r>
              <w:rPr>
                <w:rFonts w:hint="default" w:ascii="Times New Roman" w:hAnsi="Times New Roman" w:eastAsia="宋体" w:cs="Times New Roman"/>
                <w:b w:val="0"/>
                <w:bCs/>
                <w:color w:val="000000" w:themeColor="text1"/>
                <w:sz w:val="21"/>
                <w:szCs w:val="21"/>
                <w:highlight w:val="none"/>
                <w:u w:val="none" w:color="auto"/>
                <w14:textFill>
                  <w14:solidFill>
                    <w14:schemeClr w14:val="tx1"/>
                  </w14:solidFill>
                </w14:textFill>
              </w:rPr>
              <w:fldChar w:fldCharType="begin"/>
            </w:r>
            <w:r>
              <w:rPr>
                <w:rFonts w:hint="default" w:ascii="Times New Roman" w:hAnsi="Times New Roman" w:eastAsia="宋体" w:cs="Times New Roman"/>
                <w:b w:val="0"/>
                <w:bCs/>
                <w:color w:val="000000" w:themeColor="text1"/>
                <w:sz w:val="21"/>
                <w:szCs w:val="21"/>
                <w:highlight w:val="none"/>
                <w:u w:val="none" w:color="auto"/>
                <w14:textFill>
                  <w14:solidFill>
                    <w14:schemeClr w14:val="tx1"/>
                  </w14:solidFill>
                </w14:textFill>
              </w:rPr>
              <w:instrText xml:space="preserve"> = 1 \* GB3 \* MERGEFORMAT </w:instrText>
            </w:r>
            <w:r>
              <w:rPr>
                <w:rFonts w:hint="default" w:ascii="Times New Roman" w:hAnsi="Times New Roman" w:eastAsia="宋体" w:cs="Times New Roman"/>
                <w:b w:val="0"/>
                <w:bCs/>
                <w:color w:val="000000" w:themeColor="text1"/>
                <w:sz w:val="21"/>
                <w:szCs w:val="21"/>
                <w:highlight w:val="none"/>
                <w:u w:val="none" w:color="auto"/>
                <w14:textFill>
                  <w14:solidFill>
                    <w14:schemeClr w14:val="tx1"/>
                  </w14:solidFill>
                </w14:textFill>
              </w:rPr>
              <w:fldChar w:fldCharType="separate"/>
            </w:r>
            <w:r>
              <w:rPr>
                <w:rFonts w:hint="default" w:ascii="Times New Roman" w:hAnsi="Times New Roman" w:eastAsia="宋体" w:cs="Times New Roman"/>
                <w:b w:val="0"/>
                <w:bCs/>
                <w:color w:val="000000" w:themeColor="text1"/>
                <w:sz w:val="21"/>
                <w:szCs w:val="21"/>
                <w:highlight w:val="none"/>
                <w:u w:val="none" w:color="auto"/>
                <w14:textFill>
                  <w14:solidFill>
                    <w14:schemeClr w14:val="tx1"/>
                  </w14:solidFill>
                </w14:textFill>
              </w:rPr>
              <w:t>①</w:t>
            </w:r>
            <w:r>
              <w:rPr>
                <w:rFonts w:hint="default" w:ascii="Times New Roman" w:hAnsi="Times New Roman" w:eastAsia="宋体" w:cs="Times New Roman"/>
                <w:b w:val="0"/>
                <w:bCs/>
                <w:color w:val="000000" w:themeColor="text1"/>
                <w:sz w:val="21"/>
                <w:szCs w:val="21"/>
                <w:highlight w:val="none"/>
                <w:u w:val="none" w:color="auto"/>
                <w14:textFill>
                  <w14:solidFill>
                    <w14:schemeClr w14:val="tx1"/>
                  </w14:solidFill>
                </w14:textFill>
              </w:rPr>
              <w:fldChar w:fldCharType="end"/>
            </w:r>
          </w:p>
        </w:tc>
        <w:tc>
          <w:tcPr>
            <w:tcW w:w="394" w:type="pct"/>
            <w:noWrap w:val="0"/>
            <w:tcMar>
              <w:left w:w="28" w:type="dxa"/>
              <w:right w:w="28" w:type="dxa"/>
            </w:tcMar>
            <w:vAlign w:val="center"/>
          </w:tcPr>
          <w:p w14:paraId="151F5600">
            <w:pPr>
              <w:pStyle w:val="3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rPr>
                <w:rFonts w:hint="default" w:ascii="Times New Roman" w:hAnsi="Times New Roman" w:eastAsia="宋体" w:cs="Times New Roman"/>
                <w:b w:val="0"/>
                <w:bCs/>
                <w:snapToGrid w:val="0"/>
                <w:color w:val="000000" w:themeColor="text1"/>
                <w:kern w:val="21"/>
                <w:sz w:val="21"/>
                <w:szCs w:val="21"/>
                <w:highlight w:val="none"/>
                <w:u w:val="none" w:color="auto"/>
                <w14:textFill>
                  <w14:solidFill>
                    <w14:schemeClr w14:val="tx1"/>
                  </w14:solidFill>
                </w14:textFill>
              </w:rPr>
            </w:pPr>
            <w:r>
              <w:rPr>
                <w:rFonts w:hint="default" w:ascii="Times New Roman" w:hAnsi="Times New Roman" w:eastAsia="宋体" w:cs="Times New Roman"/>
                <w:b w:val="0"/>
                <w:bCs/>
                <w:snapToGrid w:val="0"/>
                <w:color w:val="000000" w:themeColor="text1"/>
                <w:kern w:val="21"/>
                <w:sz w:val="21"/>
                <w:szCs w:val="21"/>
                <w:highlight w:val="none"/>
                <w:u w:val="none" w:color="auto"/>
                <w14:textFill>
                  <w14:solidFill>
                    <w14:schemeClr w14:val="tx1"/>
                  </w14:solidFill>
                </w14:textFill>
              </w:rPr>
              <w:t>现有工程</w:t>
            </w:r>
          </w:p>
          <w:p w14:paraId="76ED104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val="0"/>
                <w:bCs/>
                <w:snapToGrid w:val="0"/>
                <w:color w:val="000000" w:themeColor="text1"/>
                <w:kern w:val="21"/>
                <w:sz w:val="21"/>
                <w:szCs w:val="21"/>
                <w:highlight w:val="none"/>
                <w:u w:val="none" w:color="auto"/>
                <w14:textFill>
                  <w14:solidFill>
                    <w14:schemeClr w14:val="tx1"/>
                  </w14:solidFill>
                </w14:textFill>
              </w:rPr>
            </w:pPr>
            <w:r>
              <w:rPr>
                <w:rFonts w:hint="default" w:ascii="Times New Roman" w:hAnsi="Times New Roman" w:eastAsia="宋体" w:cs="Times New Roman"/>
                <w:b w:val="0"/>
                <w:bCs/>
                <w:snapToGrid w:val="0"/>
                <w:color w:val="000000" w:themeColor="text1"/>
                <w:kern w:val="21"/>
                <w:sz w:val="21"/>
                <w:szCs w:val="21"/>
                <w:highlight w:val="none"/>
                <w:u w:val="none" w:color="auto"/>
                <w14:textFill>
                  <w14:solidFill>
                    <w14:schemeClr w14:val="tx1"/>
                  </w14:solidFill>
                </w14:textFill>
              </w:rPr>
              <w:t>许可</w:t>
            </w:r>
            <w:r>
              <w:rPr>
                <w:rFonts w:hint="default" w:ascii="Times New Roman" w:hAnsi="Times New Roman" w:eastAsia="宋体" w:cs="Times New Roman"/>
                <w:b w:val="0"/>
                <w:bCs/>
                <w:color w:val="000000" w:themeColor="text1"/>
                <w:sz w:val="21"/>
                <w:szCs w:val="21"/>
                <w:highlight w:val="none"/>
                <w:u w:val="none" w:color="auto"/>
                <w14:textFill>
                  <w14:solidFill>
                    <w14:schemeClr w14:val="tx1"/>
                  </w14:solidFill>
                </w14:textFill>
              </w:rPr>
              <w:t>排放量</w:t>
            </w:r>
            <w:r>
              <w:rPr>
                <w:rFonts w:hint="default" w:ascii="Times New Roman" w:hAnsi="Times New Roman" w:eastAsia="宋体" w:cs="Times New Roman"/>
                <w:b w:val="0"/>
                <w:bCs/>
                <w:snapToGrid w:val="0"/>
                <w:color w:val="000000" w:themeColor="text1"/>
                <w:kern w:val="21"/>
                <w:sz w:val="21"/>
                <w:szCs w:val="21"/>
                <w:highlight w:val="none"/>
                <w:u w:val="none" w:color="auto"/>
                <w14:textFill>
                  <w14:solidFill>
                    <w14:schemeClr w14:val="tx1"/>
                  </w14:solidFill>
                </w14:textFill>
              </w:rPr>
              <w:fldChar w:fldCharType="begin"/>
            </w:r>
            <w:r>
              <w:rPr>
                <w:rFonts w:hint="default" w:ascii="Times New Roman" w:hAnsi="Times New Roman" w:eastAsia="宋体" w:cs="Times New Roman"/>
                <w:b w:val="0"/>
                <w:bCs/>
                <w:snapToGrid w:val="0"/>
                <w:color w:val="000000" w:themeColor="text1"/>
                <w:kern w:val="21"/>
                <w:sz w:val="21"/>
                <w:szCs w:val="21"/>
                <w:highlight w:val="none"/>
                <w:u w:val="none" w:color="auto"/>
                <w14:textFill>
                  <w14:solidFill>
                    <w14:schemeClr w14:val="tx1"/>
                  </w14:solidFill>
                </w14:textFill>
              </w:rPr>
              <w:instrText xml:space="preserve"> = 2 \* GB3 \* MERGEFORMAT </w:instrText>
            </w:r>
            <w:r>
              <w:rPr>
                <w:rFonts w:hint="default" w:ascii="Times New Roman" w:hAnsi="Times New Roman" w:eastAsia="宋体" w:cs="Times New Roman"/>
                <w:b w:val="0"/>
                <w:bCs/>
                <w:snapToGrid w:val="0"/>
                <w:color w:val="000000" w:themeColor="text1"/>
                <w:kern w:val="21"/>
                <w:sz w:val="21"/>
                <w:szCs w:val="21"/>
                <w:highlight w:val="none"/>
                <w:u w:val="none" w:color="auto"/>
                <w14:textFill>
                  <w14:solidFill>
                    <w14:schemeClr w14:val="tx1"/>
                  </w14:solidFill>
                </w14:textFill>
              </w:rPr>
              <w:fldChar w:fldCharType="separate"/>
            </w:r>
            <w:r>
              <w:rPr>
                <w:rFonts w:hint="default" w:ascii="Times New Roman" w:hAnsi="Times New Roman" w:eastAsia="宋体" w:cs="Times New Roman"/>
                <w:b w:val="0"/>
                <w:bCs/>
                <w:snapToGrid w:val="0"/>
                <w:color w:val="000000" w:themeColor="text1"/>
                <w:kern w:val="21"/>
                <w:sz w:val="21"/>
                <w:szCs w:val="21"/>
                <w:highlight w:val="none"/>
                <w:u w:val="none" w:color="auto"/>
                <w14:textFill>
                  <w14:solidFill>
                    <w14:schemeClr w14:val="tx1"/>
                  </w14:solidFill>
                </w14:textFill>
              </w:rPr>
              <w:t>②</w:t>
            </w:r>
            <w:r>
              <w:rPr>
                <w:rFonts w:hint="default" w:ascii="Times New Roman" w:hAnsi="Times New Roman" w:eastAsia="宋体" w:cs="Times New Roman"/>
                <w:b w:val="0"/>
                <w:bCs/>
                <w:snapToGrid w:val="0"/>
                <w:color w:val="000000" w:themeColor="text1"/>
                <w:kern w:val="21"/>
                <w:sz w:val="21"/>
                <w:szCs w:val="21"/>
                <w:highlight w:val="none"/>
                <w:u w:val="none" w:color="auto"/>
                <w14:textFill>
                  <w14:solidFill>
                    <w14:schemeClr w14:val="tx1"/>
                  </w14:solidFill>
                </w14:textFill>
              </w:rPr>
              <w:fldChar w:fldCharType="end"/>
            </w:r>
          </w:p>
        </w:tc>
        <w:tc>
          <w:tcPr>
            <w:tcW w:w="544" w:type="pct"/>
            <w:noWrap w:val="0"/>
            <w:tcMar>
              <w:left w:w="28" w:type="dxa"/>
              <w:right w:w="28" w:type="dxa"/>
            </w:tcMar>
            <w:vAlign w:val="center"/>
          </w:tcPr>
          <w:p w14:paraId="12B354D8">
            <w:pPr>
              <w:pStyle w:val="3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rPr>
                <w:rFonts w:hint="default" w:ascii="Times New Roman" w:hAnsi="Times New Roman" w:eastAsia="宋体" w:cs="Times New Roman"/>
                <w:b w:val="0"/>
                <w:bCs/>
                <w:snapToGrid w:val="0"/>
                <w:color w:val="000000" w:themeColor="text1"/>
                <w:kern w:val="21"/>
                <w:sz w:val="21"/>
                <w:szCs w:val="21"/>
                <w:highlight w:val="none"/>
                <w:u w:val="none" w:color="auto"/>
                <w14:textFill>
                  <w14:solidFill>
                    <w14:schemeClr w14:val="tx1"/>
                  </w14:solidFill>
                </w14:textFill>
              </w:rPr>
            </w:pPr>
            <w:r>
              <w:rPr>
                <w:rFonts w:hint="default" w:ascii="Times New Roman" w:hAnsi="Times New Roman" w:eastAsia="宋体" w:cs="Times New Roman"/>
                <w:b w:val="0"/>
                <w:bCs/>
                <w:snapToGrid w:val="0"/>
                <w:color w:val="000000" w:themeColor="text1"/>
                <w:kern w:val="21"/>
                <w:sz w:val="21"/>
                <w:szCs w:val="21"/>
                <w:highlight w:val="none"/>
                <w:u w:val="none" w:color="auto"/>
                <w14:textFill>
                  <w14:solidFill>
                    <w14:schemeClr w14:val="tx1"/>
                  </w14:solidFill>
                </w14:textFill>
              </w:rPr>
              <w:t>在建工程排放量（固体废物产生量）</w:t>
            </w:r>
            <w:r>
              <w:rPr>
                <w:rFonts w:hint="default" w:ascii="Times New Roman" w:hAnsi="Times New Roman" w:eastAsia="宋体" w:cs="Times New Roman"/>
                <w:b w:val="0"/>
                <w:bCs/>
                <w:snapToGrid w:val="0"/>
                <w:color w:val="000000" w:themeColor="text1"/>
                <w:kern w:val="21"/>
                <w:sz w:val="21"/>
                <w:szCs w:val="21"/>
                <w:highlight w:val="none"/>
                <w:u w:val="none" w:color="auto"/>
                <w14:textFill>
                  <w14:solidFill>
                    <w14:schemeClr w14:val="tx1"/>
                  </w14:solidFill>
                </w14:textFill>
              </w:rPr>
              <w:fldChar w:fldCharType="begin"/>
            </w:r>
            <w:r>
              <w:rPr>
                <w:rFonts w:hint="default" w:ascii="Times New Roman" w:hAnsi="Times New Roman" w:eastAsia="宋体" w:cs="Times New Roman"/>
                <w:b w:val="0"/>
                <w:bCs/>
                <w:snapToGrid w:val="0"/>
                <w:color w:val="000000" w:themeColor="text1"/>
                <w:kern w:val="21"/>
                <w:sz w:val="21"/>
                <w:szCs w:val="21"/>
                <w:highlight w:val="none"/>
                <w:u w:val="none" w:color="auto"/>
                <w14:textFill>
                  <w14:solidFill>
                    <w14:schemeClr w14:val="tx1"/>
                  </w14:solidFill>
                </w14:textFill>
              </w:rPr>
              <w:instrText xml:space="preserve"> = 3 \* GB3 \* MERGEFORMAT </w:instrText>
            </w:r>
            <w:r>
              <w:rPr>
                <w:rFonts w:hint="default" w:ascii="Times New Roman" w:hAnsi="Times New Roman" w:eastAsia="宋体" w:cs="Times New Roman"/>
                <w:b w:val="0"/>
                <w:bCs/>
                <w:snapToGrid w:val="0"/>
                <w:color w:val="000000" w:themeColor="text1"/>
                <w:kern w:val="21"/>
                <w:sz w:val="21"/>
                <w:szCs w:val="21"/>
                <w:highlight w:val="none"/>
                <w:u w:val="none" w:color="auto"/>
                <w14:textFill>
                  <w14:solidFill>
                    <w14:schemeClr w14:val="tx1"/>
                  </w14:solidFill>
                </w14:textFill>
              </w:rPr>
              <w:fldChar w:fldCharType="separate"/>
            </w:r>
            <w:r>
              <w:rPr>
                <w:rFonts w:hint="default" w:ascii="Times New Roman" w:hAnsi="Times New Roman" w:eastAsia="宋体" w:cs="Times New Roman"/>
                <w:b w:val="0"/>
                <w:bCs/>
                <w:color w:val="000000" w:themeColor="text1"/>
                <w:kern w:val="21"/>
                <w:sz w:val="21"/>
                <w:szCs w:val="21"/>
                <w:highlight w:val="none"/>
                <w:u w:val="none" w:color="auto"/>
                <w14:textFill>
                  <w14:solidFill>
                    <w14:schemeClr w14:val="tx1"/>
                  </w14:solidFill>
                </w14:textFill>
              </w:rPr>
              <w:t>③</w:t>
            </w:r>
            <w:r>
              <w:rPr>
                <w:rFonts w:hint="default" w:ascii="Times New Roman" w:hAnsi="Times New Roman" w:eastAsia="宋体" w:cs="Times New Roman"/>
                <w:b w:val="0"/>
                <w:bCs/>
                <w:snapToGrid w:val="0"/>
                <w:color w:val="000000" w:themeColor="text1"/>
                <w:kern w:val="21"/>
                <w:sz w:val="21"/>
                <w:szCs w:val="21"/>
                <w:highlight w:val="none"/>
                <w:u w:val="none" w:color="auto"/>
                <w14:textFill>
                  <w14:solidFill>
                    <w14:schemeClr w14:val="tx1"/>
                  </w14:solidFill>
                </w14:textFill>
              </w:rPr>
              <w:fldChar w:fldCharType="end"/>
            </w:r>
          </w:p>
        </w:tc>
        <w:tc>
          <w:tcPr>
            <w:tcW w:w="545" w:type="pct"/>
            <w:noWrap w:val="0"/>
            <w:tcMar>
              <w:left w:w="28" w:type="dxa"/>
              <w:right w:w="28" w:type="dxa"/>
            </w:tcMar>
            <w:vAlign w:val="center"/>
          </w:tcPr>
          <w:p w14:paraId="14560C14">
            <w:pPr>
              <w:pStyle w:val="3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rPr>
                <w:rFonts w:hint="default" w:ascii="Times New Roman" w:hAnsi="Times New Roman" w:eastAsia="宋体" w:cs="Times New Roman"/>
                <w:b w:val="0"/>
                <w:bCs/>
                <w:snapToGrid w:val="0"/>
                <w:color w:val="000000" w:themeColor="text1"/>
                <w:kern w:val="21"/>
                <w:sz w:val="21"/>
                <w:szCs w:val="21"/>
                <w:highlight w:val="none"/>
                <w:u w:val="none" w:color="auto"/>
                <w14:textFill>
                  <w14:solidFill>
                    <w14:schemeClr w14:val="tx1"/>
                  </w14:solidFill>
                </w14:textFill>
              </w:rPr>
            </w:pPr>
            <w:r>
              <w:rPr>
                <w:rFonts w:hint="default" w:ascii="Times New Roman" w:hAnsi="Times New Roman" w:eastAsia="宋体" w:cs="Times New Roman"/>
                <w:b w:val="0"/>
                <w:bCs/>
                <w:snapToGrid w:val="0"/>
                <w:color w:val="000000" w:themeColor="text1"/>
                <w:kern w:val="21"/>
                <w:sz w:val="21"/>
                <w:szCs w:val="21"/>
                <w:highlight w:val="none"/>
                <w:u w:val="none" w:color="auto"/>
                <w14:textFill>
                  <w14:solidFill>
                    <w14:schemeClr w14:val="tx1"/>
                  </w14:solidFill>
                </w14:textFill>
              </w:rPr>
              <w:t>本项目排放量（固体废物产生量）</w:t>
            </w:r>
            <w:r>
              <w:rPr>
                <w:rFonts w:hint="default" w:ascii="Times New Roman" w:hAnsi="Times New Roman" w:eastAsia="宋体" w:cs="Times New Roman"/>
                <w:b w:val="0"/>
                <w:bCs/>
                <w:snapToGrid w:val="0"/>
                <w:color w:val="000000" w:themeColor="text1"/>
                <w:kern w:val="21"/>
                <w:sz w:val="21"/>
                <w:szCs w:val="21"/>
                <w:highlight w:val="none"/>
                <w:u w:val="none" w:color="auto"/>
                <w14:textFill>
                  <w14:solidFill>
                    <w14:schemeClr w14:val="tx1"/>
                  </w14:solidFill>
                </w14:textFill>
              </w:rPr>
              <w:fldChar w:fldCharType="begin"/>
            </w:r>
            <w:r>
              <w:rPr>
                <w:rFonts w:hint="default" w:ascii="Times New Roman" w:hAnsi="Times New Roman" w:eastAsia="宋体" w:cs="Times New Roman"/>
                <w:b w:val="0"/>
                <w:bCs/>
                <w:snapToGrid w:val="0"/>
                <w:color w:val="000000" w:themeColor="text1"/>
                <w:kern w:val="21"/>
                <w:sz w:val="21"/>
                <w:szCs w:val="21"/>
                <w:highlight w:val="none"/>
                <w:u w:val="none" w:color="auto"/>
                <w14:textFill>
                  <w14:solidFill>
                    <w14:schemeClr w14:val="tx1"/>
                  </w14:solidFill>
                </w14:textFill>
              </w:rPr>
              <w:instrText xml:space="preserve"> = 4 \* GB3 \* MERGEFORMAT </w:instrText>
            </w:r>
            <w:r>
              <w:rPr>
                <w:rFonts w:hint="default" w:ascii="Times New Roman" w:hAnsi="Times New Roman" w:eastAsia="宋体" w:cs="Times New Roman"/>
                <w:b w:val="0"/>
                <w:bCs/>
                <w:snapToGrid w:val="0"/>
                <w:color w:val="000000" w:themeColor="text1"/>
                <w:kern w:val="21"/>
                <w:sz w:val="21"/>
                <w:szCs w:val="21"/>
                <w:highlight w:val="none"/>
                <w:u w:val="none" w:color="auto"/>
                <w14:textFill>
                  <w14:solidFill>
                    <w14:schemeClr w14:val="tx1"/>
                  </w14:solidFill>
                </w14:textFill>
              </w:rPr>
              <w:fldChar w:fldCharType="separate"/>
            </w:r>
            <w:r>
              <w:rPr>
                <w:rFonts w:hint="default" w:ascii="Times New Roman" w:hAnsi="Times New Roman" w:eastAsia="宋体" w:cs="Times New Roman"/>
                <w:b w:val="0"/>
                <w:bCs/>
                <w:color w:val="000000" w:themeColor="text1"/>
                <w:kern w:val="21"/>
                <w:sz w:val="21"/>
                <w:szCs w:val="21"/>
                <w:highlight w:val="none"/>
                <w:u w:val="none" w:color="auto"/>
                <w14:textFill>
                  <w14:solidFill>
                    <w14:schemeClr w14:val="tx1"/>
                  </w14:solidFill>
                </w14:textFill>
              </w:rPr>
              <w:t>④</w:t>
            </w:r>
            <w:r>
              <w:rPr>
                <w:rFonts w:hint="default" w:ascii="Times New Roman" w:hAnsi="Times New Roman" w:eastAsia="宋体" w:cs="Times New Roman"/>
                <w:b w:val="0"/>
                <w:bCs/>
                <w:snapToGrid w:val="0"/>
                <w:color w:val="000000" w:themeColor="text1"/>
                <w:kern w:val="21"/>
                <w:sz w:val="21"/>
                <w:szCs w:val="21"/>
                <w:highlight w:val="none"/>
                <w:u w:val="none" w:color="auto"/>
                <w14:textFill>
                  <w14:solidFill>
                    <w14:schemeClr w14:val="tx1"/>
                  </w14:solidFill>
                </w14:textFill>
              </w:rPr>
              <w:fldChar w:fldCharType="end"/>
            </w:r>
          </w:p>
        </w:tc>
        <w:tc>
          <w:tcPr>
            <w:tcW w:w="551" w:type="pct"/>
            <w:noWrap w:val="0"/>
            <w:tcMar>
              <w:left w:w="28" w:type="dxa"/>
              <w:right w:w="28" w:type="dxa"/>
            </w:tcMar>
            <w:vAlign w:val="center"/>
          </w:tcPr>
          <w:p w14:paraId="2477FEFC">
            <w:pPr>
              <w:pStyle w:val="3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rPr>
                <w:rFonts w:hint="default" w:ascii="Times New Roman" w:hAnsi="Times New Roman" w:eastAsia="宋体" w:cs="Times New Roman"/>
                <w:b w:val="0"/>
                <w:bCs/>
                <w:snapToGrid w:val="0"/>
                <w:color w:val="000000" w:themeColor="text1"/>
                <w:kern w:val="21"/>
                <w:sz w:val="21"/>
                <w:szCs w:val="21"/>
                <w:highlight w:val="none"/>
                <w:u w:val="none" w:color="auto"/>
                <w14:textFill>
                  <w14:solidFill>
                    <w14:schemeClr w14:val="tx1"/>
                  </w14:solidFill>
                </w14:textFill>
              </w:rPr>
            </w:pPr>
            <w:r>
              <w:rPr>
                <w:rFonts w:hint="default" w:ascii="Times New Roman" w:hAnsi="Times New Roman" w:eastAsia="宋体" w:cs="Times New Roman"/>
                <w:b w:val="0"/>
                <w:bCs/>
                <w:snapToGrid w:val="0"/>
                <w:color w:val="000000" w:themeColor="text1"/>
                <w:kern w:val="21"/>
                <w:sz w:val="21"/>
                <w:szCs w:val="21"/>
                <w:highlight w:val="none"/>
                <w:u w:val="none" w:color="auto"/>
                <w14:textFill>
                  <w14:solidFill>
                    <w14:schemeClr w14:val="tx1"/>
                  </w14:solidFill>
                </w14:textFill>
              </w:rPr>
              <w:t>以新带老削减量</w:t>
            </w:r>
          </w:p>
          <w:p w14:paraId="586FDB5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val="0"/>
                <w:bCs/>
                <w:snapToGrid w:val="0"/>
                <w:color w:val="000000" w:themeColor="text1"/>
                <w:kern w:val="21"/>
                <w:sz w:val="21"/>
                <w:szCs w:val="21"/>
                <w:highlight w:val="none"/>
                <w:u w:val="none" w:color="auto"/>
                <w14:textFill>
                  <w14:solidFill>
                    <w14:schemeClr w14:val="tx1"/>
                  </w14:solidFill>
                </w14:textFill>
              </w:rPr>
            </w:pPr>
            <w:r>
              <w:rPr>
                <w:rFonts w:hint="default" w:ascii="Times New Roman" w:hAnsi="Times New Roman" w:eastAsia="宋体" w:cs="Times New Roman"/>
                <w:b w:val="0"/>
                <w:bCs/>
                <w:snapToGrid w:val="0"/>
                <w:color w:val="000000" w:themeColor="text1"/>
                <w:kern w:val="21"/>
                <w:sz w:val="21"/>
                <w:szCs w:val="21"/>
                <w:highlight w:val="none"/>
                <w:u w:val="none" w:color="auto"/>
                <w14:textFill>
                  <w14:solidFill>
                    <w14:schemeClr w14:val="tx1"/>
                  </w14:solidFill>
                </w14:textFill>
              </w:rPr>
              <w:t>（新建项目不填）</w:t>
            </w:r>
            <w:r>
              <w:rPr>
                <w:rFonts w:hint="default" w:ascii="Times New Roman" w:hAnsi="Times New Roman" w:eastAsia="宋体" w:cs="Times New Roman"/>
                <w:b w:val="0"/>
                <w:bCs/>
                <w:snapToGrid w:val="0"/>
                <w:color w:val="000000" w:themeColor="text1"/>
                <w:kern w:val="21"/>
                <w:sz w:val="21"/>
                <w:szCs w:val="21"/>
                <w:highlight w:val="none"/>
                <w:u w:val="none" w:color="auto"/>
                <w14:textFill>
                  <w14:solidFill>
                    <w14:schemeClr w14:val="tx1"/>
                  </w14:solidFill>
                </w14:textFill>
              </w:rPr>
              <w:fldChar w:fldCharType="begin"/>
            </w:r>
            <w:r>
              <w:rPr>
                <w:rFonts w:hint="default" w:ascii="Times New Roman" w:hAnsi="Times New Roman" w:eastAsia="宋体" w:cs="Times New Roman"/>
                <w:b w:val="0"/>
                <w:bCs/>
                <w:snapToGrid w:val="0"/>
                <w:color w:val="000000" w:themeColor="text1"/>
                <w:kern w:val="21"/>
                <w:sz w:val="21"/>
                <w:szCs w:val="21"/>
                <w:highlight w:val="none"/>
                <w:u w:val="none" w:color="auto"/>
                <w14:textFill>
                  <w14:solidFill>
                    <w14:schemeClr w14:val="tx1"/>
                  </w14:solidFill>
                </w14:textFill>
              </w:rPr>
              <w:instrText xml:space="preserve"> = 5 \* GB3 \* MERGEFORMAT </w:instrText>
            </w:r>
            <w:r>
              <w:rPr>
                <w:rFonts w:hint="default" w:ascii="Times New Roman" w:hAnsi="Times New Roman" w:eastAsia="宋体" w:cs="Times New Roman"/>
                <w:b w:val="0"/>
                <w:bCs/>
                <w:snapToGrid w:val="0"/>
                <w:color w:val="000000" w:themeColor="text1"/>
                <w:kern w:val="21"/>
                <w:sz w:val="21"/>
                <w:szCs w:val="21"/>
                <w:highlight w:val="none"/>
                <w:u w:val="none" w:color="auto"/>
                <w14:textFill>
                  <w14:solidFill>
                    <w14:schemeClr w14:val="tx1"/>
                  </w14:solidFill>
                </w14:textFill>
              </w:rPr>
              <w:fldChar w:fldCharType="separate"/>
            </w:r>
            <w:r>
              <w:rPr>
                <w:rFonts w:hint="default" w:ascii="Times New Roman" w:hAnsi="Times New Roman" w:eastAsia="宋体" w:cs="Times New Roman"/>
                <w:b w:val="0"/>
                <w:bCs/>
                <w:color w:val="000000" w:themeColor="text1"/>
                <w:kern w:val="21"/>
                <w:sz w:val="21"/>
                <w:szCs w:val="21"/>
                <w:highlight w:val="none"/>
                <w:u w:val="none" w:color="auto"/>
                <w14:textFill>
                  <w14:solidFill>
                    <w14:schemeClr w14:val="tx1"/>
                  </w14:solidFill>
                </w14:textFill>
              </w:rPr>
              <w:t>⑤</w:t>
            </w:r>
            <w:r>
              <w:rPr>
                <w:rFonts w:hint="default" w:ascii="Times New Roman" w:hAnsi="Times New Roman" w:eastAsia="宋体" w:cs="Times New Roman"/>
                <w:b w:val="0"/>
                <w:bCs/>
                <w:snapToGrid w:val="0"/>
                <w:color w:val="000000" w:themeColor="text1"/>
                <w:kern w:val="21"/>
                <w:sz w:val="21"/>
                <w:szCs w:val="21"/>
                <w:highlight w:val="none"/>
                <w:u w:val="none" w:color="auto"/>
                <w14:textFill>
                  <w14:solidFill>
                    <w14:schemeClr w14:val="tx1"/>
                  </w14:solidFill>
                </w14:textFill>
              </w:rPr>
              <w:fldChar w:fldCharType="end"/>
            </w:r>
          </w:p>
        </w:tc>
        <w:tc>
          <w:tcPr>
            <w:tcW w:w="742" w:type="pct"/>
            <w:noWrap w:val="0"/>
            <w:tcMar>
              <w:left w:w="28" w:type="dxa"/>
              <w:right w:w="28" w:type="dxa"/>
            </w:tcMar>
            <w:vAlign w:val="center"/>
          </w:tcPr>
          <w:p w14:paraId="5F800FF7">
            <w:pPr>
              <w:pStyle w:val="3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rPr>
                <w:rFonts w:hint="default" w:ascii="Times New Roman" w:hAnsi="Times New Roman" w:eastAsia="宋体" w:cs="Times New Roman"/>
                <w:b w:val="0"/>
                <w:bCs/>
                <w:snapToGrid w:val="0"/>
                <w:color w:val="000000" w:themeColor="text1"/>
                <w:kern w:val="21"/>
                <w:sz w:val="21"/>
                <w:szCs w:val="21"/>
                <w:highlight w:val="none"/>
                <w:u w:val="none" w:color="auto"/>
                <w14:textFill>
                  <w14:solidFill>
                    <w14:schemeClr w14:val="tx1"/>
                  </w14:solidFill>
                </w14:textFill>
              </w:rPr>
            </w:pPr>
            <w:r>
              <w:rPr>
                <w:rFonts w:hint="default" w:ascii="Times New Roman" w:hAnsi="Times New Roman" w:eastAsia="宋体" w:cs="Times New Roman"/>
                <w:b w:val="0"/>
                <w:bCs/>
                <w:snapToGrid w:val="0"/>
                <w:color w:val="000000" w:themeColor="text1"/>
                <w:kern w:val="21"/>
                <w:sz w:val="21"/>
                <w:szCs w:val="21"/>
                <w:highlight w:val="none"/>
                <w:u w:val="none" w:color="auto"/>
                <w14:textFill>
                  <w14:solidFill>
                    <w14:schemeClr w14:val="tx1"/>
                  </w14:solidFill>
                </w14:textFill>
              </w:rPr>
              <w:t>本项目建成后</w:t>
            </w:r>
          </w:p>
          <w:p w14:paraId="560CEC9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val="0"/>
                <w:bCs/>
                <w:snapToGrid w:val="0"/>
                <w:color w:val="000000" w:themeColor="text1"/>
                <w:kern w:val="21"/>
                <w:sz w:val="21"/>
                <w:szCs w:val="21"/>
                <w:highlight w:val="none"/>
                <w:u w:val="none" w:color="auto"/>
                <w14:textFill>
                  <w14:solidFill>
                    <w14:schemeClr w14:val="tx1"/>
                  </w14:solidFill>
                </w14:textFill>
              </w:rPr>
            </w:pPr>
            <w:r>
              <w:rPr>
                <w:rFonts w:hint="default" w:ascii="Times New Roman" w:hAnsi="Times New Roman" w:eastAsia="宋体" w:cs="Times New Roman"/>
                <w:b w:val="0"/>
                <w:bCs/>
                <w:snapToGrid w:val="0"/>
                <w:color w:val="000000" w:themeColor="text1"/>
                <w:kern w:val="21"/>
                <w:sz w:val="21"/>
                <w:szCs w:val="21"/>
                <w:highlight w:val="none"/>
                <w:u w:val="none" w:color="auto"/>
                <w14:textFill>
                  <w14:solidFill>
                    <w14:schemeClr w14:val="tx1"/>
                  </w14:solidFill>
                </w14:textFill>
              </w:rPr>
              <w:t>全厂</w:t>
            </w:r>
            <w:r>
              <w:rPr>
                <w:rFonts w:hint="default" w:ascii="Times New Roman" w:hAnsi="Times New Roman" w:eastAsia="宋体" w:cs="Times New Roman"/>
                <w:b w:val="0"/>
                <w:bCs/>
                <w:color w:val="000000" w:themeColor="text1"/>
                <w:sz w:val="21"/>
                <w:szCs w:val="21"/>
                <w:highlight w:val="none"/>
                <w:u w:val="none" w:color="auto"/>
                <w14:textFill>
                  <w14:solidFill>
                    <w14:schemeClr w14:val="tx1"/>
                  </w14:solidFill>
                </w14:textFill>
              </w:rPr>
              <w:t>排放量</w:t>
            </w:r>
            <w:r>
              <w:rPr>
                <w:rFonts w:hint="default" w:ascii="Times New Roman" w:hAnsi="Times New Roman" w:eastAsia="宋体" w:cs="Times New Roman"/>
                <w:b w:val="0"/>
                <w:bCs/>
                <w:snapToGrid w:val="0"/>
                <w:color w:val="000000" w:themeColor="text1"/>
                <w:kern w:val="21"/>
                <w:sz w:val="21"/>
                <w:szCs w:val="21"/>
                <w:highlight w:val="none"/>
                <w:u w:val="none" w:color="auto"/>
                <w14:textFill>
                  <w14:solidFill>
                    <w14:schemeClr w14:val="tx1"/>
                  </w14:solidFill>
                </w14:textFill>
              </w:rPr>
              <w:t>（固体废物产生量）</w:t>
            </w:r>
            <w:r>
              <w:rPr>
                <w:rFonts w:hint="default" w:ascii="Times New Roman" w:hAnsi="Times New Roman" w:eastAsia="宋体" w:cs="Times New Roman"/>
                <w:b w:val="0"/>
                <w:bCs/>
                <w:snapToGrid w:val="0"/>
                <w:color w:val="000000" w:themeColor="text1"/>
                <w:kern w:val="21"/>
                <w:sz w:val="21"/>
                <w:szCs w:val="21"/>
                <w:highlight w:val="none"/>
                <w:u w:val="none" w:color="auto"/>
                <w14:textFill>
                  <w14:solidFill>
                    <w14:schemeClr w14:val="tx1"/>
                  </w14:solidFill>
                </w14:textFill>
              </w:rPr>
              <w:fldChar w:fldCharType="begin"/>
            </w:r>
            <w:r>
              <w:rPr>
                <w:rFonts w:hint="default" w:ascii="Times New Roman" w:hAnsi="Times New Roman" w:eastAsia="宋体" w:cs="Times New Roman"/>
                <w:b w:val="0"/>
                <w:bCs/>
                <w:snapToGrid w:val="0"/>
                <w:color w:val="000000" w:themeColor="text1"/>
                <w:kern w:val="21"/>
                <w:sz w:val="21"/>
                <w:szCs w:val="21"/>
                <w:highlight w:val="none"/>
                <w:u w:val="none" w:color="auto"/>
                <w14:textFill>
                  <w14:solidFill>
                    <w14:schemeClr w14:val="tx1"/>
                  </w14:solidFill>
                </w14:textFill>
              </w:rPr>
              <w:instrText xml:space="preserve"> = 6 \* GB3 \* MERGEFORMAT </w:instrText>
            </w:r>
            <w:r>
              <w:rPr>
                <w:rFonts w:hint="default" w:ascii="Times New Roman" w:hAnsi="Times New Roman" w:eastAsia="宋体" w:cs="Times New Roman"/>
                <w:b w:val="0"/>
                <w:bCs/>
                <w:snapToGrid w:val="0"/>
                <w:color w:val="000000" w:themeColor="text1"/>
                <w:kern w:val="21"/>
                <w:sz w:val="21"/>
                <w:szCs w:val="21"/>
                <w:highlight w:val="none"/>
                <w:u w:val="none" w:color="auto"/>
                <w14:textFill>
                  <w14:solidFill>
                    <w14:schemeClr w14:val="tx1"/>
                  </w14:solidFill>
                </w14:textFill>
              </w:rPr>
              <w:fldChar w:fldCharType="separate"/>
            </w:r>
            <w:r>
              <w:rPr>
                <w:rFonts w:hint="default" w:ascii="Times New Roman" w:hAnsi="Times New Roman" w:eastAsia="宋体" w:cs="Times New Roman"/>
                <w:b w:val="0"/>
                <w:bCs/>
                <w:color w:val="000000" w:themeColor="text1"/>
                <w:kern w:val="21"/>
                <w:sz w:val="21"/>
                <w:szCs w:val="21"/>
                <w:highlight w:val="none"/>
                <w:u w:val="none" w:color="auto"/>
                <w14:textFill>
                  <w14:solidFill>
                    <w14:schemeClr w14:val="tx1"/>
                  </w14:solidFill>
                </w14:textFill>
              </w:rPr>
              <w:t>⑥</w:t>
            </w:r>
            <w:r>
              <w:rPr>
                <w:rFonts w:hint="default" w:ascii="Times New Roman" w:hAnsi="Times New Roman" w:eastAsia="宋体" w:cs="Times New Roman"/>
                <w:b w:val="0"/>
                <w:bCs/>
                <w:snapToGrid w:val="0"/>
                <w:color w:val="000000" w:themeColor="text1"/>
                <w:kern w:val="21"/>
                <w:sz w:val="21"/>
                <w:szCs w:val="21"/>
                <w:highlight w:val="none"/>
                <w:u w:val="none" w:color="auto"/>
                <w14:textFill>
                  <w14:solidFill>
                    <w14:schemeClr w14:val="tx1"/>
                  </w14:solidFill>
                </w14:textFill>
              </w:rPr>
              <w:fldChar w:fldCharType="end"/>
            </w:r>
          </w:p>
        </w:tc>
        <w:tc>
          <w:tcPr>
            <w:tcW w:w="475" w:type="pct"/>
            <w:noWrap w:val="0"/>
            <w:tcMar>
              <w:left w:w="28" w:type="dxa"/>
              <w:right w:w="28" w:type="dxa"/>
            </w:tcMar>
            <w:vAlign w:val="center"/>
          </w:tcPr>
          <w:p w14:paraId="32E0997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val="0"/>
                <w:bCs/>
                <w:snapToGrid w:val="0"/>
                <w:color w:val="000000" w:themeColor="text1"/>
                <w:kern w:val="21"/>
                <w:sz w:val="21"/>
                <w:szCs w:val="21"/>
                <w:highlight w:val="none"/>
                <w:u w:val="none" w:color="auto"/>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u w:val="none" w:color="auto"/>
                <w14:textFill>
                  <w14:solidFill>
                    <w14:schemeClr w14:val="tx1"/>
                  </w14:solidFill>
                </w14:textFill>
              </w:rPr>
              <w:t>变化</w:t>
            </w:r>
            <w:r>
              <w:rPr>
                <w:rFonts w:hint="default" w:ascii="Times New Roman" w:hAnsi="Times New Roman" w:eastAsia="宋体" w:cs="Times New Roman"/>
                <w:b w:val="0"/>
                <w:bCs/>
                <w:snapToGrid w:val="0"/>
                <w:color w:val="000000" w:themeColor="text1"/>
                <w:kern w:val="21"/>
                <w:sz w:val="21"/>
                <w:szCs w:val="21"/>
                <w:highlight w:val="none"/>
                <w:u w:val="none" w:color="auto"/>
                <w14:textFill>
                  <w14:solidFill>
                    <w14:schemeClr w14:val="tx1"/>
                  </w14:solidFill>
                </w14:textFill>
              </w:rPr>
              <w:t>量</w:t>
            </w:r>
          </w:p>
          <w:p w14:paraId="28F04FD8">
            <w:pPr>
              <w:pStyle w:val="3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rPr>
                <w:rFonts w:hint="default" w:ascii="Times New Roman" w:hAnsi="Times New Roman" w:eastAsia="宋体" w:cs="Times New Roman"/>
                <w:b w:val="0"/>
                <w:bCs/>
                <w:snapToGrid w:val="0"/>
                <w:color w:val="000000" w:themeColor="text1"/>
                <w:kern w:val="21"/>
                <w:sz w:val="21"/>
                <w:szCs w:val="21"/>
                <w:highlight w:val="none"/>
                <w:u w:val="none" w:color="auto"/>
                <w14:textFill>
                  <w14:solidFill>
                    <w14:schemeClr w14:val="tx1"/>
                  </w14:solidFill>
                </w14:textFill>
              </w:rPr>
            </w:pPr>
            <w:r>
              <w:rPr>
                <w:rFonts w:hint="default" w:ascii="Times New Roman" w:hAnsi="Times New Roman" w:eastAsia="宋体" w:cs="Times New Roman"/>
                <w:b w:val="0"/>
                <w:bCs/>
                <w:snapToGrid w:val="0"/>
                <w:color w:val="000000" w:themeColor="text1"/>
                <w:kern w:val="21"/>
                <w:sz w:val="21"/>
                <w:szCs w:val="21"/>
                <w:highlight w:val="none"/>
                <w:u w:val="none" w:color="auto"/>
                <w14:textFill>
                  <w14:solidFill>
                    <w14:schemeClr w14:val="tx1"/>
                  </w14:solidFill>
                </w14:textFill>
              </w:rPr>
              <w:fldChar w:fldCharType="begin"/>
            </w:r>
            <w:r>
              <w:rPr>
                <w:rFonts w:hint="default" w:ascii="Times New Roman" w:hAnsi="Times New Roman" w:eastAsia="宋体" w:cs="Times New Roman"/>
                <w:b w:val="0"/>
                <w:bCs/>
                <w:snapToGrid w:val="0"/>
                <w:color w:val="000000" w:themeColor="text1"/>
                <w:kern w:val="21"/>
                <w:sz w:val="21"/>
                <w:szCs w:val="21"/>
                <w:highlight w:val="none"/>
                <w:u w:val="none" w:color="auto"/>
                <w14:textFill>
                  <w14:solidFill>
                    <w14:schemeClr w14:val="tx1"/>
                  </w14:solidFill>
                </w14:textFill>
              </w:rPr>
              <w:instrText xml:space="preserve"> = 7 \* GB3 \* MERGEFORMAT </w:instrText>
            </w:r>
            <w:r>
              <w:rPr>
                <w:rFonts w:hint="default" w:ascii="Times New Roman" w:hAnsi="Times New Roman" w:eastAsia="宋体" w:cs="Times New Roman"/>
                <w:b w:val="0"/>
                <w:bCs/>
                <w:snapToGrid w:val="0"/>
                <w:color w:val="000000" w:themeColor="text1"/>
                <w:kern w:val="21"/>
                <w:sz w:val="21"/>
                <w:szCs w:val="21"/>
                <w:highlight w:val="none"/>
                <w:u w:val="none" w:color="auto"/>
                <w14:textFill>
                  <w14:solidFill>
                    <w14:schemeClr w14:val="tx1"/>
                  </w14:solidFill>
                </w14:textFill>
              </w:rPr>
              <w:fldChar w:fldCharType="separate"/>
            </w:r>
            <w:r>
              <w:rPr>
                <w:rFonts w:hint="default" w:ascii="Times New Roman" w:hAnsi="Times New Roman" w:eastAsia="宋体" w:cs="Times New Roman"/>
                <w:b w:val="0"/>
                <w:bCs/>
                <w:color w:val="000000" w:themeColor="text1"/>
                <w:kern w:val="21"/>
                <w:sz w:val="21"/>
                <w:szCs w:val="21"/>
                <w:highlight w:val="none"/>
                <w:u w:val="none" w:color="auto"/>
                <w14:textFill>
                  <w14:solidFill>
                    <w14:schemeClr w14:val="tx1"/>
                  </w14:solidFill>
                </w14:textFill>
              </w:rPr>
              <w:t>⑦</w:t>
            </w:r>
            <w:r>
              <w:rPr>
                <w:rFonts w:hint="default" w:ascii="Times New Roman" w:hAnsi="Times New Roman" w:eastAsia="宋体" w:cs="Times New Roman"/>
                <w:b w:val="0"/>
                <w:bCs/>
                <w:snapToGrid w:val="0"/>
                <w:color w:val="000000" w:themeColor="text1"/>
                <w:kern w:val="21"/>
                <w:sz w:val="21"/>
                <w:szCs w:val="21"/>
                <w:highlight w:val="none"/>
                <w:u w:val="none" w:color="auto"/>
                <w14:textFill>
                  <w14:solidFill>
                    <w14:schemeClr w14:val="tx1"/>
                  </w14:solidFill>
                </w14:textFill>
              </w:rPr>
              <w:fldChar w:fldCharType="end"/>
            </w:r>
          </w:p>
        </w:tc>
      </w:tr>
      <w:tr w14:paraId="7438948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2" w:type="pct"/>
            <w:vMerge w:val="restart"/>
            <w:noWrap w:val="0"/>
            <w:vAlign w:val="center"/>
          </w:tcPr>
          <w:p w14:paraId="42DFE0C5">
            <w:pPr>
              <w:pStyle w:val="3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rPr>
                <w:rFonts w:hint="default" w:ascii="Times New Roman" w:hAnsi="Times New Roman" w:eastAsia="宋体" w:cs="Times New Roman"/>
                <w:b w:val="0"/>
                <w:bCs/>
                <w:snapToGrid w:val="0"/>
                <w:color w:val="000000" w:themeColor="text1"/>
                <w:kern w:val="21"/>
                <w:sz w:val="21"/>
                <w:szCs w:val="21"/>
                <w:highlight w:val="none"/>
                <w:u w:val="none" w:color="auto"/>
                <w14:textFill>
                  <w14:solidFill>
                    <w14:schemeClr w14:val="tx1"/>
                  </w14:solidFill>
                </w14:textFill>
              </w:rPr>
            </w:pPr>
            <w:r>
              <w:rPr>
                <w:rFonts w:hint="default" w:ascii="Times New Roman" w:hAnsi="Times New Roman" w:eastAsia="宋体" w:cs="Times New Roman"/>
                <w:b w:val="0"/>
                <w:bCs/>
                <w:snapToGrid w:val="0"/>
                <w:color w:val="000000" w:themeColor="text1"/>
                <w:kern w:val="21"/>
                <w:sz w:val="21"/>
                <w:szCs w:val="21"/>
                <w:highlight w:val="none"/>
                <w:u w:val="none" w:color="auto"/>
                <w14:textFill>
                  <w14:solidFill>
                    <w14:schemeClr w14:val="tx1"/>
                  </w14:solidFill>
                </w14:textFill>
              </w:rPr>
              <w:t>废气</w:t>
            </w:r>
          </w:p>
        </w:tc>
        <w:tc>
          <w:tcPr>
            <w:tcW w:w="747" w:type="pct"/>
            <w:noWrap w:val="0"/>
            <w:vAlign w:val="center"/>
          </w:tcPr>
          <w:p w14:paraId="744D9BD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val="0"/>
                <w:bCs/>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u w:val="none" w:color="auto"/>
                <w14:textFill>
                  <w14:solidFill>
                    <w14:schemeClr w14:val="tx1"/>
                  </w14:solidFill>
                </w14:textFill>
              </w:rPr>
              <w:t>颗粒物（t/a）</w:t>
            </w:r>
          </w:p>
        </w:tc>
        <w:tc>
          <w:tcPr>
            <w:tcW w:w="545" w:type="pct"/>
            <w:noWrap w:val="0"/>
            <w:vAlign w:val="center"/>
          </w:tcPr>
          <w:p w14:paraId="207EE1B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1"/>
                <w:sz w:val="21"/>
                <w:szCs w:val="21"/>
                <w:highlight w:val="none"/>
                <w:u w:val="none" w:color="auto"/>
                <w:lang w:val="en-US" w:eastAsia="zh-CN"/>
                <w14:textFill>
                  <w14:solidFill>
                    <w14:schemeClr w14:val="tx1"/>
                  </w14:solidFill>
                </w14:textFill>
              </w:rPr>
            </w:pPr>
          </w:p>
        </w:tc>
        <w:tc>
          <w:tcPr>
            <w:tcW w:w="394" w:type="pct"/>
            <w:noWrap w:val="0"/>
            <w:vAlign w:val="center"/>
          </w:tcPr>
          <w:p w14:paraId="5F30CBA8">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b w:val="0"/>
                <w:bCs/>
                <w:color w:val="7030A0"/>
                <w:kern w:val="2"/>
                <w:sz w:val="21"/>
                <w:szCs w:val="21"/>
                <w:highlight w:val="none"/>
                <w:u w:val="none" w:color="auto"/>
                <w:lang w:val="en-US" w:eastAsia="zh-CN" w:bidi="ar-SA"/>
              </w:rPr>
            </w:pPr>
          </w:p>
        </w:tc>
        <w:tc>
          <w:tcPr>
            <w:tcW w:w="544" w:type="pct"/>
            <w:noWrap w:val="0"/>
            <w:vAlign w:val="center"/>
          </w:tcPr>
          <w:p w14:paraId="59F29CFB">
            <w:pPr>
              <w:pStyle w:val="3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rPr>
                <w:rFonts w:hint="default" w:ascii="Times New Roman" w:hAnsi="Times New Roman" w:eastAsia="宋体" w:cs="Times New Roman"/>
                <w:b w:val="0"/>
                <w:bCs/>
                <w:snapToGrid w:val="0"/>
                <w:color w:val="7030A0"/>
                <w:kern w:val="21"/>
                <w:sz w:val="21"/>
                <w:szCs w:val="21"/>
                <w:highlight w:val="none"/>
                <w:u w:val="none" w:color="auto"/>
              </w:rPr>
            </w:pPr>
          </w:p>
        </w:tc>
        <w:tc>
          <w:tcPr>
            <w:tcW w:w="545" w:type="pct"/>
            <w:shd w:val="clear" w:color="auto" w:fill="auto"/>
            <w:noWrap w:val="0"/>
            <w:vAlign w:val="center"/>
          </w:tcPr>
          <w:p w14:paraId="36706126">
            <w:pPr>
              <w:pStyle w:val="5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eastAsia" w:cs="Times New Roman"/>
                <w:color w:val="000000" w:themeColor="text1"/>
                <w:sz w:val="21"/>
                <w:szCs w:val="21"/>
                <w:highlight w:val="none"/>
                <w:u w:val="none" w:color="auto"/>
                <w:lang w:val="en-US" w:eastAsia="zh-CN"/>
                <w14:textFill>
                  <w14:solidFill>
                    <w14:schemeClr w14:val="tx1"/>
                  </w14:solidFill>
                </w14:textFill>
              </w:rPr>
              <w:t>2.124</w:t>
            </w:r>
          </w:p>
        </w:tc>
        <w:tc>
          <w:tcPr>
            <w:tcW w:w="551" w:type="pct"/>
            <w:noWrap w:val="0"/>
            <w:vAlign w:val="center"/>
          </w:tcPr>
          <w:p w14:paraId="5E30C3C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color w:val="7030A0"/>
                <w:kern w:val="2"/>
                <w:sz w:val="21"/>
                <w:szCs w:val="21"/>
                <w:highlight w:val="none"/>
                <w:u w:val="none" w:color="auto"/>
                <w:lang w:val="en-US" w:eastAsia="zh-CN"/>
              </w:rPr>
            </w:pPr>
          </w:p>
        </w:tc>
        <w:tc>
          <w:tcPr>
            <w:tcW w:w="742" w:type="pct"/>
            <w:shd w:val="clear" w:color="auto" w:fill="auto"/>
            <w:noWrap w:val="0"/>
            <w:vAlign w:val="center"/>
          </w:tcPr>
          <w:p w14:paraId="0BA4419F">
            <w:pPr>
              <w:pStyle w:val="5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eastAsia" w:cs="Times New Roman"/>
                <w:color w:val="000000" w:themeColor="text1"/>
                <w:sz w:val="21"/>
                <w:szCs w:val="21"/>
                <w:highlight w:val="none"/>
                <w:u w:val="none" w:color="auto"/>
                <w:lang w:val="en-US" w:eastAsia="zh-CN"/>
                <w14:textFill>
                  <w14:solidFill>
                    <w14:schemeClr w14:val="tx1"/>
                  </w14:solidFill>
                </w14:textFill>
              </w:rPr>
              <w:t>2.124</w:t>
            </w:r>
          </w:p>
        </w:tc>
        <w:tc>
          <w:tcPr>
            <w:tcW w:w="475" w:type="pct"/>
            <w:shd w:val="clear" w:color="auto" w:fill="auto"/>
            <w:noWrap w:val="0"/>
            <w:vAlign w:val="center"/>
          </w:tcPr>
          <w:p w14:paraId="3EAA6281">
            <w:pPr>
              <w:pStyle w:val="5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eastAsia" w:cs="Times New Roman"/>
                <w:color w:val="000000" w:themeColor="text1"/>
                <w:sz w:val="21"/>
                <w:szCs w:val="21"/>
                <w:highlight w:val="none"/>
                <w:u w:val="none" w:color="auto"/>
                <w:lang w:val="en-US" w:eastAsia="zh-CN"/>
                <w14:textFill>
                  <w14:solidFill>
                    <w14:schemeClr w14:val="tx1"/>
                  </w14:solidFill>
                </w14:textFill>
              </w:rPr>
              <w:t>+2.124</w:t>
            </w:r>
          </w:p>
        </w:tc>
      </w:tr>
      <w:tr w14:paraId="3602775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2" w:type="pct"/>
            <w:vMerge w:val="continue"/>
            <w:noWrap w:val="0"/>
            <w:vAlign w:val="center"/>
          </w:tcPr>
          <w:p w14:paraId="3D8886CD">
            <w:pPr>
              <w:pStyle w:val="3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rPr>
                <w:rFonts w:hint="default" w:ascii="Times New Roman" w:hAnsi="Times New Roman" w:eastAsia="宋体" w:cs="Times New Roman"/>
                <w:b w:val="0"/>
                <w:bCs/>
                <w:snapToGrid w:val="0"/>
                <w:color w:val="000000" w:themeColor="text1"/>
                <w:kern w:val="21"/>
                <w:sz w:val="21"/>
                <w:szCs w:val="21"/>
                <w:highlight w:val="none"/>
                <w:u w:val="none" w:color="auto"/>
                <w14:textFill>
                  <w14:solidFill>
                    <w14:schemeClr w14:val="tx1"/>
                  </w14:solidFill>
                </w14:textFill>
              </w:rPr>
            </w:pPr>
          </w:p>
        </w:tc>
        <w:tc>
          <w:tcPr>
            <w:tcW w:w="747" w:type="pct"/>
            <w:shd w:val="clear" w:color="auto" w:fill="auto"/>
            <w:noWrap w:val="0"/>
            <w:vAlign w:val="center"/>
          </w:tcPr>
          <w:p w14:paraId="4E35C47A">
            <w:pPr>
              <w:pStyle w:val="56"/>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eastAsia" w:hAnsi="宋体"/>
                <w:b w:val="0"/>
                <w:bCs w:val="0"/>
                <w:color w:val="000000" w:themeColor="text1"/>
                <w:sz w:val="21"/>
                <w:szCs w:val="21"/>
                <w:u w:val="none" w:color="auto"/>
                <w14:textFill>
                  <w14:solidFill>
                    <w14:schemeClr w14:val="tx1"/>
                  </w14:solidFill>
                </w14:textFill>
              </w:rPr>
              <w:t>SO</w:t>
            </w:r>
            <w:r>
              <w:rPr>
                <w:rFonts w:hint="eastAsia" w:hAnsi="宋体"/>
                <w:b w:val="0"/>
                <w:bCs w:val="0"/>
                <w:color w:val="000000" w:themeColor="text1"/>
                <w:sz w:val="21"/>
                <w:szCs w:val="21"/>
                <w:u w:val="none" w:color="auto"/>
                <w:vertAlign w:val="subscript"/>
                <w14:textFill>
                  <w14:solidFill>
                    <w14:schemeClr w14:val="tx1"/>
                  </w14:solidFill>
                </w14:textFill>
              </w:rPr>
              <w:t>2</w:t>
            </w:r>
            <w:r>
              <w:rPr>
                <w:rFonts w:hint="default" w:ascii="Times New Roman" w:hAnsi="Times New Roman" w:eastAsia="宋体" w:cs="Times New Roman"/>
                <w:b w:val="0"/>
                <w:bCs/>
                <w:color w:val="000000" w:themeColor="text1"/>
                <w:sz w:val="21"/>
                <w:szCs w:val="21"/>
                <w:highlight w:val="none"/>
                <w:u w:val="none" w:color="auto"/>
                <w14:textFill>
                  <w14:solidFill>
                    <w14:schemeClr w14:val="tx1"/>
                  </w14:solidFill>
                </w14:textFill>
              </w:rPr>
              <w:t>（t/a）</w:t>
            </w:r>
          </w:p>
        </w:tc>
        <w:tc>
          <w:tcPr>
            <w:tcW w:w="545" w:type="pct"/>
            <w:noWrap w:val="0"/>
            <w:vAlign w:val="center"/>
          </w:tcPr>
          <w:p w14:paraId="05023F8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1"/>
                <w:sz w:val="21"/>
                <w:szCs w:val="21"/>
                <w:highlight w:val="none"/>
                <w:u w:val="none" w:color="auto"/>
                <w:lang w:val="en-US" w:eastAsia="zh-CN"/>
                <w14:textFill>
                  <w14:solidFill>
                    <w14:schemeClr w14:val="tx1"/>
                  </w14:solidFill>
                </w14:textFill>
              </w:rPr>
            </w:pPr>
          </w:p>
        </w:tc>
        <w:tc>
          <w:tcPr>
            <w:tcW w:w="394" w:type="pct"/>
            <w:noWrap w:val="0"/>
            <w:vAlign w:val="center"/>
          </w:tcPr>
          <w:p w14:paraId="1A44BEE7">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b w:val="0"/>
                <w:bCs/>
                <w:color w:val="7030A0"/>
                <w:kern w:val="2"/>
                <w:sz w:val="21"/>
                <w:szCs w:val="21"/>
                <w:highlight w:val="none"/>
                <w:u w:val="none" w:color="auto"/>
                <w:lang w:val="en-US" w:eastAsia="zh-CN" w:bidi="ar-SA"/>
              </w:rPr>
            </w:pPr>
          </w:p>
        </w:tc>
        <w:tc>
          <w:tcPr>
            <w:tcW w:w="544" w:type="pct"/>
            <w:noWrap w:val="0"/>
            <w:vAlign w:val="center"/>
          </w:tcPr>
          <w:p w14:paraId="32D1C80C">
            <w:pPr>
              <w:pStyle w:val="3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rPr>
                <w:rFonts w:hint="default" w:ascii="Times New Roman" w:hAnsi="Times New Roman" w:eastAsia="宋体" w:cs="Times New Roman"/>
                <w:b w:val="0"/>
                <w:bCs/>
                <w:snapToGrid w:val="0"/>
                <w:color w:val="7030A0"/>
                <w:kern w:val="21"/>
                <w:sz w:val="21"/>
                <w:szCs w:val="21"/>
                <w:highlight w:val="none"/>
                <w:u w:val="none" w:color="auto"/>
              </w:rPr>
            </w:pPr>
          </w:p>
        </w:tc>
        <w:tc>
          <w:tcPr>
            <w:tcW w:w="545" w:type="pct"/>
            <w:shd w:val="clear" w:color="auto" w:fill="auto"/>
            <w:noWrap w:val="0"/>
            <w:vAlign w:val="center"/>
          </w:tcPr>
          <w:p w14:paraId="0293B26E">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1.419</w:t>
            </w:r>
          </w:p>
        </w:tc>
        <w:tc>
          <w:tcPr>
            <w:tcW w:w="551" w:type="pct"/>
            <w:noWrap w:val="0"/>
            <w:vAlign w:val="center"/>
          </w:tcPr>
          <w:p w14:paraId="508F214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color w:val="7030A0"/>
                <w:kern w:val="2"/>
                <w:sz w:val="21"/>
                <w:szCs w:val="21"/>
                <w:highlight w:val="none"/>
                <w:u w:val="none" w:color="auto"/>
                <w:lang w:val="en-US" w:eastAsia="zh-CN"/>
              </w:rPr>
            </w:pPr>
          </w:p>
        </w:tc>
        <w:tc>
          <w:tcPr>
            <w:tcW w:w="742" w:type="pct"/>
            <w:shd w:val="clear" w:color="auto" w:fill="auto"/>
            <w:noWrap w:val="0"/>
            <w:vAlign w:val="center"/>
          </w:tcPr>
          <w:p w14:paraId="5B2CAC4A">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1.419</w:t>
            </w:r>
          </w:p>
        </w:tc>
        <w:tc>
          <w:tcPr>
            <w:tcW w:w="475" w:type="pct"/>
            <w:shd w:val="clear" w:color="auto" w:fill="auto"/>
            <w:noWrap w:val="0"/>
            <w:vAlign w:val="center"/>
          </w:tcPr>
          <w:p w14:paraId="668FA90D">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eastAsia"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w:t>
            </w: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1.419</w:t>
            </w:r>
          </w:p>
        </w:tc>
      </w:tr>
      <w:tr w14:paraId="5B1182C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2" w:type="pct"/>
            <w:vMerge w:val="continue"/>
            <w:noWrap w:val="0"/>
            <w:vAlign w:val="center"/>
          </w:tcPr>
          <w:p w14:paraId="200811CF">
            <w:pPr>
              <w:pStyle w:val="3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rPr>
                <w:rFonts w:hint="default" w:ascii="Times New Roman" w:hAnsi="Times New Roman" w:eastAsia="宋体" w:cs="Times New Roman"/>
                <w:b w:val="0"/>
                <w:bCs/>
                <w:snapToGrid w:val="0"/>
                <w:color w:val="000000" w:themeColor="text1"/>
                <w:kern w:val="21"/>
                <w:sz w:val="21"/>
                <w:szCs w:val="21"/>
                <w:highlight w:val="none"/>
                <w:u w:val="none" w:color="auto"/>
                <w14:textFill>
                  <w14:solidFill>
                    <w14:schemeClr w14:val="tx1"/>
                  </w14:solidFill>
                </w14:textFill>
              </w:rPr>
            </w:pPr>
          </w:p>
        </w:tc>
        <w:tc>
          <w:tcPr>
            <w:tcW w:w="747" w:type="pct"/>
            <w:shd w:val="clear" w:color="auto" w:fill="auto"/>
            <w:noWrap w:val="0"/>
            <w:vAlign w:val="center"/>
          </w:tcPr>
          <w:p w14:paraId="6ADBD520">
            <w:pPr>
              <w:pStyle w:val="56"/>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eastAsia" w:hAnsi="宋体"/>
                <w:b w:val="0"/>
                <w:bCs w:val="0"/>
                <w:color w:val="000000" w:themeColor="text1"/>
                <w:sz w:val="21"/>
                <w:szCs w:val="21"/>
                <w:u w:val="none" w:color="auto"/>
                <w14:textFill>
                  <w14:solidFill>
                    <w14:schemeClr w14:val="tx1"/>
                  </w14:solidFill>
                </w14:textFill>
              </w:rPr>
              <w:t>NOx</w:t>
            </w:r>
            <w:r>
              <w:rPr>
                <w:rFonts w:hint="default" w:ascii="Times New Roman" w:hAnsi="Times New Roman" w:eastAsia="宋体" w:cs="Times New Roman"/>
                <w:b w:val="0"/>
                <w:bCs/>
                <w:color w:val="000000" w:themeColor="text1"/>
                <w:sz w:val="21"/>
                <w:szCs w:val="21"/>
                <w:highlight w:val="none"/>
                <w:u w:val="none" w:color="auto"/>
                <w14:textFill>
                  <w14:solidFill>
                    <w14:schemeClr w14:val="tx1"/>
                  </w14:solidFill>
                </w14:textFill>
              </w:rPr>
              <w:t>（t/a）</w:t>
            </w:r>
          </w:p>
        </w:tc>
        <w:tc>
          <w:tcPr>
            <w:tcW w:w="545" w:type="pct"/>
            <w:noWrap w:val="0"/>
            <w:vAlign w:val="center"/>
          </w:tcPr>
          <w:p w14:paraId="4BCF2F4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color w:val="000000" w:themeColor="text1"/>
                <w:kern w:val="2"/>
                <w:sz w:val="21"/>
                <w:szCs w:val="21"/>
                <w:highlight w:val="none"/>
                <w:u w:val="none" w:color="auto"/>
                <w:lang w:val="en-US" w:eastAsia="zh-CN" w:bidi="ar-SA"/>
                <w14:textFill>
                  <w14:solidFill>
                    <w14:schemeClr w14:val="tx1"/>
                  </w14:solidFill>
                </w14:textFill>
              </w:rPr>
            </w:pPr>
          </w:p>
        </w:tc>
        <w:tc>
          <w:tcPr>
            <w:tcW w:w="394" w:type="pct"/>
            <w:noWrap w:val="0"/>
            <w:vAlign w:val="center"/>
          </w:tcPr>
          <w:p w14:paraId="5048F70B">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eastAsia="宋体" w:cs="Times New Roman"/>
                <w:b w:val="0"/>
                <w:bCs/>
                <w:color w:val="7030A0"/>
                <w:sz w:val="21"/>
                <w:szCs w:val="21"/>
                <w:highlight w:val="none"/>
                <w:u w:val="none" w:color="auto"/>
              </w:rPr>
            </w:pPr>
          </w:p>
          <w:p w14:paraId="33151FBB">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b w:val="0"/>
                <w:bCs/>
                <w:color w:val="7030A0"/>
                <w:kern w:val="2"/>
                <w:sz w:val="21"/>
                <w:szCs w:val="21"/>
                <w:highlight w:val="none"/>
                <w:u w:val="none" w:color="auto"/>
                <w:lang w:val="en-US" w:eastAsia="zh-CN" w:bidi="ar-SA"/>
              </w:rPr>
            </w:pPr>
          </w:p>
        </w:tc>
        <w:tc>
          <w:tcPr>
            <w:tcW w:w="544" w:type="pct"/>
            <w:noWrap w:val="0"/>
            <w:vAlign w:val="center"/>
          </w:tcPr>
          <w:p w14:paraId="4B465F60">
            <w:pPr>
              <w:pStyle w:val="3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rPr>
                <w:rFonts w:hint="default" w:ascii="Times New Roman" w:hAnsi="Times New Roman" w:eastAsia="宋体" w:cs="Times New Roman"/>
                <w:b w:val="0"/>
                <w:bCs/>
                <w:snapToGrid w:val="0"/>
                <w:color w:val="7030A0"/>
                <w:kern w:val="21"/>
                <w:sz w:val="21"/>
                <w:szCs w:val="21"/>
                <w:highlight w:val="none"/>
                <w:u w:val="none" w:color="auto"/>
              </w:rPr>
            </w:pPr>
          </w:p>
        </w:tc>
        <w:tc>
          <w:tcPr>
            <w:tcW w:w="545" w:type="pct"/>
            <w:shd w:val="clear" w:color="auto" w:fill="auto"/>
            <w:noWrap w:val="0"/>
            <w:vAlign w:val="center"/>
          </w:tcPr>
          <w:p w14:paraId="3FCC04F3">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5.362</w:t>
            </w:r>
          </w:p>
        </w:tc>
        <w:tc>
          <w:tcPr>
            <w:tcW w:w="551" w:type="pct"/>
            <w:noWrap w:val="0"/>
            <w:vAlign w:val="center"/>
          </w:tcPr>
          <w:p w14:paraId="6AB8D05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color w:val="7030A0"/>
                <w:kern w:val="2"/>
                <w:sz w:val="21"/>
                <w:szCs w:val="21"/>
                <w:highlight w:val="none"/>
                <w:u w:val="none" w:color="auto"/>
                <w:lang w:val="en-US" w:eastAsia="zh-CN"/>
              </w:rPr>
            </w:pPr>
          </w:p>
        </w:tc>
        <w:tc>
          <w:tcPr>
            <w:tcW w:w="742" w:type="pct"/>
            <w:shd w:val="clear" w:color="auto" w:fill="auto"/>
            <w:noWrap w:val="0"/>
            <w:vAlign w:val="center"/>
          </w:tcPr>
          <w:p w14:paraId="6674990F">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5.362</w:t>
            </w:r>
          </w:p>
        </w:tc>
        <w:tc>
          <w:tcPr>
            <w:tcW w:w="475" w:type="pct"/>
            <w:shd w:val="clear" w:color="auto" w:fill="auto"/>
            <w:noWrap w:val="0"/>
            <w:vAlign w:val="center"/>
          </w:tcPr>
          <w:p w14:paraId="0CB57A44">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eastAsia"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w:t>
            </w: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5.362</w:t>
            </w:r>
          </w:p>
        </w:tc>
      </w:tr>
      <w:tr w14:paraId="0EF8015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2" w:type="pct"/>
            <w:vMerge w:val="restart"/>
            <w:noWrap w:val="0"/>
            <w:vAlign w:val="center"/>
          </w:tcPr>
          <w:p w14:paraId="0E0646AC">
            <w:pPr>
              <w:pStyle w:val="3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rPr>
                <w:rFonts w:hint="default" w:ascii="Times New Roman" w:hAnsi="Times New Roman" w:eastAsia="宋体" w:cs="Times New Roman"/>
                <w:b w:val="0"/>
                <w:bCs/>
                <w:snapToGrid w:val="0"/>
                <w:color w:val="000000" w:themeColor="text1"/>
                <w:kern w:val="21"/>
                <w:sz w:val="21"/>
                <w:szCs w:val="21"/>
                <w:highlight w:val="none"/>
                <w:u w:val="none" w:color="auto"/>
                <w14:textFill>
                  <w14:solidFill>
                    <w14:schemeClr w14:val="tx1"/>
                  </w14:solidFill>
                </w14:textFill>
              </w:rPr>
            </w:pPr>
            <w:r>
              <w:rPr>
                <w:rFonts w:hint="default" w:ascii="Times New Roman" w:hAnsi="Times New Roman" w:eastAsia="宋体" w:cs="Times New Roman"/>
                <w:b w:val="0"/>
                <w:bCs/>
                <w:snapToGrid w:val="0"/>
                <w:color w:val="000000" w:themeColor="text1"/>
                <w:kern w:val="21"/>
                <w:sz w:val="21"/>
                <w:szCs w:val="21"/>
                <w:highlight w:val="none"/>
                <w:u w:val="none" w:color="auto"/>
                <w14:textFill>
                  <w14:solidFill>
                    <w14:schemeClr w14:val="tx1"/>
                  </w14:solidFill>
                </w14:textFill>
              </w:rPr>
              <w:t>废水</w:t>
            </w:r>
          </w:p>
        </w:tc>
        <w:tc>
          <w:tcPr>
            <w:tcW w:w="747" w:type="pct"/>
            <w:noWrap w:val="0"/>
            <w:vAlign w:val="center"/>
          </w:tcPr>
          <w:p w14:paraId="49DB81E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val="0"/>
                <w:bCs/>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u w:val="none" w:color="auto"/>
                <w:lang w:val="en-US" w:eastAsia="zh-CN"/>
                <w14:textFill>
                  <w14:solidFill>
                    <w14:schemeClr w14:val="tx1"/>
                  </w14:solidFill>
                </w14:textFill>
              </w:rPr>
              <w:t>废水量（m</w:t>
            </w:r>
            <w:r>
              <w:rPr>
                <w:rFonts w:hint="default" w:ascii="Times New Roman" w:hAnsi="Times New Roman" w:eastAsia="宋体" w:cs="Times New Roman"/>
                <w:b w:val="0"/>
                <w:bCs/>
                <w:color w:val="000000" w:themeColor="text1"/>
                <w:sz w:val="21"/>
                <w:szCs w:val="21"/>
                <w:highlight w:val="none"/>
                <w:u w:val="none" w:color="auto"/>
                <w:vertAlign w:val="superscript"/>
                <w:lang w:val="en-US" w:eastAsia="zh-CN"/>
                <w14:textFill>
                  <w14:solidFill>
                    <w14:schemeClr w14:val="tx1"/>
                  </w14:solidFill>
                </w14:textFill>
              </w:rPr>
              <w:t>3</w:t>
            </w:r>
            <w:r>
              <w:rPr>
                <w:rFonts w:hint="default" w:ascii="Times New Roman" w:hAnsi="Times New Roman" w:eastAsia="宋体" w:cs="Times New Roman"/>
                <w:b w:val="0"/>
                <w:bCs/>
                <w:color w:val="000000" w:themeColor="text1"/>
                <w:sz w:val="21"/>
                <w:szCs w:val="21"/>
                <w:highlight w:val="none"/>
                <w:u w:val="none" w:color="auto"/>
                <w:lang w:val="en-US" w:eastAsia="zh-CN"/>
                <w14:textFill>
                  <w14:solidFill>
                    <w14:schemeClr w14:val="tx1"/>
                  </w14:solidFill>
                </w14:textFill>
              </w:rPr>
              <w:t>/a）</w:t>
            </w:r>
          </w:p>
        </w:tc>
        <w:tc>
          <w:tcPr>
            <w:tcW w:w="545" w:type="pct"/>
            <w:noWrap w:val="0"/>
            <w:vAlign w:val="center"/>
          </w:tcPr>
          <w:p w14:paraId="5ECBDAF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color w:val="000000" w:themeColor="text1"/>
                <w:spacing w:val="-1"/>
                <w:sz w:val="21"/>
                <w:szCs w:val="21"/>
                <w:highlight w:val="none"/>
                <w:u w:val="none" w:color="auto"/>
                <w:lang w:val="en-US" w:eastAsia="zh-CN"/>
                <w14:textFill>
                  <w14:solidFill>
                    <w14:schemeClr w14:val="tx1"/>
                  </w14:solidFill>
                </w14:textFill>
              </w:rPr>
            </w:pPr>
          </w:p>
        </w:tc>
        <w:tc>
          <w:tcPr>
            <w:tcW w:w="394" w:type="pct"/>
            <w:noWrap w:val="0"/>
            <w:vAlign w:val="center"/>
          </w:tcPr>
          <w:p w14:paraId="58DBB252">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b w:val="0"/>
                <w:bCs/>
                <w:color w:val="7030A0"/>
                <w:kern w:val="2"/>
                <w:sz w:val="21"/>
                <w:szCs w:val="21"/>
                <w:highlight w:val="none"/>
                <w:u w:val="none" w:color="auto"/>
                <w:lang w:val="en-US" w:eastAsia="zh-CN" w:bidi="ar-SA"/>
              </w:rPr>
            </w:pPr>
          </w:p>
        </w:tc>
        <w:tc>
          <w:tcPr>
            <w:tcW w:w="544" w:type="pct"/>
            <w:noWrap w:val="0"/>
            <w:vAlign w:val="center"/>
          </w:tcPr>
          <w:p w14:paraId="18A692E1">
            <w:pPr>
              <w:pStyle w:val="3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rPr>
                <w:rFonts w:hint="default" w:ascii="Times New Roman" w:hAnsi="Times New Roman" w:eastAsia="宋体" w:cs="Times New Roman"/>
                <w:b w:val="0"/>
                <w:bCs/>
                <w:snapToGrid w:val="0"/>
                <w:color w:val="7030A0"/>
                <w:kern w:val="21"/>
                <w:sz w:val="21"/>
                <w:szCs w:val="21"/>
                <w:highlight w:val="none"/>
                <w:u w:val="none" w:color="auto"/>
              </w:rPr>
            </w:pPr>
          </w:p>
        </w:tc>
        <w:tc>
          <w:tcPr>
            <w:tcW w:w="545" w:type="pct"/>
            <w:noWrap w:val="0"/>
            <w:vAlign w:val="center"/>
          </w:tcPr>
          <w:p w14:paraId="015EE01B">
            <w:pPr>
              <w:keepNext w:val="0"/>
              <w:keepLines w:val="0"/>
              <w:pageBreakBefore w:val="0"/>
              <w:widowControl/>
              <w:suppressLineNumbers w:val="0"/>
              <w:kinsoku/>
              <w:wordWrap/>
              <w:overflowPunct/>
              <w:topLinePunct w:val="0"/>
              <w:bidi w:val="0"/>
              <w:spacing w:before="0" w:beforeAutospacing="0" w:after="0" w:afterAutospacing="0" w:line="240" w:lineRule="auto"/>
              <w:ind w:left="0" w:right="0"/>
              <w:jc w:val="center"/>
              <w:textAlignment w:val="center"/>
              <w:rPr>
                <w:rFonts w:hint="default" w:ascii="Times New Roman" w:hAnsi="Times New Roman" w:eastAsia="宋体" w:cs="Times New Roman"/>
                <w:b w:val="0"/>
                <w:bCs/>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b w:val="0"/>
                <w:bCs/>
                <w:color w:val="000000" w:themeColor="text1"/>
                <w:spacing w:val="-1"/>
                <w:sz w:val="21"/>
                <w:szCs w:val="21"/>
                <w:highlight w:val="none"/>
                <w:u w:val="none" w:color="auto"/>
                <w:lang w:val="en-US" w:eastAsia="zh-CN"/>
                <w14:textFill>
                  <w14:solidFill>
                    <w14:schemeClr w14:val="tx1"/>
                  </w14:solidFill>
                </w14:textFill>
              </w:rPr>
              <w:t>/</w:t>
            </w:r>
          </w:p>
        </w:tc>
        <w:tc>
          <w:tcPr>
            <w:tcW w:w="551" w:type="pct"/>
            <w:noWrap w:val="0"/>
            <w:vAlign w:val="center"/>
          </w:tcPr>
          <w:p w14:paraId="2C0BE02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color w:val="000000" w:themeColor="text1"/>
                <w:kern w:val="2"/>
                <w:sz w:val="21"/>
                <w:szCs w:val="21"/>
                <w:highlight w:val="none"/>
                <w:u w:val="none" w:color="auto"/>
                <w14:textFill>
                  <w14:solidFill>
                    <w14:schemeClr w14:val="tx1"/>
                  </w14:solidFill>
                </w14:textFill>
              </w:rPr>
            </w:pPr>
          </w:p>
        </w:tc>
        <w:tc>
          <w:tcPr>
            <w:tcW w:w="742" w:type="pct"/>
            <w:shd w:val="clear" w:color="auto" w:fill="auto"/>
            <w:noWrap w:val="0"/>
            <w:vAlign w:val="center"/>
          </w:tcPr>
          <w:p w14:paraId="285D6C67">
            <w:pPr>
              <w:keepNext w:val="0"/>
              <w:keepLines w:val="0"/>
              <w:pageBreakBefore w:val="0"/>
              <w:widowControl/>
              <w:suppressLineNumbers w:val="0"/>
              <w:kinsoku/>
              <w:wordWrap/>
              <w:overflowPunct/>
              <w:topLinePunct w:val="0"/>
              <w:bidi w:val="0"/>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b w:val="0"/>
                <w:bCs/>
                <w:color w:val="000000" w:themeColor="text1"/>
                <w:kern w:val="2"/>
                <w:sz w:val="21"/>
                <w:szCs w:val="21"/>
                <w:highlight w:val="none"/>
                <w:u w:val="none" w:color="auto"/>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spacing w:val="-1"/>
                <w:sz w:val="21"/>
                <w:szCs w:val="21"/>
                <w:highlight w:val="none"/>
                <w:u w:val="none" w:color="auto"/>
                <w:lang w:val="en-US" w:eastAsia="zh-CN"/>
                <w14:textFill>
                  <w14:solidFill>
                    <w14:schemeClr w14:val="tx1"/>
                  </w14:solidFill>
                </w14:textFill>
              </w:rPr>
              <w:t>/</w:t>
            </w:r>
          </w:p>
        </w:tc>
        <w:tc>
          <w:tcPr>
            <w:tcW w:w="475" w:type="pct"/>
            <w:shd w:val="clear" w:color="auto" w:fill="auto"/>
            <w:noWrap w:val="0"/>
            <w:vAlign w:val="center"/>
          </w:tcPr>
          <w:p w14:paraId="614627D5">
            <w:pPr>
              <w:keepNext w:val="0"/>
              <w:keepLines w:val="0"/>
              <w:pageBreakBefore w:val="0"/>
              <w:widowControl/>
              <w:suppressLineNumbers w:val="0"/>
              <w:kinsoku/>
              <w:wordWrap/>
              <w:overflowPunct/>
              <w:topLinePunct w:val="0"/>
              <w:bidi w:val="0"/>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b w:val="0"/>
                <w:bCs/>
                <w:color w:val="000000" w:themeColor="text1"/>
                <w:kern w:val="2"/>
                <w:sz w:val="21"/>
                <w:szCs w:val="21"/>
                <w:highlight w:val="none"/>
                <w:u w:val="none" w:color="auto"/>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spacing w:val="-1"/>
                <w:sz w:val="21"/>
                <w:szCs w:val="21"/>
                <w:highlight w:val="none"/>
                <w:u w:val="none" w:color="auto"/>
                <w:lang w:val="en-US" w:eastAsia="zh-CN"/>
                <w14:textFill>
                  <w14:solidFill>
                    <w14:schemeClr w14:val="tx1"/>
                  </w14:solidFill>
                </w14:textFill>
              </w:rPr>
              <w:t>/</w:t>
            </w:r>
          </w:p>
        </w:tc>
      </w:tr>
      <w:tr w14:paraId="5C55348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2" w:type="pct"/>
            <w:vMerge w:val="continue"/>
            <w:noWrap w:val="0"/>
            <w:vAlign w:val="center"/>
          </w:tcPr>
          <w:p w14:paraId="765733D6">
            <w:pPr>
              <w:pStyle w:val="3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rPr>
                <w:rFonts w:hint="default" w:ascii="Times New Roman" w:hAnsi="Times New Roman" w:eastAsia="宋体" w:cs="Times New Roman"/>
                <w:b w:val="0"/>
                <w:bCs/>
                <w:snapToGrid w:val="0"/>
                <w:color w:val="000000" w:themeColor="text1"/>
                <w:kern w:val="21"/>
                <w:sz w:val="21"/>
                <w:szCs w:val="21"/>
                <w:highlight w:val="none"/>
                <w:u w:val="none" w:color="auto"/>
                <w14:textFill>
                  <w14:solidFill>
                    <w14:schemeClr w14:val="tx1"/>
                  </w14:solidFill>
                </w14:textFill>
              </w:rPr>
            </w:pPr>
          </w:p>
        </w:tc>
        <w:tc>
          <w:tcPr>
            <w:tcW w:w="747" w:type="pct"/>
            <w:noWrap w:val="0"/>
            <w:vAlign w:val="center"/>
          </w:tcPr>
          <w:p w14:paraId="4B70910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val="0"/>
                <w:bCs/>
                <w:snapToGrid w:val="0"/>
                <w:color w:val="000000" w:themeColor="text1"/>
                <w:kern w:val="21"/>
                <w:sz w:val="21"/>
                <w:szCs w:val="21"/>
                <w:highlight w:val="none"/>
                <w:u w:val="none" w:color="auto"/>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u w:val="none" w:color="auto"/>
                <w14:textFill>
                  <w14:solidFill>
                    <w14:schemeClr w14:val="tx1"/>
                  </w14:solidFill>
                </w14:textFill>
              </w:rPr>
              <w:t>COD</w:t>
            </w:r>
            <w:r>
              <w:rPr>
                <w:rFonts w:hint="default" w:ascii="Times New Roman" w:hAnsi="Times New Roman" w:eastAsia="宋体" w:cs="Times New Roman"/>
                <w:b w:val="0"/>
                <w:bCs/>
                <w:color w:val="000000" w:themeColor="text1"/>
                <w:sz w:val="21"/>
                <w:szCs w:val="21"/>
                <w:highlight w:val="none"/>
                <w:u w:val="none" w:color="auto"/>
                <w14:textFill>
                  <w14:solidFill>
                    <w14:schemeClr w14:val="tx1"/>
                  </w14:solidFill>
                </w14:textFill>
              </w:rPr>
              <w:t>（t/a）</w:t>
            </w:r>
          </w:p>
        </w:tc>
        <w:tc>
          <w:tcPr>
            <w:tcW w:w="545" w:type="pct"/>
            <w:noWrap w:val="0"/>
            <w:vAlign w:val="center"/>
          </w:tcPr>
          <w:p w14:paraId="0ACCDA8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snapToGrid w:val="0"/>
                <w:color w:val="000000" w:themeColor="text1"/>
                <w:kern w:val="21"/>
                <w:sz w:val="21"/>
                <w:szCs w:val="21"/>
                <w:highlight w:val="none"/>
                <w:u w:val="none" w:color="auto"/>
                <w:lang w:val="en-US" w:eastAsia="zh-CN"/>
                <w14:textFill>
                  <w14:solidFill>
                    <w14:schemeClr w14:val="tx1"/>
                  </w14:solidFill>
                </w14:textFill>
              </w:rPr>
            </w:pPr>
          </w:p>
        </w:tc>
        <w:tc>
          <w:tcPr>
            <w:tcW w:w="394" w:type="pct"/>
            <w:noWrap w:val="0"/>
            <w:vAlign w:val="center"/>
          </w:tcPr>
          <w:p w14:paraId="4D11D7C0">
            <w:pPr>
              <w:pStyle w:val="3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rPr>
                <w:rFonts w:hint="default" w:ascii="Times New Roman" w:hAnsi="Times New Roman" w:eastAsia="宋体" w:cs="Times New Roman"/>
                <w:b w:val="0"/>
                <w:bCs/>
                <w:snapToGrid w:val="0"/>
                <w:color w:val="7030A0"/>
                <w:kern w:val="21"/>
                <w:sz w:val="21"/>
                <w:szCs w:val="21"/>
                <w:highlight w:val="none"/>
                <w:u w:val="none" w:color="auto"/>
              </w:rPr>
            </w:pPr>
          </w:p>
        </w:tc>
        <w:tc>
          <w:tcPr>
            <w:tcW w:w="544" w:type="pct"/>
            <w:noWrap w:val="0"/>
            <w:vAlign w:val="center"/>
          </w:tcPr>
          <w:p w14:paraId="68661305">
            <w:pPr>
              <w:pStyle w:val="3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rPr>
                <w:rFonts w:hint="default" w:ascii="Times New Roman" w:hAnsi="Times New Roman" w:eastAsia="宋体" w:cs="Times New Roman"/>
                <w:b w:val="0"/>
                <w:bCs/>
                <w:snapToGrid w:val="0"/>
                <w:color w:val="7030A0"/>
                <w:kern w:val="21"/>
                <w:sz w:val="21"/>
                <w:szCs w:val="21"/>
                <w:highlight w:val="none"/>
                <w:u w:val="none" w:color="auto"/>
              </w:rPr>
            </w:pPr>
          </w:p>
        </w:tc>
        <w:tc>
          <w:tcPr>
            <w:tcW w:w="545" w:type="pct"/>
            <w:noWrap w:val="0"/>
            <w:vAlign w:val="center"/>
          </w:tcPr>
          <w:p w14:paraId="681066B0">
            <w:pPr>
              <w:keepNext w:val="0"/>
              <w:keepLines w:val="0"/>
              <w:pageBreakBefore w:val="0"/>
              <w:widowControl/>
              <w:suppressLineNumbers w:val="0"/>
              <w:kinsoku/>
              <w:wordWrap/>
              <w:overflowPunct/>
              <w:topLinePunct w:val="0"/>
              <w:bidi w:val="0"/>
              <w:spacing w:before="0" w:beforeAutospacing="0" w:after="0" w:afterAutospacing="0" w:line="240" w:lineRule="auto"/>
              <w:ind w:left="0" w:right="0"/>
              <w:jc w:val="center"/>
              <w:textAlignment w:val="center"/>
              <w:rPr>
                <w:rFonts w:hint="default" w:ascii="Times New Roman" w:hAnsi="Times New Roman" w:eastAsia="宋体" w:cs="Times New Roman"/>
                <w:b w:val="0"/>
                <w:bCs/>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b w:val="0"/>
                <w:bCs/>
                <w:color w:val="000000" w:themeColor="text1"/>
                <w:spacing w:val="-1"/>
                <w:sz w:val="21"/>
                <w:szCs w:val="21"/>
                <w:highlight w:val="none"/>
                <w:u w:val="none" w:color="auto"/>
                <w:lang w:val="en-US" w:eastAsia="zh-CN"/>
                <w14:textFill>
                  <w14:solidFill>
                    <w14:schemeClr w14:val="tx1"/>
                  </w14:solidFill>
                </w14:textFill>
              </w:rPr>
              <w:t>/</w:t>
            </w:r>
          </w:p>
        </w:tc>
        <w:tc>
          <w:tcPr>
            <w:tcW w:w="551" w:type="pct"/>
            <w:noWrap w:val="0"/>
            <w:vAlign w:val="center"/>
          </w:tcPr>
          <w:p w14:paraId="794E2A2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color w:val="000000" w:themeColor="text1"/>
                <w:kern w:val="2"/>
                <w:sz w:val="21"/>
                <w:szCs w:val="21"/>
                <w:highlight w:val="none"/>
                <w:u w:val="none" w:color="auto"/>
                <w14:textFill>
                  <w14:solidFill>
                    <w14:schemeClr w14:val="tx1"/>
                  </w14:solidFill>
                </w14:textFill>
              </w:rPr>
            </w:pPr>
          </w:p>
        </w:tc>
        <w:tc>
          <w:tcPr>
            <w:tcW w:w="742" w:type="pct"/>
            <w:shd w:val="clear" w:color="auto" w:fill="auto"/>
            <w:noWrap w:val="0"/>
            <w:vAlign w:val="center"/>
          </w:tcPr>
          <w:p w14:paraId="587D5F0D">
            <w:pPr>
              <w:keepNext w:val="0"/>
              <w:keepLines w:val="0"/>
              <w:pageBreakBefore w:val="0"/>
              <w:widowControl/>
              <w:suppressLineNumbers w:val="0"/>
              <w:kinsoku/>
              <w:wordWrap/>
              <w:overflowPunct/>
              <w:topLinePunct w:val="0"/>
              <w:bidi w:val="0"/>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b w:val="0"/>
                <w:bCs/>
                <w:color w:val="000000" w:themeColor="text1"/>
                <w:kern w:val="2"/>
                <w:sz w:val="21"/>
                <w:szCs w:val="21"/>
                <w:highlight w:val="none"/>
                <w:u w:val="none" w:color="auto"/>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spacing w:val="-1"/>
                <w:sz w:val="21"/>
                <w:szCs w:val="21"/>
                <w:highlight w:val="none"/>
                <w:u w:val="none" w:color="auto"/>
                <w:lang w:val="en-US" w:eastAsia="zh-CN"/>
                <w14:textFill>
                  <w14:solidFill>
                    <w14:schemeClr w14:val="tx1"/>
                  </w14:solidFill>
                </w14:textFill>
              </w:rPr>
              <w:t>/</w:t>
            </w:r>
          </w:p>
        </w:tc>
        <w:tc>
          <w:tcPr>
            <w:tcW w:w="475" w:type="pct"/>
            <w:shd w:val="clear" w:color="auto" w:fill="auto"/>
            <w:noWrap w:val="0"/>
            <w:vAlign w:val="center"/>
          </w:tcPr>
          <w:p w14:paraId="5239183A">
            <w:pPr>
              <w:keepNext w:val="0"/>
              <w:keepLines w:val="0"/>
              <w:pageBreakBefore w:val="0"/>
              <w:widowControl/>
              <w:suppressLineNumbers w:val="0"/>
              <w:kinsoku/>
              <w:wordWrap/>
              <w:overflowPunct/>
              <w:topLinePunct w:val="0"/>
              <w:bidi w:val="0"/>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b w:val="0"/>
                <w:bCs/>
                <w:color w:val="000000" w:themeColor="text1"/>
                <w:kern w:val="2"/>
                <w:sz w:val="21"/>
                <w:szCs w:val="21"/>
                <w:highlight w:val="none"/>
                <w:u w:val="none" w:color="auto"/>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spacing w:val="-1"/>
                <w:sz w:val="21"/>
                <w:szCs w:val="21"/>
                <w:highlight w:val="none"/>
                <w:u w:val="none" w:color="auto"/>
                <w:lang w:val="en-US" w:eastAsia="zh-CN"/>
                <w14:textFill>
                  <w14:solidFill>
                    <w14:schemeClr w14:val="tx1"/>
                  </w14:solidFill>
                </w14:textFill>
              </w:rPr>
              <w:t>/</w:t>
            </w:r>
          </w:p>
        </w:tc>
      </w:tr>
      <w:tr w14:paraId="3D0447F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2" w:type="pct"/>
            <w:vMerge w:val="continue"/>
            <w:noWrap w:val="0"/>
            <w:vAlign w:val="center"/>
          </w:tcPr>
          <w:p w14:paraId="7C92E4A9">
            <w:pPr>
              <w:pStyle w:val="3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rPr>
                <w:rFonts w:hint="default" w:ascii="Times New Roman" w:hAnsi="Times New Roman" w:eastAsia="宋体" w:cs="Times New Roman"/>
                <w:b w:val="0"/>
                <w:bCs/>
                <w:snapToGrid w:val="0"/>
                <w:color w:val="000000" w:themeColor="text1"/>
                <w:kern w:val="21"/>
                <w:sz w:val="21"/>
                <w:szCs w:val="21"/>
                <w:highlight w:val="none"/>
                <w:u w:val="none" w:color="auto"/>
                <w14:textFill>
                  <w14:solidFill>
                    <w14:schemeClr w14:val="tx1"/>
                  </w14:solidFill>
                </w14:textFill>
              </w:rPr>
            </w:pPr>
          </w:p>
        </w:tc>
        <w:tc>
          <w:tcPr>
            <w:tcW w:w="747" w:type="pct"/>
            <w:noWrap w:val="0"/>
            <w:vAlign w:val="center"/>
          </w:tcPr>
          <w:p w14:paraId="22A4CE6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val="0"/>
                <w:bCs/>
                <w:snapToGrid w:val="0"/>
                <w:color w:val="000000" w:themeColor="text1"/>
                <w:kern w:val="21"/>
                <w:sz w:val="21"/>
                <w:szCs w:val="21"/>
                <w:highlight w:val="none"/>
                <w:u w:val="none" w:color="auto"/>
                <w14:textFill>
                  <w14:solidFill>
                    <w14:schemeClr w14:val="tx1"/>
                  </w14:solidFill>
                </w14:textFill>
              </w:rPr>
            </w:pPr>
            <w:r>
              <w:rPr>
                <w:rFonts w:hint="default" w:ascii="Times New Roman" w:hAnsi="Times New Roman" w:eastAsia="宋体" w:cs="Times New Roman"/>
                <w:b w:val="0"/>
                <w:bCs/>
                <w:snapToGrid w:val="0"/>
                <w:color w:val="000000" w:themeColor="text1"/>
                <w:kern w:val="21"/>
                <w:sz w:val="21"/>
                <w:szCs w:val="21"/>
                <w:highlight w:val="none"/>
                <w:u w:val="none" w:color="auto"/>
                <w14:textFill>
                  <w14:solidFill>
                    <w14:schemeClr w14:val="tx1"/>
                  </w14:solidFill>
                </w14:textFill>
              </w:rPr>
              <w:t>NH</w:t>
            </w:r>
            <w:r>
              <w:rPr>
                <w:rFonts w:hint="default" w:ascii="Times New Roman" w:hAnsi="Times New Roman" w:eastAsia="宋体" w:cs="Times New Roman"/>
                <w:b w:val="0"/>
                <w:bCs/>
                <w:snapToGrid w:val="0"/>
                <w:color w:val="000000" w:themeColor="text1"/>
                <w:kern w:val="21"/>
                <w:sz w:val="21"/>
                <w:szCs w:val="21"/>
                <w:highlight w:val="none"/>
                <w:u w:val="none" w:color="auto"/>
                <w:vertAlign w:val="subscript"/>
                <w14:textFill>
                  <w14:solidFill>
                    <w14:schemeClr w14:val="tx1"/>
                  </w14:solidFill>
                </w14:textFill>
              </w:rPr>
              <w:t>3</w:t>
            </w:r>
            <w:r>
              <w:rPr>
                <w:rFonts w:hint="default" w:ascii="Times New Roman" w:hAnsi="Times New Roman" w:eastAsia="宋体" w:cs="Times New Roman"/>
                <w:b w:val="0"/>
                <w:bCs/>
                <w:snapToGrid w:val="0"/>
                <w:color w:val="000000" w:themeColor="text1"/>
                <w:kern w:val="21"/>
                <w:sz w:val="21"/>
                <w:szCs w:val="21"/>
                <w:highlight w:val="none"/>
                <w:u w:val="none" w:color="auto"/>
                <w14:textFill>
                  <w14:solidFill>
                    <w14:schemeClr w14:val="tx1"/>
                  </w14:solidFill>
                </w14:textFill>
              </w:rPr>
              <w:t>-N</w:t>
            </w:r>
            <w:r>
              <w:rPr>
                <w:rFonts w:hint="default" w:ascii="Times New Roman" w:hAnsi="Times New Roman" w:eastAsia="宋体" w:cs="Times New Roman"/>
                <w:b w:val="0"/>
                <w:bCs/>
                <w:color w:val="000000" w:themeColor="text1"/>
                <w:sz w:val="21"/>
                <w:szCs w:val="21"/>
                <w:highlight w:val="none"/>
                <w:u w:val="none" w:color="auto"/>
                <w14:textFill>
                  <w14:solidFill>
                    <w14:schemeClr w14:val="tx1"/>
                  </w14:solidFill>
                </w14:textFill>
              </w:rPr>
              <w:t>（t/a）</w:t>
            </w:r>
          </w:p>
        </w:tc>
        <w:tc>
          <w:tcPr>
            <w:tcW w:w="545" w:type="pct"/>
            <w:noWrap w:val="0"/>
            <w:vAlign w:val="center"/>
          </w:tcPr>
          <w:p w14:paraId="162DCFC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snapToGrid w:val="0"/>
                <w:color w:val="000000" w:themeColor="text1"/>
                <w:kern w:val="21"/>
                <w:sz w:val="21"/>
                <w:szCs w:val="21"/>
                <w:highlight w:val="none"/>
                <w:u w:val="none" w:color="auto"/>
                <w:lang w:val="en-US" w:eastAsia="zh-CN"/>
                <w14:textFill>
                  <w14:solidFill>
                    <w14:schemeClr w14:val="tx1"/>
                  </w14:solidFill>
                </w14:textFill>
              </w:rPr>
            </w:pPr>
          </w:p>
        </w:tc>
        <w:tc>
          <w:tcPr>
            <w:tcW w:w="394" w:type="pct"/>
            <w:noWrap w:val="0"/>
            <w:vAlign w:val="center"/>
          </w:tcPr>
          <w:p w14:paraId="34582D15">
            <w:pPr>
              <w:pStyle w:val="3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rPr>
                <w:rFonts w:hint="default" w:ascii="Times New Roman" w:hAnsi="Times New Roman" w:eastAsia="宋体" w:cs="Times New Roman"/>
                <w:b w:val="0"/>
                <w:bCs/>
                <w:snapToGrid w:val="0"/>
                <w:color w:val="7030A0"/>
                <w:kern w:val="21"/>
                <w:sz w:val="21"/>
                <w:szCs w:val="21"/>
                <w:highlight w:val="none"/>
                <w:u w:val="none" w:color="auto"/>
              </w:rPr>
            </w:pPr>
          </w:p>
        </w:tc>
        <w:tc>
          <w:tcPr>
            <w:tcW w:w="544" w:type="pct"/>
            <w:noWrap w:val="0"/>
            <w:vAlign w:val="center"/>
          </w:tcPr>
          <w:p w14:paraId="64BF7366">
            <w:pPr>
              <w:pStyle w:val="3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rPr>
                <w:rFonts w:hint="default" w:ascii="Times New Roman" w:hAnsi="Times New Roman" w:eastAsia="宋体" w:cs="Times New Roman"/>
                <w:b w:val="0"/>
                <w:bCs/>
                <w:snapToGrid w:val="0"/>
                <w:color w:val="7030A0"/>
                <w:kern w:val="21"/>
                <w:sz w:val="21"/>
                <w:szCs w:val="21"/>
                <w:highlight w:val="none"/>
                <w:u w:val="none" w:color="auto"/>
              </w:rPr>
            </w:pPr>
          </w:p>
        </w:tc>
        <w:tc>
          <w:tcPr>
            <w:tcW w:w="545" w:type="pct"/>
            <w:noWrap w:val="0"/>
            <w:vAlign w:val="center"/>
          </w:tcPr>
          <w:p w14:paraId="2D730CA8">
            <w:pPr>
              <w:keepNext w:val="0"/>
              <w:keepLines w:val="0"/>
              <w:pageBreakBefore w:val="0"/>
              <w:widowControl/>
              <w:suppressLineNumbers w:val="0"/>
              <w:kinsoku/>
              <w:wordWrap/>
              <w:overflowPunct/>
              <w:topLinePunct w:val="0"/>
              <w:bidi w:val="0"/>
              <w:spacing w:before="0" w:beforeAutospacing="0" w:after="0" w:afterAutospacing="0" w:line="240" w:lineRule="auto"/>
              <w:ind w:left="0" w:right="0"/>
              <w:jc w:val="center"/>
              <w:textAlignment w:val="center"/>
              <w:rPr>
                <w:rFonts w:hint="default" w:ascii="Times New Roman" w:hAnsi="Times New Roman" w:eastAsia="宋体" w:cs="Times New Roman"/>
                <w:b w:val="0"/>
                <w:bCs/>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b w:val="0"/>
                <w:bCs/>
                <w:color w:val="000000" w:themeColor="text1"/>
                <w:spacing w:val="-1"/>
                <w:sz w:val="21"/>
                <w:szCs w:val="21"/>
                <w:highlight w:val="none"/>
                <w:u w:val="none" w:color="auto"/>
                <w:lang w:val="en-US" w:eastAsia="zh-CN"/>
                <w14:textFill>
                  <w14:solidFill>
                    <w14:schemeClr w14:val="tx1"/>
                  </w14:solidFill>
                </w14:textFill>
              </w:rPr>
              <w:t>/</w:t>
            </w:r>
          </w:p>
        </w:tc>
        <w:tc>
          <w:tcPr>
            <w:tcW w:w="551" w:type="pct"/>
            <w:noWrap w:val="0"/>
            <w:vAlign w:val="center"/>
          </w:tcPr>
          <w:p w14:paraId="443E5EF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color w:val="000000" w:themeColor="text1"/>
                <w:kern w:val="2"/>
                <w:sz w:val="21"/>
                <w:szCs w:val="21"/>
                <w:highlight w:val="none"/>
                <w:u w:val="none" w:color="auto"/>
                <w14:textFill>
                  <w14:solidFill>
                    <w14:schemeClr w14:val="tx1"/>
                  </w14:solidFill>
                </w14:textFill>
              </w:rPr>
            </w:pPr>
          </w:p>
        </w:tc>
        <w:tc>
          <w:tcPr>
            <w:tcW w:w="742" w:type="pct"/>
            <w:shd w:val="clear" w:color="auto" w:fill="auto"/>
            <w:noWrap w:val="0"/>
            <w:vAlign w:val="center"/>
          </w:tcPr>
          <w:p w14:paraId="52DF44AE">
            <w:pPr>
              <w:keepNext w:val="0"/>
              <w:keepLines w:val="0"/>
              <w:pageBreakBefore w:val="0"/>
              <w:widowControl/>
              <w:suppressLineNumbers w:val="0"/>
              <w:kinsoku/>
              <w:wordWrap/>
              <w:overflowPunct/>
              <w:topLinePunct w:val="0"/>
              <w:bidi w:val="0"/>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b w:val="0"/>
                <w:bCs/>
                <w:color w:val="000000" w:themeColor="text1"/>
                <w:kern w:val="2"/>
                <w:sz w:val="21"/>
                <w:szCs w:val="21"/>
                <w:highlight w:val="none"/>
                <w:u w:val="none" w:color="auto"/>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spacing w:val="-1"/>
                <w:sz w:val="21"/>
                <w:szCs w:val="21"/>
                <w:highlight w:val="none"/>
                <w:u w:val="none" w:color="auto"/>
                <w:lang w:val="en-US" w:eastAsia="zh-CN"/>
                <w14:textFill>
                  <w14:solidFill>
                    <w14:schemeClr w14:val="tx1"/>
                  </w14:solidFill>
                </w14:textFill>
              </w:rPr>
              <w:t>/</w:t>
            </w:r>
          </w:p>
        </w:tc>
        <w:tc>
          <w:tcPr>
            <w:tcW w:w="475" w:type="pct"/>
            <w:shd w:val="clear" w:color="auto" w:fill="auto"/>
            <w:noWrap w:val="0"/>
            <w:vAlign w:val="center"/>
          </w:tcPr>
          <w:p w14:paraId="6EDC41DA">
            <w:pPr>
              <w:keepNext w:val="0"/>
              <w:keepLines w:val="0"/>
              <w:pageBreakBefore w:val="0"/>
              <w:widowControl/>
              <w:suppressLineNumbers w:val="0"/>
              <w:kinsoku/>
              <w:wordWrap/>
              <w:overflowPunct/>
              <w:topLinePunct w:val="0"/>
              <w:bidi w:val="0"/>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b w:val="0"/>
                <w:bCs/>
                <w:color w:val="000000" w:themeColor="text1"/>
                <w:kern w:val="2"/>
                <w:sz w:val="21"/>
                <w:szCs w:val="21"/>
                <w:highlight w:val="none"/>
                <w:u w:val="none" w:color="auto"/>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spacing w:val="-1"/>
                <w:sz w:val="21"/>
                <w:szCs w:val="21"/>
                <w:highlight w:val="none"/>
                <w:u w:val="none" w:color="auto"/>
                <w:lang w:val="en-US" w:eastAsia="zh-CN"/>
                <w14:textFill>
                  <w14:solidFill>
                    <w14:schemeClr w14:val="tx1"/>
                  </w14:solidFill>
                </w14:textFill>
              </w:rPr>
              <w:t>/</w:t>
            </w:r>
          </w:p>
        </w:tc>
      </w:tr>
      <w:tr w14:paraId="5B1E4C3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2" w:type="pct"/>
            <w:vMerge w:val="restart"/>
            <w:noWrap w:val="0"/>
            <w:vAlign w:val="center"/>
          </w:tcPr>
          <w:p w14:paraId="2161E36D">
            <w:pPr>
              <w:pStyle w:val="3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rPr>
                <w:rFonts w:hint="default" w:ascii="Times New Roman" w:hAnsi="Times New Roman" w:eastAsia="宋体" w:cs="Times New Roman"/>
                <w:b w:val="0"/>
                <w:bCs/>
                <w:snapToGrid w:val="0"/>
                <w:color w:val="000000" w:themeColor="text1"/>
                <w:kern w:val="21"/>
                <w:sz w:val="21"/>
                <w:szCs w:val="21"/>
                <w:highlight w:val="none"/>
                <w:u w:val="none" w:color="auto"/>
                <w14:textFill>
                  <w14:solidFill>
                    <w14:schemeClr w14:val="tx1"/>
                  </w14:solidFill>
                </w14:textFill>
              </w:rPr>
            </w:pPr>
            <w:r>
              <w:rPr>
                <w:rFonts w:hint="default" w:ascii="Times New Roman" w:hAnsi="Times New Roman" w:eastAsia="宋体" w:cs="Times New Roman"/>
                <w:b w:val="0"/>
                <w:bCs/>
                <w:snapToGrid w:val="0"/>
                <w:color w:val="000000" w:themeColor="text1"/>
                <w:kern w:val="21"/>
                <w:sz w:val="21"/>
                <w:szCs w:val="21"/>
                <w:highlight w:val="none"/>
                <w:u w:val="none" w:color="auto"/>
                <w14:textFill>
                  <w14:solidFill>
                    <w14:schemeClr w14:val="tx1"/>
                  </w14:solidFill>
                </w14:textFill>
              </w:rPr>
              <w:t>一般工业</w:t>
            </w:r>
          </w:p>
          <w:p w14:paraId="161F9514">
            <w:pPr>
              <w:pStyle w:val="3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rPr>
                <w:rFonts w:hint="default" w:ascii="Times New Roman" w:hAnsi="Times New Roman" w:eastAsia="宋体" w:cs="Times New Roman"/>
                <w:b w:val="0"/>
                <w:bCs/>
                <w:snapToGrid w:val="0"/>
                <w:color w:val="000000" w:themeColor="text1"/>
                <w:kern w:val="21"/>
                <w:sz w:val="21"/>
                <w:szCs w:val="21"/>
                <w:highlight w:val="none"/>
                <w:u w:val="none" w:color="auto"/>
                <w14:textFill>
                  <w14:solidFill>
                    <w14:schemeClr w14:val="tx1"/>
                  </w14:solidFill>
                </w14:textFill>
              </w:rPr>
            </w:pPr>
            <w:r>
              <w:rPr>
                <w:rFonts w:hint="default" w:ascii="Times New Roman" w:hAnsi="Times New Roman" w:eastAsia="宋体" w:cs="Times New Roman"/>
                <w:b w:val="0"/>
                <w:bCs/>
                <w:snapToGrid w:val="0"/>
                <w:color w:val="000000" w:themeColor="text1"/>
                <w:kern w:val="21"/>
                <w:sz w:val="21"/>
                <w:szCs w:val="21"/>
                <w:highlight w:val="none"/>
                <w:u w:val="none" w:color="auto"/>
                <w14:textFill>
                  <w14:solidFill>
                    <w14:schemeClr w14:val="tx1"/>
                  </w14:solidFill>
                </w14:textFill>
              </w:rPr>
              <w:t>固体废物</w:t>
            </w:r>
          </w:p>
        </w:tc>
        <w:tc>
          <w:tcPr>
            <w:tcW w:w="747" w:type="pct"/>
            <w:noWrap w:val="0"/>
            <w:vAlign w:val="center"/>
          </w:tcPr>
          <w:p w14:paraId="141094A7">
            <w:pPr>
              <w:pStyle w:val="3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leftChars="0" w:right="0" w:firstLine="0" w:firstLineChars="0"/>
              <w:jc w:val="center"/>
              <w:rPr>
                <w:rFonts w:hint="default" w:ascii="Times New Roman" w:hAnsi="Times New Roman" w:eastAsia="宋体" w:cs="Times New Roman"/>
                <w:b w:val="0"/>
                <w:bCs/>
                <w:snapToGrid w:val="0"/>
                <w:color w:val="000000" w:themeColor="text1"/>
                <w:kern w:val="21"/>
                <w:sz w:val="21"/>
                <w:szCs w:val="21"/>
                <w:highlight w:val="none"/>
                <w:u w:val="none" w:color="auto"/>
                <w14:textFill>
                  <w14:solidFill>
                    <w14:schemeClr w14:val="tx1"/>
                  </w14:solidFill>
                </w14:textFill>
              </w:rPr>
            </w:pPr>
            <w:r>
              <w:rPr>
                <w:rFonts w:hint="default" w:ascii="Times New Roman" w:hAnsi="Times New Roman" w:eastAsia="宋体" w:cs="Times New Roman"/>
                <w:b w:val="0"/>
                <w:bCs/>
                <w:snapToGrid w:val="0"/>
                <w:color w:val="000000" w:themeColor="text1"/>
                <w:kern w:val="21"/>
                <w:sz w:val="21"/>
                <w:szCs w:val="21"/>
                <w:highlight w:val="none"/>
                <w:u w:val="none" w:color="auto"/>
                <w14:textFill>
                  <w14:solidFill>
                    <w14:schemeClr w14:val="tx1"/>
                  </w14:solidFill>
                </w14:textFill>
              </w:rPr>
              <w:t>生活垃圾</w:t>
            </w:r>
            <w:r>
              <w:rPr>
                <w:rFonts w:hint="default" w:ascii="Times New Roman" w:hAnsi="Times New Roman" w:eastAsia="宋体" w:cs="Times New Roman"/>
                <w:b w:val="0"/>
                <w:bCs/>
                <w:color w:val="000000" w:themeColor="text1"/>
                <w:sz w:val="21"/>
                <w:szCs w:val="21"/>
                <w:highlight w:val="none"/>
                <w:u w:val="none" w:color="auto"/>
                <w14:textFill>
                  <w14:solidFill>
                    <w14:schemeClr w14:val="tx1"/>
                  </w14:solidFill>
                </w14:textFill>
              </w:rPr>
              <w:t>（t/a）</w:t>
            </w:r>
          </w:p>
        </w:tc>
        <w:tc>
          <w:tcPr>
            <w:tcW w:w="545" w:type="pct"/>
            <w:shd w:val="clear" w:color="auto" w:fill="auto"/>
            <w:noWrap w:val="0"/>
            <w:vAlign w:val="center"/>
          </w:tcPr>
          <w:p w14:paraId="3D6CB4C0">
            <w:pPr>
              <w:pStyle w:val="3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leftChars="0" w:right="0" w:rightChars="0" w:firstLine="0" w:firstLineChars="0"/>
              <w:jc w:val="center"/>
              <w:rPr>
                <w:rFonts w:hint="default" w:ascii="Times New Roman" w:hAnsi="Times New Roman" w:eastAsia="宋体" w:cs="Times New Roman"/>
                <w:b w:val="0"/>
                <w:bCs/>
                <w:snapToGrid w:val="0"/>
                <w:color w:val="000000" w:themeColor="text1"/>
                <w:spacing w:val="6"/>
                <w:kern w:val="21"/>
                <w:sz w:val="21"/>
                <w:szCs w:val="21"/>
                <w:highlight w:val="none"/>
                <w:u w:val="none" w:color="auto"/>
                <w:lang w:val="en-US" w:eastAsia="zh-CN" w:bidi="ar-SA"/>
                <w14:textFill>
                  <w14:solidFill>
                    <w14:schemeClr w14:val="tx1"/>
                  </w14:solidFill>
                </w14:textFill>
              </w:rPr>
            </w:pPr>
          </w:p>
        </w:tc>
        <w:tc>
          <w:tcPr>
            <w:tcW w:w="394" w:type="pct"/>
            <w:noWrap w:val="0"/>
            <w:vAlign w:val="center"/>
          </w:tcPr>
          <w:p w14:paraId="3FE90385">
            <w:pPr>
              <w:pStyle w:val="3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rPr>
                <w:rFonts w:hint="default" w:ascii="Times New Roman" w:hAnsi="Times New Roman" w:eastAsia="宋体" w:cs="Times New Roman"/>
                <w:b w:val="0"/>
                <w:bCs/>
                <w:snapToGrid w:val="0"/>
                <w:color w:val="000000" w:themeColor="text1"/>
                <w:kern w:val="21"/>
                <w:sz w:val="21"/>
                <w:szCs w:val="21"/>
                <w:highlight w:val="none"/>
                <w:u w:val="none" w:color="auto"/>
                <w14:textFill>
                  <w14:solidFill>
                    <w14:schemeClr w14:val="tx1"/>
                  </w14:solidFill>
                </w14:textFill>
              </w:rPr>
            </w:pPr>
          </w:p>
        </w:tc>
        <w:tc>
          <w:tcPr>
            <w:tcW w:w="544" w:type="pct"/>
            <w:noWrap w:val="0"/>
            <w:vAlign w:val="center"/>
          </w:tcPr>
          <w:p w14:paraId="4EF3BB58">
            <w:pPr>
              <w:pStyle w:val="3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rPr>
                <w:rFonts w:hint="default" w:ascii="Times New Roman" w:hAnsi="Times New Roman" w:eastAsia="宋体" w:cs="Times New Roman"/>
                <w:b w:val="0"/>
                <w:bCs/>
                <w:snapToGrid w:val="0"/>
                <w:color w:val="000000" w:themeColor="text1"/>
                <w:kern w:val="21"/>
                <w:sz w:val="21"/>
                <w:szCs w:val="21"/>
                <w:highlight w:val="none"/>
                <w:u w:val="none" w:color="auto"/>
                <w14:textFill>
                  <w14:solidFill>
                    <w14:schemeClr w14:val="tx1"/>
                  </w14:solidFill>
                </w14:textFill>
              </w:rPr>
            </w:pPr>
          </w:p>
        </w:tc>
        <w:tc>
          <w:tcPr>
            <w:tcW w:w="1537" w:type="dxa"/>
            <w:noWrap w:val="0"/>
            <w:vAlign w:val="center"/>
          </w:tcPr>
          <w:p w14:paraId="6D74ACF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color w:val="000000" w:themeColor="text1"/>
                <w:sz w:val="21"/>
                <w:szCs w:val="21"/>
                <w:highlight w:val="none"/>
                <w:u w:val="none" w:color="auto"/>
                <w:lang w:val="en-US"/>
                <w14:textFill>
                  <w14:solidFill>
                    <w14:schemeClr w14:val="tx1"/>
                  </w14:solidFill>
                </w14:textFill>
              </w:rPr>
            </w:pPr>
            <w:r>
              <w:rPr>
                <w:rFonts w:hint="eastAsia" w:cs="Times New Roman"/>
                <w:bCs/>
                <w:color w:val="000000" w:themeColor="text1"/>
                <w:kern w:val="0"/>
                <w:sz w:val="21"/>
                <w:szCs w:val="21"/>
                <w:highlight w:val="none"/>
                <w:u w:val="none" w:color="auto"/>
                <w:lang w:val="en-US" w:eastAsia="zh-CN"/>
                <w14:textFill>
                  <w14:solidFill>
                    <w14:schemeClr w14:val="tx1"/>
                  </w14:solidFill>
                </w14:textFill>
              </w:rPr>
              <w:t>3.0</w:t>
            </w:r>
          </w:p>
        </w:tc>
        <w:tc>
          <w:tcPr>
            <w:tcW w:w="551" w:type="pct"/>
            <w:noWrap w:val="0"/>
            <w:vAlign w:val="center"/>
          </w:tcPr>
          <w:p w14:paraId="1F1A9E0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color w:val="7030A0"/>
                <w:sz w:val="21"/>
                <w:szCs w:val="21"/>
                <w:highlight w:val="none"/>
                <w:u w:val="none" w:color="auto"/>
              </w:rPr>
            </w:pPr>
          </w:p>
        </w:tc>
        <w:tc>
          <w:tcPr>
            <w:tcW w:w="2093" w:type="dxa"/>
            <w:shd w:val="clear" w:color="auto" w:fill="auto"/>
            <w:noWrap w:val="0"/>
            <w:vAlign w:val="center"/>
          </w:tcPr>
          <w:p w14:paraId="1160463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color w:val="000000" w:themeColor="text1"/>
                <w:kern w:val="2"/>
                <w:sz w:val="21"/>
                <w:szCs w:val="21"/>
                <w:highlight w:val="none"/>
                <w:u w:val="none" w:color="auto"/>
                <w:lang w:val="en-US" w:eastAsia="zh-CN" w:bidi="ar-SA"/>
                <w14:textFill>
                  <w14:solidFill>
                    <w14:schemeClr w14:val="tx1"/>
                  </w14:solidFill>
                </w14:textFill>
              </w:rPr>
            </w:pPr>
            <w:r>
              <w:rPr>
                <w:rFonts w:hint="eastAsia" w:cs="Times New Roman"/>
                <w:bCs/>
                <w:color w:val="000000" w:themeColor="text1"/>
                <w:kern w:val="0"/>
                <w:sz w:val="21"/>
                <w:szCs w:val="21"/>
                <w:highlight w:val="none"/>
                <w:u w:val="none" w:color="auto"/>
                <w:lang w:val="en-US" w:eastAsia="zh-CN"/>
                <w14:textFill>
                  <w14:solidFill>
                    <w14:schemeClr w14:val="tx1"/>
                  </w14:solidFill>
                </w14:textFill>
              </w:rPr>
              <w:t>3.0</w:t>
            </w:r>
          </w:p>
        </w:tc>
        <w:tc>
          <w:tcPr>
            <w:tcW w:w="1341" w:type="dxa"/>
            <w:shd w:val="clear" w:color="auto" w:fill="auto"/>
            <w:noWrap w:val="0"/>
            <w:vAlign w:val="center"/>
          </w:tcPr>
          <w:p w14:paraId="115D1BC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color w:val="000000" w:themeColor="text1"/>
                <w:kern w:val="2"/>
                <w:sz w:val="21"/>
                <w:szCs w:val="21"/>
                <w:highlight w:val="none"/>
                <w:u w:val="none" w:color="auto"/>
                <w:lang w:val="en-US" w:eastAsia="zh-CN" w:bidi="ar-SA"/>
                <w14:textFill>
                  <w14:solidFill>
                    <w14:schemeClr w14:val="tx1"/>
                  </w14:solidFill>
                </w14:textFill>
              </w:rPr>
            </w:pPr>
            <w:r>
              <w:rPr>
                <w:rFonts w:hint="eastAsia" w:cs="Times New Roman"/>
                <w:bCs/>
                <w:color w:val="000000" w:themeColor="text1"/>
                <w:kern w:val="0"/>
                <w:sz w:val="21"/>
                <w:szCs w:val="21"/>
                <w:highlight w:val="none"/>
                <w:u w:val="none" w:color="auto"/>
                <w:lang w:val="en-US" w:eastAsia="zh-CN"/>
                <w14:textFill>
                  <w14:solidFill>
                    <w14:schemeClr w14:val="tx1"/>
                  </w14:solidFill>
                </w14:textFill>
              </w:rPr>
              <w:t>+3.0</w:t>
            </w:r>
          </w:p>
        </w:tc>
      </w:tr>
      <w:tr w14:paraId="533F0ED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2" w:type="pct"/>
            <w:vMerge w:val="continue"/>
            <w:noWrap w:val="0"/>
            <w:vAlign w:val="center"/>
          </w:tcPr>
          <w:p w14:paraId="08541998">
            <w:pPr>
              <w:pStyle w:val="3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rPr>
                <w:rFonts w:hint="default" w:ascii="Times New Roman" w:hAnsi="Times New Roman" w:eastAsia="宋体" w:cs="Times New Roman"/>
                <w:b w:val="0"/>
                <w:bCs/>
                <w:snapToGrid w:val="0"/>
                <w:color w:val="000000" w:themeColor="text1"/>
                <w:kern w:val="21"/>
                <w:sz w:val="21"/>
                <w:szCs w:val="21"/>
                <w:highlight w:val="none"/>
                <w:u w:val="none" w:color="auto"/>
                <w14:textFill>
                  <w14:solidFill>
                    <w14:schemeClr w14:val="tx1"/>
                  </w14:solidFill>
                </w14:textFill>
              </w:rPr>
            </w:pPr>
          </w:p>
        </w:tc>
        <w:tc>
          <w:tcPr>
            <w:tcW w:w="747" w:type="pct"/>
            <w:noWrap w:val="0"/>
            <w:vAlign w:val="center"/>
          </w:tcPr>
          <w:p w14:paraId="788AD765">
            <w:pPr>
              <w:pStyle w:val="3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leftChars="0" w:right="0" w:firstLine="0" w:firstLineChars="0"/>
              <w:jc w:val="center"/>
              <w:rPr>
                <w:rFonts w:hint="default" w:ascii="Times New Roman" w:hAnsi="Times New Roman" w:eastAsia="宋体" w:cs="Times New Roman"/>
                <w:b w:val="0"/>
                <w:bCs/>
                <w:snapToGrid w:val="0"/>
                <w:color w:val="000000" w:themeColor="text1"/>
                <w:kern w:val="21"/>
                <w:sz w:val="21"/>
                <w:szCs w:val="21"/>
                <w:highlight w:val="none"/>
                <w:u w:val="none" w:color="auto"/>
                <w14:textFill>
                  <w14:solidFill>
                    <w14:schemeClr w14:val="tx1"/>
                  </w14:solidFill>
                </w14:textFill>
              </w:rPr>
            </w:pPr>
            <w:r>
              <w:rPr>
                <w:rFonts w:hint="default" w:ascii="Times New Roman" w:hAnsi="Times New Roman" w:eastAsia="宋体" w:cs="Times New Roman"/>
                <w:b w:val="0"/>
                <w:bCs/>
                <w:snapToGrid w:val="0"/>
                <w:color w:val="000000" w:themeColor="text1"/>
                <w:kern w:val="21"/>
                <w:sz w:val="21"/>
                <w:szCs w:val="21"/>
                <w:highlight w:val="none"/>
                <w:u w:val="none" w:color="auto"/>
                <w14:textFill>
                  <w14:solidFill>
                    <w14:schemeClr w14:val="tx1"/>
                  </w14:solidFill>
                </w14:textFill>
              </w:rPr>
              <w:t>化粪池污泥</w:t>
            </w:r>
            <w:r>
              <w:rPr>
                <w:rFonts w:hint="default" w:ascii="Times New Roman" w:hAnsi="Times New Roman" w:eastAsia="宋体" w:cs="Times New Roman"/>
                <w:b w:val="0"/>
                <w:bCs/>
                <w:color w:val="000000" w:themeColor="text1"/>
                <w:sz w:val="21"/>
                <w:szCs w:val="21"/>
                <w:highlight w:val="none"/>
                <w:u w:val="none" w:color="auto"/>
                <w14:textFill>
                  <w14:solidFill>
                    <w14:schemeClr w14:val="tx1"/>
                  </w14:solidFill>
                </w14:textFill>
              </w:rPr>
              <w:t>（t/a）</w:t>
            </w:r>
          </w:p>
        </w:tc>
        <w:tc>
          <w:tcPr>
            <w:tcW w:w="545" w:type="pct"/>
            <w:shd w:val="clear" w:color="auto" w:fill="auto"/>
            <w:noWrap w:val="0"/>
            <w:vAlign w:val="center"/>
          </w:tcPr>
          <w:p w14:paraId="30DBBE5F">
            <w:pPr>
              <w:pStyle w:val="3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leftChars="0" w:right="0" w:rightChars="0" w:firstLine="0" w:firstLineChars="0"/>
              <w:jc w:val="center"/>
              <w:rPr>
                <w:rFonts w:hint="default" w:ascii="Times New Roman" w:hAnsi="Times New Roman" w:eastAsia="宋体" w:cs="Times New Roman"/>
                <w:b w:val="0"/>
                <w:bCs/>
                <w:snapToGrid w:val="0"/>
                <w:color w:val="000000" w:themeColor="text1"/>
                <w:spacing w:val="6"/>
                <w:kern w:val="21"/>
                <w:sz w:val="21"/>
                <w:szCs w:val="21"/>
                <w:highlight w:val="none"/>
                <w:u w:val="none" w:color="auto"/>
                <w:lang w:val="en-US" w:eastAsia="zh-CN" w:bidi="ar-SA"/>
                <w14:textFill>
                  <w14:solidFill>
                    <w14:schemeClr w14:val="tx1"/>
                  </w14:solidFill>
                </w14:textFill>
              </w:rPr>
            </w:pPr>
          </w:p>
        </w:tc>
        <w:tc>
          <w:tcPr>
            <w:tcW w:w="394" w:type="pct"/>
            <w:noWrap w:val="0"/>
            <w:vAlign w:val="center"/>
          </w:tcPr>
          <w:p w14:paraId="75D7BD7D">
            <w:pPr>
              <w:pStyle w:val="3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rPr>
                <w:rFonts w:hint="default" w:ascii="Times New Roman" w:hAnsi="Times New Roman" w:eastAsia="宋体" w:cs="Times New Roman"/>
                <w:b w:val="0"/>
                <w:bCs/>
                <w:snapToGrid w:val="0"/>
                <w:color w:val="000000" w:themeColor="text1"/>
                <w:kern w:val="21"/>
                <w:sz w:val="21"/>
                <w:szCs w:val="21"/>
                <w:highlight w:val="none"/>
                <w:u w:val="none" w:color="auto"/>
                <w14:textFill>
                  <w14:solidFill>
                    <w14:schemeClr w14:val="tx1"/>
                  </w14:solidFill>
                </w14:textFill>
              </w:rPr>
            </w:pPr>
          </w:p>
        </w:tc>
        <w:tc>
          <w:tcPr>
            <w:tcW w:w="544" w:type="pct"/>
            <w:noWrap w:val="0"/>
            <w:vAlign w:val="center"/>
          </w:tcPr>
          <w:p w14:paraId="39F40664">
            <w:pPr>
              <w:pStyle w:val="3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rPr>
                <w:rFonts w:hint="default" w:ascii="Times New Roman" w:hAnsi="Times New Roman" w:eastAsia="宋体" w:cs="Times New Roman"/>
                <w:b w:val="0"/>
                <w:bCs/>
                <w:snapToGrid w:val="0"/>
                <w:color w:val="000000" w:themeColor="text1"/>
                <w:kern w:val="21"/>
                <w:sz w:val="21"/>
                <w:szCs w:val="21"/>
                <w:highlight w:val="none"/>
                <w:u w:val="none" w:color="auto"/>
                <w14:textFill>
                  <w14:solidFill>
                    <w14:schemeClr w14:val="tx1"/>
                  </w14:solidFill>
                </w14:textFill>
              </w:rPr>
            </w:pPr>
          </w:p>
        </w:tc>
        <w:tc>
          <w:tcPr>
            <w:tcW w:w="1537" w:type="dxa"/>
            <w:noWrap w:val="0"/>
            <w:vAlign w:val="center"/>
          </w:tcPr>
          <w:p w14:paraId="55E881A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color w:val="000000" w:themeColor="text1"/>
                <w:sz w:val="21"/>
                <w:szCs w:val="21"/>
                <w:highlight w:val="none"/>
                <w:u w:val="none" w:color="auto"/>
                <w:lang w:val="en-US"/>
                <w14:textFill>
                  <w14:solidFill>
                    <w14:schemeClr w14:val="tx1"/>
                  </w14:solidFill>
                </w14:textFill>
              </w:rPr>
            </w:pPr>
            <w:r>
              <w:rPr>
                <w:rFonts w:hint="eastAsia" w:ascii="Times New Roman" w:hAnsi="Times New Roman" w:eastAsia="宋体" w:cs="Times New Roman"/>
                <w:bCs/>
                <w:color w:val="000000" w:themeColor="text1"/>
                <w:kern w:val="0"/>
                <w:sz w:val="21"/>
                <w:szCs w:val="21"/>
                <w:highlight w:val="none"/>
                <w:u w:val="none" w:color="auto"/>
                <w:lang w:val="en-US" w:eastAsia="zh-CN"/>
                <w14:textFill>
                  <w14:solidFill>
                    <w14:schemeClr w14:val="tx1"/>
                  </w14:solidFill>
                </w14:textFill>
              </w:rPr>
              <w:t>1.5</w:t>
            </w:r>
          </w:p>
        </w:tc>
        <w:tc>
          <w:tcPr>
            <w:tcW w:w="551" w:type="pct"/>
            <w:noWrap w:val="0"/>
            <w:vAlign w:val="center"/>
          </w:tcPr>
          <w:p w14:paraId="1B483E3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color w:val="7030A0"/>
                <w:sz w:val="21"/>
                <w:szCs w:val="21"/>
                <w:highlight w:val="none"/>
                <w:u w:val="none" w:color="auto"/>
              </w:rPr>
            </w:pPr>
          </w:p>
        </w:tc>
        <w:tc>
          <w:tcPr>
            <w:tcW w:w="2093" w:type="dxa"/>
            <w:shd w:val="clear" w:color="auto" w:fill="auto"/>
            <w:noWrap w:val="0"/>
            <w:vAlign w:val="center"/>
          </w:tcPr>
          <w:p w14:paraId="1498867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color w:val="000000" w:themeColor="text1"/>
                <w:kern w:val="2"/>
                <w:sz w:val="21"/>
                <w:szCs w:val="21"/>
                <w:highlight w:val="none"/>
                <w:u w:val="none" w:color="auto"/>
                <w:lang w:val="en-US" w:eastAsia="zh-CN" w:bidi="ar-SA"/>
                <w14:textFill>
                  <w14:solidFill>
                    <w14:schemeClr w14:val="tx1"/>
                  </w14:solidFill>
                </w14:textFill>
              </w:rPr>
            </w:pPr>
            <w:r>
              <w:rPr>
                <w:rFonts w:hint="eastAsia" w:ascii="Times New Roman" w:hAnsi="Times New Roman" w:eastAsia="宋体" w:cs="Times New Roman"/>
                <w:bCs/>
                <w:color w:val="000000" w:themeColor="text1"/>
                <w:kern w:val="0"/>
                <w:sz w:val="21"/>
                <w:szCs w:val="21"/>
                <w:highlight w:val="none"/>
                <w:u w:val="none" w:color="auto"/>
                <w:lang w:val="en-US" w:eastAsia="zh-CN"/>
                <w14:textFill>
                  <w14:solidFill>
                    <w14:schemeClr w14:val="tx1"/>
                  </w14:solidFill>
                </w14:textFill>
              </w:rPr>
              <w:t>1.5</w:t>
            </w:r>
          </w:p>
        </w:tc>
        <w:tc>
          <w:tcPr>
            <w:tcW w:w="1341" w:type="dxa"/>
            <w:shd w:val="clear" w:color="auto" w:fill="auto"/>
            <w:noWrap w:val="0"/>
            <w:vAlign w:val="center"/>
          </w:tcPr>
          <w:p w14:paraId="442BAF6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color w:val="000000" w:themeColor="text1"/>
                <w:kern w:val="2"/>
                <w:sz w:val="21"/>
                <w:szCs w:val="21"/>
                <w:highlight w:val="none"/>
                <w:u w:val="none" w:color="auto"/>
                <w:lang w:val="en-US" w:eastAsia="zh-CN" w:bidi="ar-SA"/>
                <w14:textFill>
                  <w14:solidFill>
                    <w14:schemeClr w14:val="tx1"/>
                  </w14:solidFill>
                </w14:textFill>
              </w:rPr>
            </w:pPr>
            <w:r>
              <w:rPr>
                <w:rFonts w:hint="eastAsia" w:ascii="Times New Roman" w:hAnsi="Times New Roman" w:eastAsia="宋体" w:cs="Times New Roman"/>
                <w:bCs/>
                <w:color w:val="000000" w:themeColor="text1"/>
                <w:kern w:val="0"/>
                <w:sz w:val="21"/>
                <w:szCs w:val="21"/>
                <w:highlight w:val="none"/>
                <w:u w:val="none" w:color="auto"/>
                <w:lang w:val="en-US" w:eastAsia="zh-CN"/>
                <w14:textFill>
                  <w14:solidFill>
                    <w14:schemeClr w14:val="tx1"/>
                  </w14:solidFill>
                </w14:textFill>
              </w:rPr>
              <w:t>+1.5</w:t>
            </w:r>
          </w:p>
        </w:tc>
      </w:tr>
      <w:tr w14:paraId="2FA3C71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2" w:type="pct"/>
            <w:vMerge w:val="continue"/>
            <w:noWrap w:val="0"/>
            <w:vAlign w:val="center"/>
          </w:tcPr>
          <w:p w14:paraId="192B38DC">
            <w:pPr>
              <w:pStyle w:val="3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rPr>
                <w:rFonts w:hint="default" w:ascii="Times New Roman" w:hAnsi="Times New Roman" w:eastAsia="宋体" w:cs="Times New Roman"/>
                <w:b w:val="0"/>
                <w:bCs/>
                <w:snapToGrid w:val="0"/>
                <w:color w:val="000000" w:themeColor="text1"/>
                <w:kern w:val="21"/>
                <w:sz w:val="21"/>
                <w:szCs w:val="21"/>
                <w:highlight w:val="none"/>
                <w:u w:val="none" w:color="auto"/>
                <w14:textFill>
                  <w14:solidFill>
                    <w14:schemeClr w14:val="tx1"/>
                  </w14:solidFill>
                </w14:textFill>
              </w:rPr>
            </w:pPr>
          </w:p>
        </w:tc>
        <w:tc>
          <w:tcPr>
            <w:tcW w:w="747" w:type="pct"/>
            <w:noWrap w:val="0"/>
            <w:vAlign w:val="center"/>
          </w:tcPr>
          <w:p w14:paraId="5B8388FD">
            <w:pPr>
              <w:pStyle w:val="3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leftChars="0" w:right="0" w:firstLine="0" w:firstLineChars="0"/>
              <w:jc w:val="center"/>
              <w:rPr>
                <w:rFonts w:hint="default" w:ascii="Times New Roman" w:hAnsi="Times New Roman" w:eastAsia="宋体" w:cs="Times New Roman"/>
                <w:b w:val="0"/>
                <w:bCs w:val="0"/>
                <w:snapToGrid w:val="0"/>
                <w:color w:val="auto"/>
                <w:kern w:val="21"/>
                <w:sz w:val="21"/>
                <w:szCs w:val="21"/>
                <w:highlight w:val="none"/>
                <w:u w:val="none" w:color="auto"/>
              </w:rPr>
            </w:pPr>
            <w:r>
              <w:rPr>
                <w:rFonts w:hint="eastAsia" w:ascii="Times New Roman" w:hAnsi="Times New Roman" w:eastAsia="宋体" w:cs="Times New Roman"/>
                <w:b w:val="0"/>
                <w:bCs w:val="0"/>
                <w:color w:val="auto"/>
                <w:kern w:val="0"/>
                <w:sz w:val="21"/>
                <w:szCs w:val="21"/>
                <w:highlight w:val="none"/>
                <w:u w:val="none" w:color="auto"/>
                <w:lang w:val="en-US" w:eastAsia="zh-CN"/>
              </w:rPr>
              <w:t>袋式</w:t>
            </w:r>
            <w:r>
              <w:rPr>
                <w:rFonts w:hint="default" w:ascii="Times New Roman" w:hAnsi="Times New Roman" w:eastAsia="宋体" w:cs="Times New Roman"/>
                <w:b w:val="0"/>
                <w:bCs w:val="0"/>
                <w:color w:val="auto"/>
                <w:kern w:val="0"/>
                <w:sz w:val="21"/>
                <w:szCs w:val="21"/>
                <w:highlight w:val="none"/>
                <w:u w:val="none" w:color="auto"/>
                <w:lang w:val="en-US" w:eastAsia="zh-CN"/>
              </w:rPr>
              <w:t>除尘器收集的粉尘</w:t>
            </w:r>
            <w:r>
              <w:rPr>
                <w:rFonts w:hint="default" w:ascii="Times New Roman" w:hAnsi="Times New Roman" w:eastAsia="宋体" w:cs="Times New Roman"/>
                <w:b w:val="0"/>
                <w:bCs w:val="0"/>
                <w:color w:val="auto"/>
                <w:sz w:val="21"/>
                <w:szCs w:val="21"/>
                <w:highlight w:val="none"/>
                <w:u w:val="none" w:color="auto"/>
              </w:rPr>
              <w:t>（t/a）</w:t>
            </w:r>
          </w:p>
        </w:tc>
        <w:tc>
          <w:tcPr>
            <w:tcW w:w="545" w:type="pct"/>
            <w:shd w:val="clear" w:color="auto" w:fill="auto"/>
            <w:noWrap w:val="0"/>
            <w:vAlign w:val="center"/>
          </w:tcPr>
          <w:p w14:paraId="06A8AFCF">
            <w:pPr>
              <w:pStyle w:val="3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leftChars="0" w:right="0" w:rightChars="0" w:firstLine="0" w:firstLineChars="0"/>
              <w:jc w:val="center"/>
              <w:rPr>
                <w:rFonts w:hint="default" w:ascii="Times New Roman" w:hAnsi="Times New Roman" w:eastAsia="宋体" w:cs="Times New Roman"/>
                <w:b w:val="0"/>
                <w:bCs/>
                <w:snapToGrid w:val="0"/>
                <w:color w:val="000000" w:themeColor="text1"/>
                <w:spacing w:val="6"/>
                <w:kern w:val="21"/>
                <w:sz w:val="21"/>
                <w:szCs w:val="21"/>
                <w:highlight w:val="none"/>
                <w:u w:val="none" w:color="auto"/>
                <w:lang w:val="en-US" w:eastAsia="zh-CN" w:bidi="ar-SA"/>
                <w14:textFill>
                  <w14:solidFill>
                    <w14:schemeClr w14:val="tx1"/>
                  </w14:solidFill>
                </w14:textFill>
              </w:rPr>
            </w:pPr>
          </w:p>
        </w:tc>
        <w:tc>
          <w:tcPr>
            <w:tcW w:w="394" w:type="pct"/>
            <w:noWrap w:val="0"/>
            <w:vAlign w:val="center"/>
          </w:tcPr>
          <w:p w14:paraId="44336263">
            <w:pPr>
              <w:pStyle w:val="3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rPr>
                <w:rFonts w:hint="default" w:ascii="Times New Roman" w:hAnsi="Times New Roman" w:eastAsia="宋体" w:cs="Times New Roman"/>
                <w:b w:val="0"/>
                <w:bCs/>
                <w:snapToGrid w:val="0"/>
                <w:color w:val="000000" w:themeColor="text1"/>
                <w:kern w:val="21"/>
                <w:sz w:val="21"/>
                <w:szCs w:val="21"/>
                <w:highlight w:val="none"/>
                <w:u w:val="none" w:color="auto"/>
                <w14:textFill>
                  <w14:solidFill>
                    <w14:schemeClr w14:val="tx1"/>
                  </w14:solidFill>
                </w14:textFill>
              </w:rPr>
            </w:pPr>
          </w:p>
        </w:tc>
        <w:tc>
          <w:tcPr>
            <w:tcW w:w="544" w:type="pct"/>
            <w:noWrap w:val="0"/>
            <w:vAlign w:val="center"/>
          </w:tcPr>
          <w:p w14:paraId="572A39C1">
            <w:pPr>
              <w:pStyle w:val="3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rPr>
                <w:rFonts w:hint="default" w:ascii="Times New Roman" w:hAnsi="Times New Roman" w:eastAsia="宋体" w:cs="Times New Roman"/>
                <w:b w:val="0"/>
                <w:bCs/>
                <w:snapToGrid w:val="0"/>
                <w:color w:val="000000" w:themeColor="text1"/>
                <w:kern w:val="21"/>
                <w:sz w:val="21"/>
                <w:szCs w:val="21"/>
                <w:highlight w:val="none"/>
                <w:u w:val="none" w:color="auto"/>
                <w14:textFill>
                  <w14:solidFill>
                    <w14:schemeClr w14:val="tx1"/>
                  </w14:solidFill>
                </w14:textFill>
              </w:rPr>
            </w:pPr>
          </w:p>
        </w:tc>
        <w:tc>
          <w:tcPr>
            <w:tcW w:w="1537" w:type="dxa"/>
            <w:shd w:val="clear" w:color="auto" w:fill="auto"/>
            <w:noWrap w:val="0"/>
            <w:vAlign w:val="center"/>
          </w:tcPr>
          <w:p w14:paraId="74EC62C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000000" w:themeColor="text1"/>
                <w:kern w:val="0"/>
                <w:sz w:val="21"/>
                <w:szCs w:val="21"/>
                <w:highlight w:val="none"/>
                <w:u w:val="none" w:color="auto"/>
                <w:lang w:val="en-US" w:eastAsia="zh-CN" w:bidi="ar-SA"/>
                <w14:textFill>
                  <w14:solidFill>
                    <w14:schemeClr w14:val="tx1"/>
                  </w14:solidFill>
                </w14:textFill>
              </w:rPr>
            </w:pPr>
            <w:r>
              <w:rPr>
                <w:rFonts w:hint="default" w:ascii="Times New Roman" w:hAnsi="Times New Roman" w:eastAsia="宋体" w:cs="Times New Roman"/>
                <w:bCs/>
                <w:color w:val="000000" w:themeColor="text1"/>
                <w:kern w:val="0"/>
                <w:sz w:val="21"/>
                <w:szCs w:val="21"/>
                <w:highlight w:val="none"/>
                <w:u w:val="none" w:color="auto"/>
                <w:lang w:val="en-US" w:eastAsia="zh-CN"/>
                <w14:textFill>
                  <w14:solidFill>
                    <w14:schemeClr w14:val="tx1"/>
                  </w14:solidFill>
                </w14:textFill>
              </w:rPr>
              <w:t>64.674</w:t>
            </w:r>
          </w:p>
        </w:tc>
        <w:tc>
          <w:tcPr>
            <w:tcW w:w="551" w:type="pct"/>
            <w:noWrap w:val="0"/>
            <w:vAlign w:val="center"/>
          </w:tcPr>
          <w:p w14:paraId="70771D4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color w:val="7030A0"/>
                <w:sz w:val="21"/>
                <w:szCs w:val="21"/>
                <w:highlight w:val="none"/>
                <w:u w:val="none" w:color="auto"/>
              </w:rPr>
            </w:pPr>
          </w:p>
        </w:tc>
        <w:tc>
          <w:tcPr>
            <w:tcW w:w="2093" w:type="dxa"/>
            <w:shd w:val="clear" w:color="auto" w:fill="auto"/>
            <w:noWrap w:val="0"/>
            <w:vAlign w:val="center"/>
          </w:tcPr>
          <w:p w14:paraId="156E049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000000" w:themeColor="text1"/>
                <w:kern w:val="0"/>
                <w:sz w:val="21"/>
                <w:szCs w:val="21"/>
                <w:highlight w:val="none"/>
                <w:u w:val="none" w:color="auto"/>
                <w:lang w:val="en-US" w:eastAsia="zh-CN" w:bidi="ar-SA"/>
                <w14:textFill>
                  <w14:solidFill>
                    <w14:schemeClr w14:val="tx1"/>
                  </w14:solidFill>
                </w14:textFill>
              </w:rPr>
            </w:pPr>
            <w:r>
              <w:rPr>
                <w:rFonts w:hint="default" w:ascii="Times New Roman" w:hAnsi="Times New Roman" w:eastAsia="宋体" w:cs="Times New Roman"/>
                <w:bCs/>
                <w:color w:val="000000" w:themeColor="text1"/>
                <w:kern w:val="0"/>
                <w:sz w:val="21"/>
                <w:szCs w:val="21"/>
                <w:highlight w:val="none"/>
                <w:u w:val="none" w:color="auto"/>
                <w:lang w:val="en-US" w:eastAsia="zh-CN"/>
                <w14:textFill>
                  <w14:solidFill>
                    <w14:schemeClr w14:val="tx1"/>
                  </w14:solidFill>
                </w14:textFill>
              </w:rPr>
              <w:t>64.674</w:t>
            </w:r>
          </w:p>
        </w:tc>
        <w:tc>
          <w:tcPr>
            <w:tcW w:w="1341" w:type="dxa"/>
            <w:shd w:val="clear" w:color="auto" w:fill="auto"/>
            <w:noWrap w:val="0"/>
            <w:vAlign w:val="center"/>
          </w:tcPr>
          <w:p w14:paraId="51FFC2C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000000" w:themeColor="text1"/>
                <w:kern w:val="0"/>
                <w:sz w:val="21"/>
                <w:szCs w:val="21"/>
                <w:highlight w:val="none"/>
                <w:u w:val="none" w:color="auto"/>
                <w:lang w:val="en-US" w:eastAsia="zh-CN" w:bidi="ar-SA"/>
                <w14:textFill>
                  <w14:solidFill>
                    <w14:schemeClr w14:val="tx1"/>
                  </w14:solidFill>
                </w14:textFill>
              </w:rPr>
            </w:pPr>
            <w:r>
              <w:rPr>
                <w:rFonts w:hint="eastAsia" w:ascii="Times New Roman" w:hAnsi="Times New Roman" w:eastAsia="宋体" w:cs="Times New Roman"/>
                <w:bCs/>
                <w:color w:val="000000" w:themeColor="text1"/>
                <w:kern w:val="0"/>
                <w:sz w:val="21"/>
                <w:szCs w:val="21"/>
                <w:highlight w:val="none"/>
                <w:u w:val="none" w:color="auto"/>
                <w:lang w:val="en-US" w:eastAsia="zh-CN"/>
                <w14:textFill>
                  <w14:solidFill>
                    <w14:schemeClr w14:val="tx1"/>
                  </w14:solidFill>
                </w14:textFill>
              </w:rPr>
              <w:t>+</w:t>
            </w:r>
            <w:r>
              <w:rPr>
                <w:rFonts w:hint="default" w:ascii="Times New Roman" w:hAnsi="Times New Roman" w:eastAsia="宋体" w:cs="Times New Roman"/>
                <w:bCs/>
                <w:color w:val="000000" w:themeColor="text1"/>
                <w:kern w:val="0"/>
                <w:sz w:val="21"/>
                <w:szCs w:val="21"/>
                <w:highlight w:val="none"/>
                <w:u w:val="none" w:color="auto"/>
                <w:lang w:val="en-US" w:eastAsia="zh-CN"/>
                <w14:textFill>
                  <w14:solidFill>
                    <w14:schemeClr w14:val="tx1"/>
                  </w14:solidFill>
                </w14:textFill>
              </w:rPr>
              <w:t>64.674</w:t>
            </w:r>
          </w:p>
        </w:tc>
      </w:tr>
      <w:tr w14:paraId="621F721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2" w:type="pct"/>
            <w:vMerge w:val="continue"/>
            <w:noWrap w:val="0"/>
            <w:vAlign w:val="center"/>
          </w:tcPr>
          <w:p w14:paraId="1EF4ECBD">
            <w:pPr>
              <w:pStyle w:val="3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rPr>
                <w:rFonts w:hint="default" w:ascii="Times New Roman" w:hAnsi="Times New Roman" w:eastAsia="宋体" w:cs="Times New Roman"/>
                <w:b w:val="0"/>
                <w:bCs/>
                <w:snapToGrid w:val="0"/>
                <w:color w:val="000000" w:themeColor="text1"/>
                <w:kern w:val="21"/>
                <w:sz w:val="21"/>
                <w:szCs w:val="21"/>
                <w:highlight w:val="none"/>
                <w:u w:val="none" w:color="auto"/>
                <w14:textFill>
                  <w14:solidFill>
                    <w14:schemeClr w14:val="tx1"/>
                  </w14:solidFill>
                </w14:textFill>
              </w:rPr>
            </w:pPr>
          </w:p>
        </w:tc>
        <w:tc>
          <w:tcPr>
            <w:tcW w:w="747" w:type="pct"/>
            <w:noWrap w:val="0"/>
            <w:vAlign w:val="center"/>
          </w:tcPr>
          <w:p w14:paraId="581959FE">
            <w:pPr>
              <w:pStyle w:val="3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leftChars="0" w:right="0" w:firstLine="0" w:firstLineChars="0"/>
              <w:jc w:val="center"/>
              <w:rPr>
                <w:rFonts w:hint="default" w:ascii="Times New Roman" w:hAnsi="Times New Roman" w:eastAsia="宋体" w:cs="Times New Roman"/>
                <w:b w:val="0"/>
                <w:bCs w:val="0"/>
                <w:snapToGrid w:val="0"/>
                <w:color w:val="auto"/>
                <w:kern w:val="21"/>
                <w:sz w:val="21"/>
                <w:szCs w:val="21"/>
                <w:highlight w:val="none"/>
                <w:u w:val="none" w:color="auto"/>
              </w:rPr>
            </w:pPr>
            <w:r>
              <w:rPr>
                <w:rFonts w:hint="default" w:ascii="Times New Roman" w:hAnsi="Times New Roman" w:cs="Times New Roman"/>
                <w:b w:val="0"/>
                <w:bCs w:val="0"/>
                <w:color w:val="000000" w:themeColor="text1"/>
                <w:kern w:val="0"/>
                <w:sz w:val="21"/>
                <w:szCs w:val="21"/>
                <w:highlight w:val="none"/>
                <w:u w:val="none" w:color="auto"/>
                <w:lang w:val="en-US" w:eastAsia="zh-CN"/>
                <w14:textFill>
                  <w14:solidFill>
                    <w14:schemeClr w14:val="tx1"/>
                  </w14:solidFill>
                </w14:textFill>
              </w:rPr>
              <w:t>生物质燃料</w:t>
            </w:r>
            <w:r>
              <w:rPr>
                <w:rFonts w:hint="default" w:ascii="Times New Roman" w:hAnsi="Times New Roman" w:eastAsia="宋体" w:cs="Times New Roman"/>
                <w:b w:val="0"/>
                <w:bCs w:val="0"/>
                <w:color w:val="auto"/>
                <w:kern w:val="0"/>
                <w:sz w:val="21"/>
                <w:szCs w:val="21"/>
                <w:highlight w:val="none"/>
                <w:u w:val="none" w:color="auto"/>
                <w:lang w:val="en-US" w:eastAsia="zh-CN" w:bidi="ar"/>
              </w:rPr>
              <w:t>点炉</w:t>
            </w:r>
            <w:r>
              <w:rPr>
                <w:rFonts w:hint="default" w:ascii="Times New Roman" w:hAnsi="Times New Roman" w:cs="Times New Roman"/>
                <w:b w:val="0"/>
                <w:bCs w:val="0"/>
                <w:color w:val="auto"/>
                <w:kern w:val="0"/>
                <w:sz w:val="21"/>
                <w:szCs w:val="21"/>
                <w:highlight w:val="none"/>
                <w:u w:val="none" w:color="auto"/>
                <w:lang w:val="en-US" w:eastAsia="zh-CN" w:bidi="ar"/>
              </w:rPr>
              <w:t>等</w:t>
            </w:r>
            <w:r>
              <w:rPr>
                <w:rFonts w:hint="eastAsia" w:ascii="Times New Roman" w:hAnsi="Times New Roman" w:cs="Times New Roman"/>
                <w:b w:val="0"/>
                <w:bCs w:val="0"/>
                <w:color w:val="auto"/>
                <w:kern w:val="0"/>
                <w:sz w:val="21"/>
                <w:szCs w:val="21"/>
                <w:highlight w:val="none"/>
                <w:u w:val="none" w:color="auto"/>
                <w:lang w:val="en-US" w:eastAsia="zh-CN" w:bidi="ar"/>
              </w:rPr>
              <w:t>过程</w:t>
            </w:r>
            <w:r>
              <w:rPr>
                <w:rFonts w:hint="eastAsia" w:cs="Times New Roman"/>
                <w:b w:val="0"/>
                <w:bCs w:val="0"/>
                <w:color w:val="auto"/>
                <w:kern w:val="0"/>
                <w:sz w:val="21"/>
                <w:szCs w:val="21"/>
                <w:highlight w:val="none"/>
                <w:u w:val="none" w:color="auto"/>
                <w:lang w:val="en-US" w:eastAsia="zh-CN"/>
              </w:rPr>
              <w:t>灰渣</w:t>
            </w:r>
            <w:r>
              <w:rPr>
                <w:rFonts w:hint="default" w:ascii="Times New Roman" w:hAnsi="Times New Roman" w:eastAsia="宋体" w:cs="Times New Roman"/>
                <w:b w:val="0"/>
                <w:bCs w:val="0"/>
                <w:color w:val="auto"/>
                <w:sz w:val="21"/>
                <w:szCs w:val="21"/>
                <w:highlight w:val="none"/>
                <w:u w:val="none" w:color="auto"/>
              </w:rPr>
              <w:t>（t/a）</w:t>
            </w:r>
          </w:p>
        </w:tc>
        <w:tc>
          <w:tcPr>
            <w:tcW w:w="545" w:type="pct"/>
            <w:shd w:val="clear" w:color="auto" w:fill="auto"/>
            <w:noWrap w:val="0"/>
            <w:vAlign w:val="center"/>
          </w:tcPr>
          <w:p w14:paraId="16125C2D">
            <w:pPr>
              <w:pStyle w:val="3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leftChars="0" w:right="0" w:rightChars="0" w:firstLine="0" w:firstLineChars="0"/>
              <w:jc w:val="center"/>
              <w:rPr>
                <w:rFonts w:hint="default" w:ascii="Times New Roman" w:hAnsi="Times New Roman" w:eastAsia="宋体" w:cs="Times New Roman"/>
                <w:b w:val="0"/>
                <w:bCs/>
                <w:snapToGrid w:val="0"/>
                <w:color w:val="000000" w:themeColor="text1"/>
                <w:spacing w:val="6"/>
                <w:kern w:val="21"/>
                <w:sz w:val="21"/>
                <w:szCs w:val="21"/>
                <w:highlight w:val="none"/>
                <w:u w:val="none" w:color="auto"/>
                <w:lang w:val="en-US" w:eastAsia="zh-CN" w:bidi="ar-SA"/>
                <w14:textFill>
                  <w14:solidFill>
                    <w14:schemeClr w14:val="tx1"/>
                  </w14:solidFill>
                </w14:textFill>
              </w:rPr>
            </w:pPr>
          </w:p>
        </w:tc>
        <w:tc>
          <w:tcPr>
            <w:tcW w:w="394" w:type="pct"/>
            <w:noWrap w:val="0"/>
            <w:vAlign w:val="center"/>
          </w:tcPr>
          <w:p w14:paraId="23657E9A">
            <w:pPr>
              <w:pStyle w:val="3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rPr>
                <w:rFonts w:hint="default" w:ascii="Times New Roman" w:hAnsi="Times New Roman" w:eastAsia="宋体" w:cs="Times New Roman"/>
                <w:b w:val="0"/>
                <w:bCs/>
                <w:snapToGrid w:val="0"/>
                <w:color w:val="000000" w:themeColor="text1"/>
                <w:kern w:val="21"/>
                <w:sz w:val="21"/>
                <w:szCs w:val="21"/>
                <w:highlight w:val="none"/>
                <w:u w:val="none" w:color="auto"/>
                <w14:textFill>
                  <w14:solidFill>
                    <w14:schemeClr w14:val="tx1"/>
                  </w14:solidFill>
                </w14:textFill>
              </w:rPr>
            </w:pPr>
          </w:p>
        </w:tc>
        <w:tc>
          <w:tcPr>
            <w:tcW w:w="544" w:type="pct"/>
            <w:noWrap w:val="0"/>
            <w:vAlign w:val="center"/>
          </w:tcPr>
          <w:p w14:paraId="4E1A5094">
            <w:pPr>
              <w:pStyle w:val="3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rPr>
                <w:rFonts w:hint="default" w:ascii="Times New Roman" w:hAnsi="Times New Roman" w:eastAsia="宋体" w:cs="Times New Roman"/>
                <w:b w:val="0"/>
                <w:bCs/>
                <w:snapToGrid w:val="0"/>
                <w:color w:val="000000" w:themeColor="text1"/>
                <w:kern w:val="21"/>
                <w:sz w:val="21"/>
                <w:szCs w:val="21"/>
                <w:highlight w:val="none"/>
                <w:u w:val="none" w:color="auto"/>
                <w14:textFill>
                  <w14:solidFill>
                    <w14:schemeClr w14:val="tx1"/>
                  </w14:solidFill>
                </w14:textFill>
              </w:rPr>
            </w:pPr>
          </w:p>
        </w:tc>
        <w:tc>
          <w:tcPr>
            <w:tcW w:w="1537" w:type="dxa"/>
            <w:shd w:val="clear" w:color="auto" w:fill="auto"/>
            <w:noWrap w:val="0"/>
            <w:vAlign w:val="center"/>
          </w:tcPr>
          <w:p w14:paraId="557F861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000000" w:themeColor="text1"/>
                <w:kern w:val="0"/>
                <w:sz w:val="21"/>
                <w:szCs w:val="21"/>
                <w:highlight w:val="none"/>
                <w:u w:val="none" w:color="auto"/>
                <w:lang w:val="en-US" w:eastAsia="zh-CN" w:bidi="ar-SA"/>
                <w14:textFill>
                  <w14:solidFill>
                    <w14:schemeClr w14:val="tx1"/>
                  </w14:solidFill>
                </w14:textFill>
              </w:rPr>
            </w:pPr>
            <w:r>
              <w:rPr>
                <w:rFonts w:hint="default" w:ascii="Times New Roman" w:hAnsi="Times New Roman" w:eastAsia="宋体" w:cs="Times New Roman"/>
                <w:bCs/>
                <w:color w:val="000000" w:themeColor="text1"/>
                <w:kern w:val="0"/>
                <w:sz w:val="21"/>
                <w:szCs w:val="21"/>
                <w:highlight w:val="none"/>
                <w:u w:val="none" w:color="auto"/>
                <w:lang w:val="en-US" w:eastAsia="zh-CN"/>
                <w14:textFill>
                  <w14:solidFill>
                    <w14:schemeClr w14:val="tx1"/>
                  </w14:solidFill>
                </w14:textFill>
              </w:rPr>
              <w:t>42.29</w:t>
            </w:r>
          </w:p>
        </w:tc>
        <w:tc>
          <w:tcPr>
            <w:tcW w:w="551" w:type="pct"/>
            <w:noWrap w:val="0"/>
            <w:vAlign w:val="center"/>
          </w:tcPr>
          <w:p w14:paraId="531D042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color w:val="7030A0"/>
                <w:sz w:val="21"/>
                <w:szCs w:val="21"/>
                <w:highlight w:val="none"/>
                <w:u w:val="none" w:color="auto"/>
              </w:rPr>
            </w:pPr>
          </w:p>
        </w:tc>
        <w:tc>
          <w:tcPr>
            <w:tcW w:w="2093" w:type="dxa"/>
            <w:shd w:val="clear" w:color="auto" w:fill="auto"/>
            <w:noWrap w:val="0"/>
            <w:vAlign w:val="center"/>
          </w:tcPr>
          <w:p w14:paraId="4019A25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000000" w:themeColor="text1"/>
                <w:kern w:val="0"/>
                <w:sz w:val="21"/>
                <w:szCs w:val="21"/>
                <w:highlight w:val="none"/>
                <w:u w:val="none" w:color="auto"/>
                <w:lang w:val="en-US" w:eastAsia="zh-CN" w:bidi="ar-SA"/>
                <w14:textFill>
                  <w14:solidFill>
                    <w14:schemeClr w14:val="tx1"/>
                  </w14:solidFill>
                </w14:textFill>
              </w:rPr>
            </w:pPr>
            <w:r>
              <w:rPr>
                <w:rFonts w:hint="default" w:ascii="Times New Roman" w:hAnsi="Times New Roman" w:eastAsia="宋体" w:cs="Times New Roman"/>
                <w:bCs/>
                <w:color w:val="000000" w:themeColor="text1"/>
                <w:kern w:val="0"/>
                <w:sz w:val="21"/>
                <w:szCs w:val="21"/>
                <w:highlight w:val="none"/>
                <w:u w:val="none" w:color="auto"/>
                <w:lang w:val="en-US" w:eastAsia="zh-CN"/>
                <w14:textFill>
                  <w14:solidFill>
                    <w14:schemeClr w14:val="tx1"/>
                  </w14:solidFill>
                </w14:textFill>
              </w:rPr>
              <w:t>42.29</w:t>
            </w:r>
          </w:p>
        </w:tc>
        <w:tc>
          <w:tcPr>
            <w:tcW w:w="1341" w:type="dxa"/>
            <w:shd w:val="clear" w:color="auto" w:fill="auto"/>
            <w:noWrap w:val="0"/>
            <w:vAlign w:val="center"/>
          </w:tcPr>
          <w:p w14:paraId="512226D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000000" w:themeColor="text1"/>
                <w:kern w:val="0"/>
                <w:sz w:val="21"/>
                <w:szCs w:val="21"/>
                <w:highlight w:val="none"/>
                <w:u w:val="none" w:color="auto"/>
                <w:lang w:val="en-US" w:eastAsia="zh-CN" w:bidi="ar-SA"/>
                <w14:textFill>
                  <w14:solidFill>
                    <w14:schemeClr w14:val="tx1"/>
                  </w14:solidFill>
                </w14:textFill>
              </w:rPr>
            </w:pPr>
            <w:r>
              <w:rPr>
                <w:rFonts w:hint="eastAsia" w:ascii="Times New Roman" w:hAnsi="Times New Roman" w:eastAsia="宋体" w:cs="Times New Roman"/>
                <w:bCs/>
                <w:color w:val="000000" w:themeColor="text1"/>
                <w:kern w:val="0"/>
                <w:sz w:val="21"/>
                <w:szCs w:val="21"/>
                <w:highlight w:val="none"/>
                <w:u w:val="none" w:color="auto"/>
                <w:lang w:val="en-US" w:eastAsia="zh-CN"/>
                <w14:textFill>
                  <w14:solidFill>
                    <w14:schemeClr w14:val="tx1"/>
                  </w14:solidFill>
                </w14:textFill>
              </w:rPr>
              <w:t>+</w:t>
            </w:r>
            <w:r>
              <w:rPr>
                <w:rFonts w:hint="default" w:ascii="Times New Roman" w:hAnsi="Times New Roman" w:eastAsia="宋体" w:cs="Times New Roman"/>
                <w:bCs/>
                <w:color w:val="000000" w:themeColor="text1"/>
                <w:kern w:val="0"/>
                <w:sz w:val="21"/>
                <w:szCs w:val="21"/>
                <w:highlight w:val="none"/>
                <w:u w:val="none" w:color="auto"/>
                <w:lang w:val="en-US" w:eastAsia="zh-CN"/>
                <w14:textFill>
                  <w14:solidFill>
                    <w14:schemeClr w14:val="tx1"/>
                  </w14:solidFill>
                </w14:textFill>
              </w:rPr>
              <w:t>42.29</w:t>
            </w:r>
          </w:p>
        </w:tc>
      </w:tr>
      <w:tr w14:paraId="737193D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2" w:type="pct"/>
            <w:vMerge w:val="continue"/>
            <w:noWrap w:val="0"/>
            <w:vAlign w:val="center"/>
          </w:tcPr>
          <w:p w14:paraId="724A30CB">
            <w:pPr>
              <w:pStyle w:val="3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rPr>
                <w:rFonts w:hint="default" w:ascii="Times New Roman" w:hAnsi="Times New Roman" w:eastAsia="宋体" w:cs="Times New Roman"/>
                <w:b w:val="0"/>
                <w:bCs/>
                <w:snapToGrid w:val="0"/>
                <w:color w:val="000000" w:themeColor="text1"/>
                <w:kern w:val="21"/>
                <w:sz w:val="21"/>
                <w:szCs w:val="21"/>
                <w:highlight w:val="none"/>
                <w:u w:val="none" w:color="auto"/>
                <w14:textFill>
                  <w14:solidFill>
                    <w14:schemeClr w14:val="tx1"/>
                  </w14:solidFill>
                </w14:textFill>
              </w:rPr>
            </w:pPr>
          </w:p>
        </w:tc>
        <w:tc>
          <w:tcPr>
            <w:tcW w:w="747" w:type="pct"/>
            <w:noWrap w:val="0"/>
            <w:vAlign w:val="center"/>
          </w:tcPr>
          <w:p w14:paraId="6C6093F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s="Times New Roman"/>
                <w:b w:val="0"/>
                <w:bCs/>
                <w:color w:val="000000" w:themeColor="text1"/>
                <w:sz w:val="21"/>
                <w:szCs w:val="21"/>
                <w:highlight w:val="none"/>
                <w:u w:val="none" w:color="auto"/>
                <w:lang w:val="en-US" w:eastAsia="zh-CN"/>
                <w14:textFill>
                  <w14:solidFill>
                    <w14:schemeClr w14:val="tx1"/>
                  </w14:solidFill>
                </w14:textFill>
              </w:rPr>
            </w:pPr>
            <w:r>
              <w:rPr>
                <w:rFonts w:hint="eastAsia" w:cs="Times New Roman"/>
                <w:bCs/>
                <w:color w:val="auto"/>
                <w:kern w:val="0"/>
                <w:sz w:val="21"/>
                <w:szCs w:val="21"/>
                <w:highlight w:val="none"/>
                <w:u w:val="none" w:color="auto"/>
                <w:lang w:val="en-US" w:eastAsia="zh-CN"/>
              </w:rPr>
              <w:t>锯切等过程炭渣</w:t>
            </w:r>
          </w:p>
        </w:tc>
        <w:tc>
          <w:tcPr>
            <w:tcW w:w="545" w:type="pct"/>
            <w:shd w:val="clear" w:color="auto" w:fill="auto"/>
            <w:noWrap w:val="0"/>
            <w:vAlign w:val="center"/>
          </w:tcPr>
          <w:p w14:paraId="125E2AEB">
            <w:pPr>
              <w:pStyle w:val="3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leftChars="0" w:right="0" w:rightChars="0" w:firstLine="0" w:firstLineChars="0"/>
              <w:jc w:val="center"/>
              <w:rPr>
                <w:rFonts w:hint="default" w:ascii="Times New Roman" w:hAnsi="Times New Roman" w:eastAsia="宋体" w:cs="Times New Roman"/>
                <w:b w:val="0"/>
                <w:bCs/>
                <w:snapToGrid w:val="0"/>
                <w:color w:val="000000" w:themeColor="text1"/>
                <w:spacing w:val="6"/>
                <w:kern w:val="21"/>
                <w:sz w:val="21"/>
                <w:szCs w:val="21"/>
                <w:highlight w:val="none"/>
                <w:u w:val="none" w:color="auto"/>
                <w:lang w:val="en-US" w:eastAsia="zh-CN" w:bidi="ar-SA"/>
                <w14:textFill>
                  <w14:solidFill>
                    <w14:schemeClr w14:val="tx1"/>
                  </w14:solidFill>
                </w14:textFill>
              </w:rPr>
            </w:pPr>
          </w:p>
        </w:tc>
        <w:tc>
          <w:tcPr>
            <w:tcW w:w="394" w:type="pct"/>
            <w:noWrap w:val="0"/>
            <w:vAlign w:val="center"/>
          </w:tcPr>
          <w:p w14:paraId="6D49518F">
            <w:pPr>
              <w:pStyle w:val="3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rPr>
                <w:rFonts w:hint="default" w:ascii="Times New Roman" w:hAnsi="Times New Roman" w:eastAsia="宋体" w:cs="Times New Roman"/>
                <w:b w:val="0"/>
                <w:bCs/>
                <w:snapToGrid w:val="0"/>
                <w:color w:val="000000" w:themeColor="text1"/>
                <w:kern w:val="21"/>
                <w:sz w:val="21"/>
                <w:szCs w:val="21"/>
                <w:highlight w:val="none"/>
                <w:u w:val="none" w:color="auto"/>
                <w14:textFill>
                  <w14:solidFill>
                    <w14:schemeClr w14:val="tx1"/>
                  </w14:solidFill>
                </w14:textFill>
              </w:rPr>
            </w:pPr>
          </w:p>
        </w:tc>
        <w:tc>
          <w:tcPr>
            <w:tcW w:w="544" w:type="pct"/>
            <w:noWrap w:val="0"/>
            <w:vAlign w:val="center"/>
          </w:tcPr>
          <w:p w14:paraId="4C7CFB9F">
            <w:pPr>
              <w:pStyle w:val="3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rPr>
                <w:rFonts w:hint="default" w:ascii="Times New Roman" w:hAnsi="Times New Roman" w:eastAsia="宋体" w:cs="Times New Roman"/>
                <w:b w:val="0"/>
                <w:bCs/>
                <w:snapToGrid w:val="0"/>
                <w:color w:val="000000" w:themeColor="text1"/>
                <w:kern w:val="21"/>
                <w:sz w:val="21"/>
                <w:szCs w:val="21"/>
                <w:highlight w:val="none"/>
                <w:u w:val="none" w:color="auto"/>
                <w14:textFill>
                  <w14:solidFill>
                    <w14:schemeClr w14:val="tx1"/>
                  </w14:solidFill>
                </w14:textFill>
              </w:rPr>
            </w:pPr>
          </w:p>
        </w:tc>
        <w:tc>
          <w:tcPr>
            <w:tcW w:w="1537" w:type="dxa"/>
            <w:shd w:val="clear" w:color="auto" w:fill="auto"/>
            <w:noWrap w:val="0"/>
            <w:vAlign w:val="center"/>
          </w:tcPr>
          <w:p w14:paraId="7D44736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cs="Times New Roman"/>
                <w:bCs/>
                <w:color w:val="000000" w:themeColor="text1"/>
                <w:kern w:val="0"/>
                <w:sz w:val="21"/>
                <w:szCs w:val="21"/>
                <w:highlight w:val="none"/>
                <w:u w:val="none" w:color="auto"/>
                <w:lang w:val="en-US" w:eastAsia="zh-CN"/>
                <w14:textFill>
                  <w14:solidFill>
                    <w14:schemeClr w14:val="tx1"/>
                  </w14:solidFill>
                </w14:textFill>
              </w:rPr>
            </w:pPr>
            <w:r>
              <w:rPr>
                <w:rFonts w:hint="eastAsia" w:cs="Times New Roman"/>
                <w:bCs/>
                <w:color w:val="000000" w:themeColor="text1"/>
                <w:kern w:val="0"/>
                <w:sz w:val="21"/>
                <w:szCs w:val="21"/>
                <w:highlight w:val="none"/>
                <w:u w:val="none" w:color="auto"/>
                <w:lang w:val="en-US" w:eastAsia="zh-CN"/>
                <w14:textFill>
                  <w14:solidFill>
                    <w14:schemeClr w14:val="tx1"/>
                  </w14:solidFill>
                </w14:textFill>
              </w:rPr>
              <w:t>5.0</w:t>
            </w:r>
          </w:p>
        </w:tc>
        <w:tc>
          <w:tcPr>
            <w:tcW w:w="551" w:type="pct"/>
            <w:noWrap w:val="0"/>
            <w:vAlign w:val="center"/>
          </w:tcPr>
          <w:p w14:paraId="1844DB0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color w:val="7030A0"/>
                <w:sz w:val="21"/>
                <w:szCs w:val="21"/>
                <w:highlight w:val="none"/>
                <w:u w:val="none" w:color="auto"/>
              </w:rPr>
            </w:pPr>
          </w:p>
        </w:tc>
        <w:tc>
          <w:tcPr>
            <w:tcW w:w="2093" w:type="dxa"/>
            <w:shd w:val="clear" w:color="auto" w:fill="auto"/>
            <w:noWrap w:val="0"/>
            <w:vAlign w:val="center"/>
          </w:tcPr>
          <w:p w14:paraId="266D113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bCs/>
                <w:color w:val="000000" w:themeColor="text1"/>
                <w:kern w:val="0"/>
                <w:sz w:val="21"/>
                <w:szCs w:val="21"/>
                <w:highlight w:val="none"/>
                <w:u w:val="none" w:color="auto"/>
                <w:lang w:val="en-US" w:eastAsia="zh-CN" w:bidi="ar-SA"/>
                <w14:textFill>
                  <w14:solidFill>
                    <w14:schemeClr w14:val="tx1"/>
                  </w14:solidFill>
                </w14:textFill>
              </w:rPr>
            </w:pPr>
            <w:r>
              <w:rPr>
                <w:rFonts w:hint="eastAsia" w:cs="Times New Roman"/>
                <w:bCs/>
                <w:color w:val="000000" w:themeColor="text1"/>
                <w:kern w:val="0"/>
                <w:sz w:val="21"/>
                <w:szCs w:val="21"/>
                <w:highlight w:val="none"/>
                <w:u w:val="none" w:color="auto"/>
                <w:lang w:val="en-US" w:eastAsia="zh-CN"/>
                <w14:textFill>
                  <w14:solidFill>
                    <w14:schemeClr w14:val="tx1"/>
                  </w14:solidFill>
                </w14:textFill>
              </w:rPr>
              <w:t>5.0</w:t>
            </w:r>
          </w:p>
        </w:tc>
        <w:tc>
          <w:tcPr>
            <w:tcW w:w="1341" w:type="dxa"/>
            <w:shd w:val="clear" w:color="auto" w:fill="auto"/>
            <w:noWrap w:val="0"/>
            <w:vAlign w:val="center"/>
          </w:tcPr>
          <w:p w14:paraId="0919176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cs="Times New Roman"/>
                <w:bCs/>
                <w:color w:val="000000" w:themeColor="text1"/>
                <w:kern w:val="0"/>
                <w:sz w:val="21"/>
                <w:szCs w:val="21"/>
                <w:highlight w:val="none"/>
                <w:u w:val="none" w:color="auto"/>
                <w:lang w:val="en-US" w:eastAsia="zh-CN"/>
                <w14:textFill>
                  <w14:solidFill>
                    <w14:schemeClr w14:val="tx1"/>
                  </w14:solidFill>
                </w14:textFill>
              </w:rPr>
            </w:pPr>
            <w:r>
              <w:rPr>
                <w:rFonts w:hint="eastAsia" w:cs="Times New Roman"/>
                <w:bCs/>
                <w:color w:val="000000" w:themeColor="text1"/>
                <w:kern w:val="0"/>
                <w:sz w:val="21"/>
                <w:szCs w:val="21"/>
                <w:highlight w:val="none"/>
                <w:u w:val="none" w:color="auto"/>
                <w:lang w:val="en-US" w:eastAsia="zh-CN"/>
                <w14:textFill>
                  <w14:solidFill>
                    <w14:schemeClr w14:val="tx1"/>
                  </w14:solidFill>
                </w14:textFill>
              </w:rPr>
              <w:t>+5.0</w:t>
            </w:r>
          </w:p>
        </w:tc>
      </w:tr>
      <w:tr w14:paraId="4B70FA1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2" w:type="pct"/>
            <w:vMerge w:val="continue"/>
            <w:noWrap w:val="0"/>
            <w:vAlign w:val="center"/>
          </w:tcPr>
          <w:p w14:paraId="573DF733">
            <w:pPr>
              <w:pStyle w:val="3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rPr>
                <w:rFonts w:hint="default" w:ascii="Times New Roman" w:hAnsi="Times New Roman" w:eastAsia="宋体" w:cs="Times New Roman"/>
                <w:b w:val="0"/>
                <w:bCs/>
                <w:snapToGrid w:val="0"/>
                <w:color w:val="000000" w:themeColor="text1"/>
                <w:kern w:val="21"/>
                <w:sz w:val="21"/>
                <w:szCs w:val="21"/>
                <w:highlight w:val="none"/>
                <w:u w:val="none" w:color="auto"/>
                <w14:textFill>
                  <w14:solidFill>
                    <w14:schemeClr w14:val="tx1"/>
                  </w14:solidFill>
                </w14:textFill>
              </w:rPr>
            </w:pPr>
          </w:p>
        </w:tc>
        <w:tc>
          <w:tcPr>
            <w:tcW w:w="747" w:type="pct"/>
            <w:noWrap w:val="0"/>
            <w:vAlign w:val="center"/>
          </w:tcPr>
          <w:p w14:paraId="33E0D42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snapToGrid w:val="0"/>
                <w:color w:val="000000" w:themeColor="text1"/>
                <w:kern w:val="21"/>
                <w:sz w:val="21"/>
                <w:szCs w:val="21"/>
                <w:highlight w:val="none"/>
                <w:u w:val="none" w:color="auto"/>
                <w:lang w:val="en-US" w:eastAsia="zh-CN"/>
                <w14:textFill>
                  <w14:solidFill>
                    <w14:schemeClr w14:val="tx1"/>
                  </w14:solidFill>
                </w14:textFill>
              </w:rPr>
            </w:pPr>
            <w:r>
              <w:rPr>
                <w:rFonts w:hint="eastAsia" w:cs="Times New Roman"/>
                <w:b w:val="0"/>
                <w:bCs/>
                <w:color w:val="000000" w:themeColor="text1"/>
                <w:sz w:val="21"/>
                <w:szCs w:val="21"/>
                <w:highlight w:val="none"/>
                <w:u w:val="none" w:color="auto"/>
                <w:lang w:val="en-US" w:eastAsia="zh-CN"/>
                <w14:textFill>
                  <w14:solidFill>
                    <w14:schemeClr w14:val="tx1"/>
                  </w14:solidFill>
                </w14:textFill>
              </w:rPr>
              <w:t>废包装材料</w:t>
            </w:r>
            <w:r>
              <w:rPr>
                <w:rFonts w:hint="default" w:ascii="Times New Roman" w:hAnsi="Times New Roman" w:eastAsia="宋体" w:cs="Times New Roman"/>
                <w:b w:val="0"/>
                <w:bCs/>
                <w:color w:val="000000" w:themeColor="text1"/>
                <w:sz w:val="21"/>
                <w:szCs w:val="21"/>
                <w:highlight w:val="none"/>
                <w:u w:val="none" w:color="auto"/>
                <w14:textFill>
                  <w14:solidFill>
                    <w14:schemeClr w14:val="tx1"/>
                  </w14:solidFill>
                </w14:textFill>
              </w:rPr>
              <w:t>（t/a）</w:t>
            </w:r>
          </w:p>
        </w:tc>
        <w:tc>
          <w:tcPr>
            <w:tcW w:w="545" w:type="pct"/>
            <w:shd w:val="clear" w:color="auto" w:fill="auto"/>
            <w:noWrap w:val="0"/>
            <w:vAlign w:val="center"/>
          </w:tcPr>
          <w:p w14:paraId="6295621C">
            <w:pPr>
              <w:pStyle w:val="3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leftChars="0" w:right="0" w:rightChars="0" w:firstLine="0" w:firstLineChars="0"/>
              <w:jc w:val="center"/>
              <w:rPr>
                <w:rFonts w:hint="default" w:ascii="Times New Roman" w:hAnsi="Times New Roman" w:eastAsia="宋体" w:cs="Times New Roman"/>
                <w:b w:val="0"/>
                <w:bCs/>
                <w:snapToGrid w:val="0"/>
                <w:color w:val="000000" w:themeColor="text1"/>
                <w:spacing w:val="6"/>
                <w:kern w:val="21"/>
                <w:sz w:val="21"/>
                <w:szCs w:val="21"/>
                <w:highlight w:val="none"/>
                <w:u w:val="none" w:color="auto"/>
                <w:lang w:val="en-US" w:eastAsia="zh-CN" w:bidi="ar-SA"/>
                <w14:textFill>
                  <w14:solidFill>
                    <w14:schemeClr w14:val="tx1"/>
                  </w14:solidFill>
                </w14:textFill>
              </w:rPr>
            </w:pPr>
          </w:p>
        </w:tc>
        <w:tc>
          <w:tcPr>
            <w:tcW w:w="394" w:type="pct"/>
            <w:noWrap w:val="0"/>
            <w:vAlign w:val="center"/>
          </w:tcPr>
          <w:p w14:paraId="624C3236">
            <w:pPr>
              <w:pStyle w:val="3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rPr>
                <w:rFonts w:hint="default" w:ascii="Times New Roman" w:hAnsi="Times New Roman" w:eastAsia="宋体" w:cs="Times New Roman"/>
                <w:b w:val="0"/>
                <w:bCs/>
                <w:snapToGrid w:val="0"/>
                <w:color w:val="000000" w:themeColor="text1"/>
                <w:kern w:val="21"/>
                <w:sz w:val="21"/>
                <w:szCs w:val="21"/>
                <w:highlight w:val="none"/>
                <w:u w:val="none" w:color="auto"/>
                <w14:textFill>
                  <w14:solidFill>
                    <w14:schemeClr w14:val="tx1"/>
                  </w14:solidFill>
                </w14:textFill>
              </w:rPr>
            </w:pPr>
          </w:p>
        </w:tc>
        <w:tc>
          <w:tcPr>
            <w:tcW w:w="544" w:type="pct"/>
            <w:noWrap w:val="0"/>
            <w:vAlign w:val="center"/>
          </w:tcPr>
          <w:p w14:paraId="4D7955AD">
            <w:pPr>
              <w:pStyle w:val="3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rPr>
                <w:rFonts w:hint="default" w:ascii="Times New Roman" w:hAnsi="Times New Roman" w:eastAsia="宋体" w:cs="Times New Roman"/>
                <w:b w:val="0"/>
                <w:bCs/>
                <w:snapToGrid w:val="0"/>
                <w:color w:val="000000" w:themeColor="text1"/>
                <w:kern w:val="21"/>
                <w:sz w:val="21"/>
                <w:szCs w:val="21"/>
                <w:highlight w:val="none"/>
                <w:u w:val="none" w:color="auto"/>
                <w14:textFill>
                  <w14:solidFill>
                    <w14:schemeClr w14:val="tx1"/>
                  </w14:solidFill>
                </w14:textFill>
              </w:rPr>
            </w:pPr>
          </w:p>
        </w:tc>
        <w:tc>
          <w:tcPr>
            <w:tcW w:w="1537" w:type="dxa"/>
            <w:shd w:val="clear" w:color="auto" w:fill="auto"/>
            <w:noWrap w:val="0"/>
            <w:vAlign w:val="center"/>
          </w:tcPr>
          <w:p w14:paraId="4A050D7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000000" w:themeColor="text1"/>
                <w:kern w:val="0"/>
                <w:sz w:val="21"/>
                <w:szCs w:val="21"/>
                <w:highlight w:val="none"/>
                <w:u w:val="none" w:color="auto"/>
                <w:lang w:val="en-US" w:eastAsia="zh-CN" w:bidi="ar-SA"/>
                <w14:textFill>
                  <w14:solidFill>
                    <w14:schemeClr w14:val="tx1"/>
                  </w14:solidFill>
                </w14:textFill>
              </w:rPr>
            </w:pPr>
            <w:r>
              <w:rPr>
                <w:rFonts w:hint="eastAsia" w:cs="Times New Roman"/>
                <w:bCs/>
                <w:color w:val="000000" w:themeColor="text1"/>
                <w:kern w:val="0"/>
                <w:sz w:val="21"/>
                <w:szCs w:val="21"/>
                <w:highlight w:val="none"/>
                <w:u w:val="none" w:color="auto"/>
                <w:lang w:val="en-US" w:eastAsia="zh-CN"/>
                <w14:textFill>
                  <w14:solidFill>
                    <w14:schemeClr w14:val="tx1"/>
                  </w14:solidFill>
                </w14:textFill>
              </w:rPr>
              <w:t>0.</w:t>
            </w:r>
            <w:r>
              <w:rPr>
                <w:rFonts w:hint="eastAsia" w:ascii="Times New Roman" w:hAnsi="Times New Roman" w:eastAsia="宋体" w:cs="Times New Roman"/>
                <w:bCs/>
                <w:color w:val="000000" w:themeColor="text1"/>
                <w:kern w:val="0"/>
                <w:sz w:val="21"/>
                <w:szCs w:val="21"/>
                <w:highlight w:val="none"/>
                <w:u w:val="none" w:color="auto"/>
                <w:lang w:val="en-US" w:eastAsia="zh-CN"/>
                <w14:textFill>
                  <w14:solidFill>
                    <w14:schemeClr w14:val="tx1"/>
                  </w14:solidFill>
                </w14:textFill>
              </w:rPr>
              <w:t>5</w:t>
            </w:r>
          </w:p>
        </w:tc>
        <w:tc>
          <w:tcPr>
            <w:tcW w:w="551" w:type="pct"/>
            <w:noWrap w:val="0"/>
            <w:vAlign w:val="center"/>
          </w:tcPr>
          <w:p w14:paraId="4D4908A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color w:val="7030A0"/>
                <w:sz w:val="21"/>
                <w:szCs w:val="21"/>
                <w:highlight w:val="none"/>
                <w:u w:val="none" w:color="auto"/>
              </w:rPr>
            </w:pPr>
          </w:p>
        </w:tc>
        <w:tc>
          <w:tcPr>
            <w:tcW w:w="2093" w:type="dxa"/>
            <w:shd w:val="clear" w:color="auto" w:fill="auto"/>
            <w:noWrap w:val="0"/>
            <w:vAlign w:val="center"/>
          </w:tcPr>
          <w:p w14:paraId="51F3263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000000" w:themeColor="text1"/>
                <w:kern w:val="0"/>
                <w:sz w:val="21"/>
                <w:szCs w:val="21"/>
                <w:highlight w:val="none"/>
                <w:u w:val="none" w:color="auto"/>
                <w:lang w:val="en-US" w:eastAsia="zh-CN" w:bidi="ar-SA"/>
                <w14:textFill>
                  <w14:solidFill>
                    <w14:schemeClr w14:val="tx1"/>
                  </w14:solidFill>
                </w14:textFill>
              </w:rPr>
            </w:pPr>
            <w:r>
              <w:rPr>
                <w:rFonts w:hint="eastAsia" w:cs="Times New Roman"/>
                <w:bCs/>
                <w:color w:val="000000" w:themeColor="text1"/>
                <w:kern w:val="0"/>
                <w:sz w:val="21"/>
                <w:szCs w:val="21"/>
                <w:highlight w:val="none"/>
                <w:u w:val="none" w:color="auto"/>
                <w:lang w:val="en-US" w:eastAsia="zh-CN"/>
                <w14:textFill>
                  <w14:solidFill>
                    <w14:schemeClr w14:val="tx1"/>
                  </w14:solidFill>
                </w14:textFill>
              </w:rPr>
              <w:t>0.</w:t>
            </w:r>
            <w:r>
              <w:rPr>
                <w:rFonts w:hint="eastAsia" w:ascii="Times New Roman" w:hAnsi="Times New Roman" w:eastAsia="宋体" w:cs="Times New Roman"/>
                <w:bCs/>
                <w:color w:val="000000" w:themeColor="text1"/>
                <w:kern w:val="0"/>
                <w:sz w:val="21"/>
                <w:szCs w:val="21"/>
                <w:highlight w:val="none"/>
                <w:u w:val="none" w:color="auto"/>
                <w:lang w:val="en-US" w:eastAsia="zh-CN"/>
                <w14:textFill>
                  <w14:solidFill>
                    <w14:schemeClr w14:val="tx1"/>
                  </w14:solidFill>
                </w14:textFill>
              </w:rPr>
              <w:t>5</w:t>
            </w:r>
          </w:p>
        </w:tc>
        <w:tc>
          <w:tcPr>
            <w:tcW w:w="1341" w:type="dxa"/>
            <w:shd w:val="clear" w:color="auto" w:fill="auto"/>
            <w:noWrap w:val="0"/>
            <w:vAlign w:val="center"/>
          </w:tcPr>
          <w:p w14:paraId="43C8F70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000000" w:themeColor="text1"/>
                <w:kern w:val="0"/>
                <w:sz w:val="21"/>
                <w:szCs w:val="21"/>
                <w:highlight w:val="none"/>
                <w:u w:val="none" w:color="auto"/>
                <w:lang w:val="en-US" w:eastAsia="zh-CN" w:bidi="ar-SA"/>
                <w14:textFill>
                  <w14:solidFill>
                    <w14:schemeClr w14:val="tx1"/>
                  </w14:solidFill>
                </w14:textFill>
              </w:rPr>
            </w:pPr>
            <w:r>
              <w:rPr>
                <w:rFonts w:hint="eastAsia" w:cs="Times New Roman"/>
                <w:bCs/>
                <w:color w:val="000000" w:themeColor="text1"/>
                <w:kern w:val="0"/>
                <w:sz w:val="21"/>
                <w:szCs w:val="21"/>
                <w:highlight w:val="none"/>
                <w:u w:val="none" w:color="auto"/>
                <w:lang w:val="en-US" w:eastAsia="zh-CN"/>
                <w14:textFill>
                  <w14:solidFill>
                    <w14:schemeClr w14:val="tx1"/>
                  </w14:solidFill>
                </w14:textFill>
              </w:rPr>
              <w:t>+0.</w:t>
            </w:r>
            <w:r>
              <w:rPr>
                <w:rFonts w:hint="eastAsia" w:ascii="Times New Roman" w:hAnsi="Times New Roman" w:eastAsia="宋体" w:cs="Times New Roman"/>
                <w:bCs/>
                <w:color w:val="000000" w:themeColor="text1"/>
                <w:kern w:val="0"/>
                <w:sz w:val="21"/>
                <w:szCs w:val="21"/>
                <w:highlight w:val="none"/>
                <w:u w:val="none" w:color="auto"/>
                <w:lang w:val="en-US" w:eastAsia="zh-CN"/>
                <w14:textFill>
                  <w14:solidFill>
                    <w14:schemeClr w14:val="tx1"/>
                  </w14:solidFill>
                </w14:textFill>
              </w:rPr>
              <w:t>5</w:t>
            </w:r>
          </w:p>
        </w:tc>
      </w:tr>
      <w:tr w14:paraId="0A3B506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2" w:type="pct"/>
            <w:vMerge w:val="continue"/>
            <w:noWrap w:val="0"/>
            <w:vAlign w:val="center"/>
          </w:tcPr>
          <w:p w14:paraId="273BC01A">
            <w:pPr>
              <w:pStyle w:val="3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rPr>
                <w:rFonts w:hint="default" w:ascii="Times New Roman" w:hAnsi="Times New Roman" w:eastAsia="宋体" w:cs="Times New Roman"/>
                <w:b w:val="0"/>
                <w:bCs/>
                <w:snapToGrid w:val="0"/>
                <w:color w:val="000000" w:themeColor="text1"/>
                <w:kern w:val="21"/>
                <w:sz w:val="21"/>
                <w:szCs w:val="21"/>
                <w:highlight w:val="none"/>
                <w:u w:val="none" w:color="auto"/>
                <w14:textFill>
                  <w14:solidFill>
                    <w14:schemeClr w14:val="tx1"/>
                  </w14:solidFill>
                </w14:textFill>
              </w:rPr>
            </w:pPr>
          </w:p>
        </w:tc>
        <w:tc>
          <w:tcPr>
            <w:tcW w:w="747" w:type="pct"/>
            <w:noWrap w:val="0"/>
            <w:vAlign w:val="center"/>
          </w:tcPr>
          <w:p w14:paraId="2794DFA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s="Times New Roman"/>
                <w:b w:val="0"/>
                <w:bCs/>
                <w:color w:val="000000" w:themeColor="text1"/>
                <w:sz w:val="21"/>
                <w:szCs w:val="21"/>
                <w:highlight w:val="none"/>
                <w:u w:val="none" w:color="auto"/>
                <w:lang w:val="en-US" w:eastAsia="zh-CN"/>
                <w14:textFill>
                  <w14:solidFill>
                    <w14:schemeClr w14:val="tx1"/>
                  </w14:solidFill>
                </w14:textFill>
              </w:rPr>
            </w:pPr>
            <w:r>
              <w:rPr>
                <w:rFonts w:hint="eastAsia"/>
                <w:color w:val="000000" w:themeColor="text1"/>
                <w:sz w:val="21"/>
                <w:szCs w:val="21"/>
                <w:u w:val="none" w:color="auto"/>
                <w:lang w:val="en-US" w:eastAsia="zh-CN"/>
                <w14:textFill>
                  <w14:solidFill>
                    <w14:schemeClr w14:val="tx1"/>
                  </w14:solidFill>
                </w14:textFill>
              </w:rPr>
              <w:t>粗</w:t>
            </w:r>
            <w:r>
              <w:rPr>
                <w:rFonts w:hint="eastAsia"/>
                <w:color w:val="000000" w:themeColor="text1"/>
                <w:sz w:val="21"/>
                <w:szCs w:val="21"/>
                <w:u w:val="none" w:color="auto"/>
                <w14:textFill>
                  <w14:solidFill>
                    <w14:schemeClr w14:val="tx1"/>
                  </w14:solidFill>
                </w14:textFill>
              </w:rPr>
              <w:t>木焦油、木醋液</w:t>
            </w:r>
          </w:p>
        </w:tc>
        <w:tc>
          <w:tcPr>
            <w:tcW w:w="545" w:type="pct"/>
            <w:shd w:val="clear" w:color="auto" w:fill="auto"/>
            <w:noWrap w:val="0"/>
            <w:vAlign w:val="center"/>
          </w:tcPr>
          <w:p w14:paraId="081FAACA">
            <w:pPr>
              <w:pStyle w:val="3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leftChars="0" w:right="0" w:rightChars="0" w:firstLine="0" w:firstLineChars="0"/>
              <w:jc w:val="center"/>
              <w:rPr>
                <w:rFonts w:hint="default" w:ascii="Times New Roman" w:hAnsi="Times New Roman" w:eastAsia="宋体" w:cs="Times New Roman"/>
                <w:b w:val="0"/>
                <w:bCs/>
                <w:snapToGrid w:val="0"/>
                <w:color w:val="000000" w:themeColor="text1"/>
                <w:spacing w:val="6"/>
                <w:kern w:val="21"/>
                <w:sz w:val="21"/>
                <w:szCs w:val="21"/>
                <w:highlight w:val="none"/>
                <w:u w:val="none" w:color="auto"/>
                <w:lang w:val="en-US" w:eastAsia="zh-CN" w:bidi="ar-SA"/>
                <w14:textFill>
                  <w14:solidFill>
                    <w14:schemeClr w14:val="tx1"/>
                  </w14:solidFill>
                </w14:textFill>
              </w:rPr>
            </w:pPr>
          </w:p>
        </w:tc>
        <w:tc>
          <w:tcPr>
            <w:tcW w:w="394" w:type="pct"/>
            <w:noWrap w:val="0"/>
            <w:vAlign w:val="center"/>
          </w:tcPr>
          <w:p w14:paraId="33EC85CB">
            <w:pPr>
              <w:pStyle w:val="3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rPr>
                <w:rFonts w:hint="default" w:ascii="Times New Roman" w:hAnsi="Times New Roman" w:eastAsia="宋体" w:cs="Times New Roman"/>
                <w:b w:val="0"/>
                <w:bCs/>
                <w:snapToGrid w:val="0"/>
                <w:color w:val="000000" w:themeColor="text1"/>
                <w:kern w:val="21"/>
                <w:sz w:val="21"/>
                <w:szCs w:val="21"/>
                <w:highlight w:val="none"/>
                <w:u w:val="none" w:color="auto"/>
                <w14:textFill>
                  <w14:solidFill>
                    <w14:schemeClr w14:val="tx1"/>
                  </w14:solidFill>
                </w14:textFill>
              </w:rPr>
            </w:pPr>
          </w:p>
        </w:tc>
        <w:tc>
          <w:tcPr>
            <w:tcW w:w="544" w:type="pct"/>
            <w:noWrap w:val="0"/>
            <w:vAlign w:val="center"/>
          </w:tcPr>
          <w:p w14:paraId="3D040E0B">
            <w:pPr>
              <w:pStyle w:val="3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rPr>
                <w:rFonts w:hint="default" w:ascii="Times New Roman" w:hAnsi="Times New Roman" w:eastAsia="宋体" w:cs="Times New Roman"/>
                <w:b w:val="0"/>
                <w:bCs/>
                <w:snapToGrid w:val="0"/>
                <w:color w:val="000000" w:themeColor="text1"/>
                <w:kern w:val="21"/>
                <w:sz w:val="21"/>
                <w:szCs w:val="21"/>
                <w:highlight w:val="none"/>
                <w:u w:val="none" w:color="auto"/>
                <w14:textFill>
                  <w14:solidFill>
                    <w14:schemeClr w14:val="tx1"/>
                  </w14:solidFill>
                </w14:textFill>
              </w:rPr>
            </w:pPr>
          </w:p>
        </w:tc>
        <w:tc>
          <w:tcPr>
            <w:tcW w:w="1537" w:type="dxa"/>
            <w:shd w:val="clear" w:color="auto" w:fill="auto"/>
            <w:noWrap w:val="0"/>
            <w:vAlign w:val="center"/>
          </w:tcPr>
          <w:p w14:paraId="4C5E00F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bCs/>
                <w:color w:val="000000"/>
                <w:kern w:val="0"/>
                <w:sz w:val="21"/>
                <w:szCs w:val="21"/>
                <w:u w:val="none" w:color="auto"/>
                <w:lang w:val="en-US" w:eastAsia="zh-CN" w:bidi="ar-SA"/>
              </w:rPr>
            </w:pPr>
            <w:r>
              <w:rPr>
                <w:rFonts w:hint="eastAsia" w:cs="Times New Roman"/>
                <w:bCs/>
                <w:color w:val="000000" w:themeColor="text1"/>
                <w:kern w:val="0"/>
                <w:sz w:val="21"/>
                <w:szCs w:val="21"/>
                <w:highlight w:val="none"/>
                <w:u w:val="none" w:color="auto"/>
                <w:lang w:val="en-US" w:eastAsia="zh-CN"/>
                <w14:textFill>
                  <w14:solidFill>
                    <w14:schemeClr w14:val="tx1"/>
                  </w14:solidFill>
                </w14:textFill>
              </w:rPr>
              <w:t>3974.89</w:t>
            </w:r>
          </w:p>
        </w:tc>
        <w:tc>
          <w:tcPr>
            <w:tcW w:w="551" w:type="pct"/>
            <w:noWrap w:val="0"/>
            <w:vAlign w:val="center"/>
          </w:tcPr>
          <w:p w14:paraId="1B565D7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color w:val="7030A0"/>
                <w:sz w:val="21"/>
                <w:szCs w:val="21"/>
                <w:highlight w:val="none"/>
                <w:u w:val="none" w:color="auto"/>
              </w:rPr>
            </w:pPr>
          </w:p>
        </w:tc>
        <w:tc>
          <w:tcPr>
            <w:tcW w:w="2093" w:type="dxa"/>
            <w:shd w:val="clear" w:color="auto" w:fill="auto"/>
            <w:noWrap w:val="0"/>
            <w:vAlign w:val="center"/>
          </w:tcPr>
          <w:p w14:paraId="4839F69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bCs/>
                <w:color w:val="000000"/>
                <w:kern w:val="0"/>
                <w:sz w:val="21"/>
                <w:szCs w:val="21"/>
                <w:u w:val="none" w:color="auto"/>
                <w:lang w:val="en-US" w:eastAsia="zh-CN" w:bidi="ar-SA"/>
              </w:rPr>
            </w:pPr>
            <w:r>
              <w:rPr>
                <w:rFonts w:hint="eastAsia" w:cs="Times New Roman"/>
                <w:bCs/>
                <w:color w:val="000000" w:themeColor="text1"/>
                <w:kern w:val="0"/>
                <w:sz w:val="21"/>
                <w:szCs w:val="21"/>
                <w:highlight w:val="none"/>
                <w:u w:val="none" w:color="auto"/>
                <w:lang w:val="en-US" w:eastAsia="zh-CN"/>
                <w14:textFill>
                  <w14:solidFill>
                    <w14:schemeClr w14:val="tx1"/>
                  </w14:solidFill>
                </w14:textFill>
              </w:rPr>
              <w:t>3974.89</w:t>
            </w:r>
          </w:p>
        </w:tc>
        <w:tc>
          <w:tcPr>
            <w:tcW w:w="1341" w:type="dxa"/>
            <w:shd w:val="clear" w:color="auto" w:fill="auto"/>
            <w:noWrap w:val="0"/>
            <w:vAlign w:val="center"/>
          </w:tcPr>
          <w:p w14:paraId="5156FE6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cs="Times New Roman"/>
                <w:bCs/>
                <w:color w:val="000000" w:themeColor="text1"/>
                <w:kern w:val="0"/>
                <w:sz w:val="21"/>
                <w:szCs w:val="21"/>
                <w:highlight w:val="none"/>
                <w:u w:val="none" w:color="auto"/>
                <w:lang w:val="en-US" w:eastAsia="zh-CN"/>
                <w14:textFill>
                  <w14:solidFill>
                    <w14:schemeClr w14:val="tx1"/>
                  </w14:solidFill>
                </w14:textFill>
              </w:rPr>
            </w:pPr>
            <w:r>
              <w:rPr>
                <w:rFonts w:hint="eastAsia" w:cs="Times New Roman"/>
                <w:bCs/>
                <w:color w:val="000000" w:themeColor="text1"/>
                <w:kern w:val="0"/>
                <w:sz w:val="21"/>
                <w:szCs w:val="21"/>
                <w:highlight w:val="none"/>
                <w:u w:val="none" w:color="auto"/>
                <w:lang w:val="en-US" w:eastAsia="zh-CN"/>
                <w14:textFill>
                  <w14:solidFill>
                    <w14:schemeClr w14:val="tx1"/>
                  </w14:solidFill>
                </w14:textFill>
              </w:rPr>
              <w:t>+3974.89</w:t>
            </w:r>
          </w:p>
        </w:tc>
      </w:tr>
      <w:tr w14:paraId="30869AA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2" w:type="pct"/>
            <w:vMerge w:val="restart"/>
            <w:noWrap w:val="0"/>
            <w:vAlign w:val="center"/>
          </w:tcPr>
          <w:p w14:paraId="255DB0AD">
            <w:pPr>
              <w:pStyle w:val="3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rPr>
                <w:rFonts w:hint="default" w:ascii="Times New Roman" w:hAnsi="Times New Roman" w:eastAsia="宋体" w:cs="Times New Roman"/>
                <w:b w:val="0"/>
                <w:bCs/>
                <w:snapToGrid w:val="0"/>
                <w:color w:val="000000" w:themeColor="text1"/>
                <w:kern w:val="21"/>
                <w:sz w:val="21"/>
                <w:szCs w:val="21"/>
                <w:highlight w:val="none"/>
                <w:u w:val="none" w:color="auto"/>
                <w14:textFill>
                  <w14:solidFill>
                    <w14:schemeClr w14:val="tx1"/>
                  </w14:solidFill>
                </w14:textFill>
              </w:rPr>
            </w:pPr>
            <w:r>
              <w:rPr>
                <w:rFonts w:hint="default" w:ascii="Times New Roman" w:hAnsi="Times New Roman" w:eastAsia="宋体" w:cs="Times New Roman"/>
                <w:b w:val="0"/>
                <w:bCs/>
                <w:snapToGrid w:val="0"/>
                <w:color w:val="000000" w:themeColor="text1"/>
                <w:kern w:val="21"/>
                <w:sz w:val="21"/>
                <w:szCs w:val="21"/>
                <w:highlight w:val="none"/>
                <w:u w:val="none" w:color="auto"/>
                <w14:textFill>
                  <w14:solidFill>
                    <w14:schemeClr w14:val="tx1"/>
                  </w14:solidFill>
                </w14:textFill>
              </w:rPr>
              <w:t>危险废物</w:t>
            </w:r>
          </w:p>
        </w:tc>
        <w:tc>
          <w:tcPr>
            <w:tcW w:w="747" w:type="pct"/>
            <w:shd w:val="clear" w:color="auto" w:fill="auto"/>
            <w:noWrap w:val="0"/>
            <w:vAlign w:val="center"/>
          </w:tcPr>
          <w:p w14:paraId="160A76FA">
            <w:pPr>
              <w:keepNext w:val="0"/>
              <w:keepLines w:val="0"/>
              <w:pageBreakBefore w:val="0"/>
              <w:suppressLineNumbers w:val="0"/>
              <w:kinsoku/>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snapToGrid w:val="0"/>
                <w:color w:val="000000" w:themeColor="text1"/>
                <w:kern w:val="21"/>
                <w:sz w:val="21"/>
                <w:szCs w:val="21"/>
                <w:highlight w:val="none"/>
                <w:u w:val="none" w:color="auto"/>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u w:val="none" w:color="auto"/>
                <w14:textFill>
                  <w14:solidFill>
                    <w14:schemeClr w14:val="tx1"/>
                  </w14:solidFill>
                </w14:textFill>
              </w:rPr>
              <w:t>废润滑油（t/a）</w:t>
            </w:r>
          </w:p>
        </w:tc>
        <w:tc>
          <w:tcPr>
            <w:tcW w:w="545" w:type="pct"/>
            <w:shd w:val="clear" w:color="auto" w:fill="auto"/>
            <w:noWrap w:val="0"/>
            <w:vAlign w:val="center"/>
          </w:tcPr>
          <w:p w14:paraId="2BB2A0C1">
            <w:pPr>
              <w:pStyle w:val="3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leftChars="0" w:right="0" w:rightChars="0" w:firstLine="0" w:firstLineChars="0"/>
              <w:jc w:val="center"/>
              <w:rPr>
                <w:rFonts w:hint="default" w:ascii="Times New Roman" w:hAnsi="Times New Roman" w:eastAsia="宋体" w:cs="Times New Roman"/>
                <w:b w:val="0"/>
                <w:bCs/>
                <w:snapToGrid w:val="0"/>
                <w:color w:val="000000" w:themeColor="text1"/>
                <w:spacing w:val="6"/>
                <w:kern w:val="21"/>
                <w:sz w:val="21"/>
                <w:szCs w:val="21"/>
                <w:highlight w:val="none"/>
                <w:u w:val="none" w:color="auto"/>
                <w:lang w:val="en-US" w:eastAsia="zh-CN" w:bidi="ar-SA"/>
                <w14:textFill>
                  <w14:solidFill>
                    <w14:schemeClr w14:val="tx1"/>
                  </w14:solidFill>
                </w14:textFill>
              </w:rPr>
            </w:pPr>
          </w:p>
        </w:tc>
        <w:tc>
          <w:tcPr>
            <w:tcW w:w="394" w:type="pct"/>
            <w:shd w:val="clear" w:color="auto" w:fill="auto"/>
            <w:noWrap w:val="0"/>
            <w:vAlign w:val="center"/>
          </w:tcPr>
          <w:p w14:paraId="4C2BAEE3">
            <w:pPr>
              <w:pStyle w:val="3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leftChars="0" w:right="0" w:rightChars="0" w:firstLine="0" w:firstLineChars="0"/>
              <w:jc w:val="center"/>
              <w:rPr>
                <w:rFonts w:hint="default" w:ascii="Times New Roman" w:hAnsi="Times New Roman" w:eastAsia="宋体" w:cs="Times New Roman"/>
                <w:b w:val="0"/>
                <w:bCs/>
                <w:snapToGrid w:val="0"/>
                <w:color w:val="000000" w:themeColor="text1"/>
                <w:spacing w:val="6"/>
                <w:kern w:val="21"/>
                <w:sz w:val="21"/>
                <w:szCs w:val="21"/>
                <w:highlight w:val="none"/>
                <w:u w:val="none" w:color="auto"/>
                <w:lang w:val="en-US" w:eastAsia="zh-CN" w:bidi="ar-SA"/>
                <w14:textFill>
                  <w14:solidFill>
                    <w14:schemeClr w14:val="tx1"/>
                  </w14:solidFill>
                </w14:textFill>
              </w:rPr>
            </w:pPr>
          </w:p>
        </w:tc>
        <w:tc>
          <w:tcPr>
            <w:tcW w:w="544" w:type="pct"/>
            <w:shd w:val="clear" w:color="auto" w:fill="auto"/>
            <w:noWrap w:val="0"/>
            <w:vAlign w:val="center"/>
          </w:tcPr>
          <w:p w14:paraId="5BA5C436">
            <w:pPr>
              <w:pStyle w:val="3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leftChars="0" w:right="0" w:rightChars="0" w:firstLine="0" w:firstLineChars="0"/>
              <w:jc w:val="center"/>
              <w:rPr>
                <w:rFonts w:hint="default" w:ascii="Times New Roman" w:hAnsi="Times New Roman" w:eastAsia="宋体" w:cs="Times New Roman"/>
                <w:b w:val="0"/>
                <w:bCs/>
                <w:snapToGrid w:val="0"/>
                <w:color w:val="000000" w:themeColor="text1"/>
                <w:spacing w:val="6"/>
                <w:kern w:val="21"/>
                <w:sz w:val="21"/>
                <w:szCs w:val="21"/>
                <w:highlight w:val="none"/>
                <w:u w:val="none" w:color="auto"/>
                <w:lang w:val="en-US" w:eastAsia="zh-CN" w:bidi="ar-SA"/>
                <w14:textFill>
                  <w14:solidFill>
                    <w14:schemeClr w14:val="tx1"/>
                  </w14:solidFill>
                </w14:textFill>
              </w:rPr>
            </w:pPr>
          </w:p>
        </w:tc>
        <w:tc>
          <w:tcPr>
            <w:tcW w:w="545" w:type="pct"/>
            <w:shd w:val="clear" w:color="auto" w:fill="auto"/>
            <w:noWrap w:val="0"/>
            <w:vAlign w:val="center"/>
          </w:tcPr>
          <w:p w14:paraId="092910C8">
            <w:pPr>
              <w:pStyle w:val="51"/>
              <w:keepNext w:val="0"/>
              <w:keepLines w:val="0"/>
              <w:pageBreakBefore w:val="0"/>
              <w:suppressLineNumbers w:val="0"/>
              <w:kinsoku/>
              <w:wordWrap/>
              <w:overflowPunct/>
              <w:topLinePunct w:val="0"/>
              <w:bidi w:val="0"/>
              <w:snapToGrid w:val="0"/>
              <w:spacing w:before="0" w:beforeAutospacing="0" w:after="0" w:afterAutospacing="0" w:line="240" w:lineRule="auto"/>
              <w:ind w:left="0" w:leftChars="0" w:right="0" w:rightChars="0"/>
              <w:jc w:val="center"/>
              <w:rPr>
                <w:rFonts w:hint="default" w:ascii="Times New Roman" w:hAnsi="Times New Roman" w:eastAsia="宋体" w:cs="Times New Roman"/>
                <w:b w:val="0"/>
                <w:bCs/>
                <w:color w:val="000000" w:themeColor="text1"/>
                <w:kern w:val="24"/>
                <w:sz w:val="21"/>
                <w:szCs w:val="21"/>
                <w:highlight w:val="none"/>
                <w:u w:val="none" w:color="auto"/>
                <w:lang w:val="en-US" w:eastAsia="zh-CN" w:bidi="ar-SA"/>
                <w14:textFill>
                  <w14:solidFill>
                    <w14:schemeClr w14:val="tx1"/>
                  </w14:solidFill>
                </w14:textFill>
              </w:rPr>
            </w:pPr>
            <w:r>
              <w:rPr>
                <w:rFonts w:hint="eastAsia" w:ascii="Times New Roman" w:hAnsi="Times New Roman" w:cs="Times New Roman"/>
                <w:color w:val="000000" w:themeColor="text1"/>
                <w:sz w:val="21"/>
                <w:szCs w:val="21"/>
                <w:highlight w:val="none"/>
                <w:u w:val="none" w:color="auto"/>
                <w:lang w:val="en-US" w:eastAsia="zh-CN"/>
                <w14:textFill>
                  <w14:solidFill>
                    <w14:schemeClr w14:val="tx1"/>
                  </w14:solidFill>
                </w14:textFill>
              </w:rPr>
              <w:t>0.05</w:t>
            </w:r>
          </w:p>
        </w:tc>
        <w:tc>
          <w:tcPr>
            <w:tcW w:w="551" w:type="pct"/>
            <w:noWrap w:val="0"/>
            <w:vAlign w:val="center"/>
          </w:tcPr>
          <w:p w14:paraId="324D04C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val="0"/>
                <w:bCs/>
                <w:color w:val="7030A0"/>
                <w:sz w:val="21"/>
                <w:szCs w:val="21"/>
                <w:highlight w:val="none"/>
                <w:u w:val="none" w:color="auto"/>
              </w:rPr>
            </w:pPr>
          </w:p>
        </w:tc>
        <w:tc>
          <w:tcPr>
            <w:tcW w:w="742" w:type="pct"/>
            <w:shd w:val="clear" w:color="auto" w:fill="auto"/>
            <w:noWrap w:val="0"/>
            <w:vAlign w:val="center"/>
          </w:tcPr>
          <w:p w14:paraId="0BB077B2">
            <w:pPr>
              <w:pStyle w:val="51"/>
              <w:keepNext w:val="0"/>
              <w:keepLines w:val="0"/>
              <w:pageBreakBefore w:val="0"/>
              <w:suppressLineNumbers w:val="0"/>
              <w:kinsoku/>
              <w:wordWrap/>
              <w:overflowPunct/>
              <w:topLinePunct w:val="0"/>
              <w:bidi w:val="0"/>
              <w:snapToGrid w:val="0"/>
              <w:spacing w:before="0" w:beforeAutospacing="0" w:after="0" w:afterAutospacing="0" w:line="240" w:lineRule="auto"/>
              <w:ind w:left="0" w:leftChars="0" w:right="0" w:rightChars="0"/>
              <w:jc w:val="center"/>
              <w:rPr>
                <w:rFonts w:hint="default" w:ascii="Times New Roman" w:hAnsi="Times New Roman" w:eastAsia="宋体" w:cs="Times New Roman"/>
                <w:b w:val="0"/>
                <w:bCs/>
                <w:color w:val="000000" w:themeColor="text1"/>
                <w:kern w:val="24"/>
                <w:sz w:val="21"/>
                <w:szCs w:val="21"/>
                <w:highlight w:val="none"/>
                <w:u w:val="none" w:color="auto"/>
                <w:lang w:val="en-US" w:eastAsia="zh-CN" w:bidi="ar-SA"/>
                <w14:textFill>
                  <w14:solidFill>
                    <w14:schemeClr w14:val="tx1"/>
                  </w14:solidFill>
                </w14:textFill>
              </w:rPr>
            </w:pPr>
            <w:r>
              <w:rPr>
                <w:rFonts w:hint="eastAsia" w:ascii="Times New Roman" w:hAnsi="Times New Roman" w:cs="Times New Roman"/>
                <w:color w:val="000000" w:themeColor="text1"/>
                <w:sz w:val="21"/>
                <w:szCs w:val="21"/>
                <w:highlight w:val="none"/>
                <w:u w:val="none" w:color="auto"/>
                <w:lang w:val="en-US" w:eastAsia="zh-CN"/>
                <w14:textFill>
                  <w14:solidFill>
                    <w14:schemeClr w14:val="tx1"/>
                  </w14:solidFill>
                </w14:textFill>
              </w:rPr>
              <w:t>0.05</w:t>
            </w:r>
          </w:p>
        </w:tc>
        <w:tc>
          <w:tcPr>
            <w:tcW w:w="1341" w:type="dxa"/>
            <w:shd w:val="clear" w:color="auto" w:fill="auto"/>
            <w:noWrap w:val="0"/>
            <w:vAlign w:val="center"/>
          </w:tcPr>
          <w:p w14:paraId="0EEFB09C">
            <w:pPr>
              <w:pStyle w:val="51"/>
              <w:keepNext w:val="0"/>
              <w:keepLines w:val="0"/>
              <w:pageBreakBefore w:val="0"/>
              <w:suppressLineNumbers w:val="0"/>
              <w:kinsoku/>
              <w:wordWrap/>
              <w:overflowPunct/>
              <w:topLinePunct w:val="0"/>
              <w:bidi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000000" w:themeColor="text1"/>
                <w:kern w:val="24"/>
                <w:sz w:val="21"/>
                <w:szCs w:val="21"/>
                <w:highlight w:val="none"/>
                <w:u w:val="none" w:color="auto"/>
                <w:lang w:val="en-US" w:eastAsia="zh-CN" w:bidi="ar-SA"/>
                <w14:textFill>
                  <w14:solidFill>
                    <w14:schemeClr w14:val="tx1"/>
                  </w14:solidFill>
                </w14:textFill>
              </w:rPr>
            </w:pPr>
            <w:r>
              <w:rPr>
                <w:rFonts w:hint="eastAsia" w:ascii="Times New Roman" w:hAnsi="Times New Roman" w:cs="Times New Roman"/>
                <w:color w:val="000000" w:themeColor="text1"/>
                <w:sz w:val="21"/>
                <w:szCs w:val="21"/>
                <w:highlight w:val="none"/>
                <w:u w:val="none" w:color="auto"/>
                <w:lang w:val="en-US" w:eastAsia="zh-CN"/>
                <w14:textFill>
                  <w14:solidFill>
                    <w14:schemeClr w14:val="tx1"/>
                  </w14:solidFill>
                </w14:textFill>
              </w:rPr>
              <w:t>+0.05</w:t>
            </w:r>
          </w:p>
        </w:tc>
      </w:tr>
      <w:tr w14:paraId="5C8A01C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2" w:type="pct"/>
            <w:vMerge w:val="continue"/>
            <w:noWrap w:val="0"/>
            <w:vAlign w:val="center"/>
          </w:tcPr>
          <w:p w14:paraId="489CE5FC">
            <w:pPr>
              <w:pStyle w:val="3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rPr>
                <w:rFonts w:hint="default" w:ascii="Times New Roman" w:hAnsi="Times New Roman" w:eastAsia="宋体" w:cs="Times New Roman"/>
                <w:b w:val="0"/>
                <w:bCs/>
                <w:snapToGrid w:val="0"/>
                <w:color w:val="000000" w:themeColor="text1"/>
                <w:kern w:val="21"/>
                <w:sz w:val="21"/>
                <w:szCs w:val="21"/>
                <w:highlight w:val="none"/>
                <w:u w:val="none" w:color="auto"/>
                <w14:textFill>
                  <w14:solidFill>
                    <w14:schemeClr w14:val="tx1"/>
                  </w14:solidFill>
                </w14:textFill>
              </w:rPr>
            </w:pPr>
          </w:p>
        </w:tc>
        <w:tc>
          <w:tcPr>
            <w:tcW w:w="747" w:type="pct"/>
            <w:shd w:val="clear" w:color="auto" w:fill="auto"/>
            <w:noWrap w:val="0"/>
            <w:vAlign w:val="center"/>
          </w:tcPr>
          <w:p w14:paraId="60DFD5AE">
            <w:pPr>
              <w:keepNext w:val="0"/>
              <w:keepLines w:val="0"/>
              <w:pageBreakBefore w:val="0"/>
              <w:suppressLineNumbers w:val="0"/>
              <w:kinsoku/>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snapToGrid w:val="0"/>
                <w:color w:val="000000" w:themeColor="text1"/>
                <w:kern w:val="21"/>
                <w:sz w:val="21"/>
                <w:szCs w:val="21"/>
                <w:highlight w:val="none"/>
                <w:u w:val="none" w:color="auto"/>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u w:val="none" w:color="auto"/>
                <w14:textFill>
                  <w14:solidFill>
                    <w14:schemeClr w14:val="tx1"/>
                  </w14:solidFill>
                </w14:textFill>
              </w:rPr>
              <w:t>废润滑油桶（t/a）</w:t>
            </w:r>
          </w:p>
        </w:tc>
        <w:tc>
          <w:tcPr>
            <w:tcW w:w="545" w:type="pct"/>
            <w:shd w:val="clear" w:color="auto" w:fill="auto"/>
            <w:noWrap w:val="0"/>
            <w:vAlign w:val="center"/>
          </w:tcPr>
          <w:p w14:paraId="2EF70B28">
            <w:pPr>
              <w:pStyle w:val="3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leftChars="0" w:right="0" w:rightChars="0" w:firstLine="0" w:firstLineChars="0"/>
              <w:jc w:val="center"/>
              <w:rPr>
                <w:rFonts w:hint="default" w:ascii="Times New Roman" w:hAnsi="Times New Roman" w:eastAsia="宋体" w:cs="Times New Roman"/>
                <w:b w:val="0"/>
                <w:bCs/>
                <w:snapToGrid w:val="0"/>
                <w:color w:val="000000" w:themeColor="text1"/>
                <w:spacing w:val="6"/>
                <w:kern w:val="21"/>
                <w:sz w:val="21"/>
                <w:szCs w:val="21"/>
                <w:highlight w:val="none"/>
                <w:u w:val="none" w:color="auto"/>
                <w:lang w:val="en-US" w:eastAsia="zh-CN" w:bidi="ar-SA"/>
                <w14:textFill>
                  <w14:solidFill>
                    <w14:schemeClr w14:val="tx1"/>
                  </w14:solidFill>
                </w14:textFill>
              </w:rPr>
            </w:pPr>
            <w:r>
              <w:rPr>
                <w:rFonts w:hint="default" w:ascii="Times New Roman" w:hAnsi="Times New Roman" w:eastAsia="宋体" w:cs="Times New Roman"/>
                <w:b w:val="0"/>
                <w:bCs/>
                <w:snapToGrid w:val="0"/>
                <w:color w:val="000000" w:themeColor="text1"/>
                <w:kern w:val="21"/>
                <w:sz w:val="21"/>
                <w:szCs w:val="21"/>
                <w:highlight w:val="none"/>
                <w:u w:val="none" w:color="auto"/>
                <w:lang w:val="en-US" w:eastAsia="zh-CN"/>
                <w14:textFill>
                  <w14:solidFill>
                    <w14:schemeClr w14:val="tx1"/>
                  </w14:solidFill>
                </w14:textFill>
              </w:rPr>
              <w:t>0</w:t>
            </w:r>
          </w:p>
        </w:tc>
        <w:tc>
          <w:tcPr>
            <w:tcW w:w="394" w:type="pct"/>
            <w:shd w:val="clear" w:color="auto" w:fill="auto"/>
            <w:noWrap w:val="0"/>
            <w:vAlign w:val="center"/>
          </w:tcPr>
          <w:p w14:paraId="1892AE22">
            <w:pPr>
              <w:pStyle w:val="3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leftChars="0" w:right="0" w:rightChars="0" w:firstLine="0" w:firstLineChars="0"/>
              <w:jc w:val="center"/>
              <w:rPr>
                <w:rFonts w:hint="default" w:ascii="Times New Roman" w:hAnsi="Times New Roman" w:eastAsia="宋体" w:cs="Times New Roman"/>
                <w:b w:val="0"/>
                <w:bCs/>
                <w:snapToGrid w:val="0"/>
                <w:color w:val="000000" w:themeColor="text1"/>
                <w:spacing w:val="6"/>
                <w:kern w:val="21"/>
                <w:sz w:val="21"/>
                <w:szCs w:val="21"/>
                <w:highlight w:val="none"/>
                <w:u w:val="none" w:color="auto"/>
                <w:lang w:val="en-US" w:eastAsia="zh-CN" w:bidi="ar-SA"/>
                <w14:textFill>
                  <w14:solidFill>
                    <w14:schemeClr w14:val="tx1"/>
                  </w14:solidFill>
                </w14:textFill>
              </w:rPr>
            </w:pPr>
          </w:p>
        </w:tc>
        <w:tc>
          <w:tcPr>
            <w:tcW w:w="544" w:type="pct"/>
            <w:shd w:val="clear" w:color="auto" w:fill="auto"/>
            <w:noWrap w:val="0"/>
            <w:vAlign w:val="center"/>
          </w:tcPr>
          <w:p w14:paraId="6A082827">
            <w:pPr>
              <w:pStyle w:val="36"/>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leftChars="0" w:right="0" w:rightChars="0" w:firstLine="0" w:firstLineChars="0"/>
              <w:jc w:val="center"/>
              <w:rPr>
                <w:rFonts w:hint="default" w:ascii="Times New Roman" w:hAnsi="Times New Roman" w:eastAsia="宋体" w:cs="Times New Roman"/>
                <w:b w:val="0"/>
                <w:bCs/>
                <w:snapToGrid w:val="0"/>
                <w:color w:val="000000" w:themeColor="text1"/>
                <w:spacing w:val="6"/>
                <w:kern w:val="21"/>
                <w:sz w:val="21"/>
                <w:szCs w:val="21"/>
                <w:highlight w:val="none"/>
                <w:u w:val="none" w:color="auto"/>
                <w:lang w:val="en-US" w:eastAsia="zh-CN" w:bidi="ar-SA"/>
                <w14:textFill>
                  <w14:solidFill>
                    <w14:schemeClr w14:val="tx1"/>
                  </w14:solidFill>
                </w14:textFill>
              </w:rPr>
            </w:pPr>
          </w:p>
        </w:tc>
        <w:tc>
          <w:tcPr>
            <w:tcW w:w="545" w:type="pct"/>
            <w:shd w:val="clear" w:color="auto" w:fill="auto"/>
            <w:noWrap w:val="0"/>
            <w:vAlign w:val="center"/>
          </w:tcPr>
          <w:p w14:paraId="7DEC2786">
            <w:pPr>
              <w:pStyle w:val="51"/>
              <w:keepNext w:val="0"/>
              <w:keepLines w:val="0"/>
              <w:pageBreakBefore w:val="0"/>
              <w:suppressLineNumbers w:val="0"/>
              <w:kinsoku/>
              <w:wordWrap/>
              <w:overflowPunct/>
              <w:topLinePunct w:val="0"/>
              <w:bidi w:val="0"/>
              <w:snapToGrid w:val="0"/>
              <w:spacing w:before="0" w:beforeAutospacing="0" w:after="0" w:afterAutospacing="0" w:line="240" w:lineRule="auto"/>
              <w:ind w:left="0" w:leftChars="0" w:right="0" w:rightChars="0"/>
              <w:jc w:val="center"/>
              <w:rPr>
                <w:rFonts w:hint="default" w:ascii="Times New Roman" w:hAnsi="Times New Roman" w:eastAsia="宋体" w:cs="Times New Roman"/>
                <w:b w:val="0"/>
                <w:bCs/>
                <w:color w:val="000000" w:themeColor="text1"/>
                <w:kern w:val="24"/>
                <w:sz w:val="21"/>
                <w:szCs w:val="21"/>
                <w:highlight w:val="none"/>
                <w:u w:val="none" w:color="auto"/>
                <w:lang w:val="en-US" w:eastAsia="zh-CN" w:bidi="ar-SA"/>
                <w14:textFill>
                  <w14:solidFill>
                    <w14:schemeClr w14:val="tx1"/>
                  </w14:solidFill>
                </w14:textFill>
              </w:rPr>
            </w:pPr>
            <w:r>
              <w:rPr>
                <w:rFonts w:hint="eastAsia" w:ascii="Times New Roman" w:hAnsi="Times New Roman" w:cs="Times New Roman"/>
                <w:color w:val="000000" w:themeColor="text1"/>
                <w:sz w:val="21"/>
                <w:szCs w:val="21"/>
                <w:highlight w:val="none"/>
                <w:u w:val="none" w:color="auto"/>
                <w:lang w:val="en-US" w:eastAsia="zh-CN"/>
                <w14:textFill>
                  <w14:solidFill>
                    <w14:schemeClr w14:val="tx1"/>
                  </w14:solidFill>
                </w14:textFill>
              </w:rPr>
              <w:t>0.01</w:t>
            </w:r>
          </w:p>
        </w:tc>
        <w:tc>
          <w:tcPr>
            <w:tcW w:w="551" w:type="pct"/>
            <w:noWrap w:val="0"/>
            <w:vAlign w:val="center"/>
          </w:tcPr>
          <w:p w14:paraId="52FE6B2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val="0"/>
                <w:bCs/>
                <w:color w:val="7030A0"/>
                <w:sz w:val="21"/>
                <w:szCs w:val="21"/>
                <w:highlight w:val="none"/>
                <w:u w:val="none" w:color="auto"/>
              </w:rPr>
            </w:pPr>
          </w:p>
        </w:tc>
        <w:tc>
          <w:tcPr>
            <w:tcW w:w="742" w:type="pct"/>
            <w:shd w:val="clear" w:color="auto" w:fill="auto"/>
            <w:noWrap w:val="0"/>
            <w:vAlign w:val="center"/>
          </w:tcPr>
          <w:p w14:paraId="71D63B96">
            <w:pPr>
              <w:pStyle w:val="51"/>
              <w:keepNext w:val="0"/>
              <w:keepLines w:val="0"/>
              <w:pageBreakBefore w:val="0"/>
              <w:suppressLineNumbers w:val="0"/>
              <w:kinsoku/>
              <w:wordWrap/>
              <w:overflowPunct/>
              <w:topLinePunct w:val="0"/>
              <w:bidi w:val="0"/>
              <w:snapToGrid w:val="0"/>
              <w:spacing w:before="0" w:beforeAutospacing="0" w:after="0" w:afterAutospacing="0" w:line="240" w:lineRule="auto"/>
              <w:ind w:left="0" w:leftChars="0" w:right="0" w:rightChars="0"/>
              <w:jc w:val="center"/>
              <w:rPr>
                <w:rFonts w:hint="default" w:ascii="Times New Roman" w:hAnsi="Times New Roman" w:eastAsia="宋体" w:cs="Times New Roman"/>
                <w:b w:val="0"/>
                <w:bCs/>
                <w:color w:val="000000" w:themeColor="text1"/>
                <w:kern w:val="24"/>
                <w:sz w:val="21"/>
                <w:szCs w:val="21"/>
                <w:highlight w:val="none"/>
                <w:u w:val="none" w:color="auto"/>
                <w:lang w:val="en-US" w:eastAsia="zh-CN" w:bidi="ar-SA"/>
                <w14:textFill>
                  <w14:solidFill>
                    <w14:schemeClr w14:val="tx1"/>
                  </w14:solidFill>
                </w14:textFill>
              </w:rPr>
            </w:pPr>
            <w:r>
              <w:rPr>
                <w:rFonts w:hint="eastAsia" w:ascii="Times New Roman" w:hAnsi="Times New Roman" w:cs="Times New Roman"/>
                <w:color w:val="000000" w:themeColor="text1"/>
                <w:sz w:val="21"/>
                <w:szCs w:val="21"/>
                <w:highlight w:val="none"/>
                <w:u w:val="none" w:color="auto"/>
                <w:lang w:val="en-US" w:eastAsia="zh-CN"/>
                <w14:textFill>
                  <w14:solidFill>
                    <w14:schemeClr w14:val="tx1"/>
                  </w14:solidFill>
                </w14:textFill>
              </w:rPr>
              <w:t>0.01</w:t>
            </w:r>
          </w:p>
        </w:tc>
        <w:tc>
          <w:tcPr>
            <w:tcW w:w="1341" w:type="dxa"/>
            <w:shd w:val="clear" w:color="auto" w:fill="auto"/>
            <w:noWrap w:val="0"/>
            <w:vAlign w:val="center"/>
          </w:tcPr>
          <w:p w14:paraId="07ECD6BB">
            <w:pPr>
              <w:pStyle w:val="51"/>
              <w:keepNext w:val="0"/>
              <w:keepLines w:val="0"/>
              <w:pageBreakBefore w:val="0"/>
              <w:suppressLineNumbers w:val="0"/>
              <w:kinsoku/>
              <w:wordWrap/>
              <w:overflowPunct/>
              <w:topLinePunct w:val="0"/>
              <w:bidi w:val="0"/>
              <w:snapToGrid w:val="0"/>
              <w:spacing w:before="0" w:beforeAutospacing="0" w:after="0" w:afterAutospacing="0" w:line="240" w:lineRule="auto"/>
              <w:ind w:left="0" w:leftChars="0" w:right="0" w:rightChars="0"/>
              <w:jc w:val="center"/>
              <w:rPr>
                <w:rFonts w:hint="default" w:ascii="Times New Roman" w:hAnsi="Times New Roman" w:eastAsia="宋体" w:cs="Times New Roman"/>
                <w:b w:val="0"/>
                <w:bCs/>
                <w:color w:val="000000" w:themeColor="text1"/>
                <w:kern w:val="24"/>
                <w:sz w:val="21"/>
                <w:szCs w:val="21"/>
                <w:highlight w:val="none"/>
                <w:u w:val="none" w:color="auto"/>
                <w:lang w:val="en-US" w:eastAsia="zh-CN" w:bidi="ar-SA"/>
                <w14:textFill>
                  <w14:solidFill>
                    <w14:schemeClr w14:val="tx1"/>
                  </w14:solidFill>
                </w14:textFill>
              </w:rPr>
            </w:pPr>
            <w:r>
              <w:rPr>
                <w:rFonts w:hint="eastAsia" w:ascii="Times New Roman" w:hAnsi="Times New Roman" w:cs="Times New Roman"/>
                <w:color w:val="000000" w:themeColor="text1"/>
                <w:sz w:val="21"/>
                <w:szCs w:val="21"/>
                <w:highlight w:val="none"/>
                <w:u w:val="none" w:color="auto"/>
                <w:lang w:val="en-US" w:eastAsia="zh-CN"/>
                <w14:textFill>
                  <w14:solidFill>
                    <w14:schemeClr w14:val="tx1"/>
                  </w14:solidFill>
                </w14:textFill>
              </w:rPr>
              <w:t>+0.01</w:t>
            </w:r>
          </w:p>
        </w:tc>
      </w:tr>
    </w:tbl>
    <w:p w14:paraId="22515C6B">
      <w:pPr>
        <w:pStyle w:val="36"/>
        <w:spacing w:before="192" w:beforeLines="80" w:after="24"/>
        <w:jc w:val="left"/>
        <w:rPr>
          <w:rFonts w:hint="default" w:ascii="Times New Roman" w:hAnsi="Times New Roman" w:eastAsia="宋体" w:cs="Times New Roman"/>
          <w:b w:val="0"/>
          <w:bCs/>
          <w:snapToGrid w:val="0"/>
          <w:color w:val="000000" w:themeColor="text1"/>
          <w:spacing w:val="-6"/>
          <w:kern w:val="21"/>
          <w:sz w:val="24"/>
          <w:szCs w:val="24"/>
          <w:highlight w:val="none"/>
          <w:u w:val="none" w:color="auto"/>
          <w14:textFill>
            <w14:solidFill>
              <w14:schemeClr w14:val="tx1"/>
            </w14:solidFill>
          </w14:textFill>
        </w:rPr>
      </w:pPr>
      <w:r>
        <w:rPr>
          <w:rFonts w:hint="default" w:ascii="Times New Roman" w:hAnsi="Times New Roman" w:eastAsia="宋体" w:cs="Times New Roman"/>
          <w:b w:val="0"/>
          <w:bCs/>
          <w:snapToGrid w:val="0"/>
          <w:color w:val="000000" w:themeColor="text1"/>
          <w:kern w:val="21"/>
          <w:sz w:val="24"/>
          <w:szCs w:val="24"/>
          <w:highlight w:val="none"/>
          <w:u w:val="none" w:color="auto"/>
          <w14:textFill>
            <w14:solidFill>
              <w14:schemeClr w14:val="tx1"/>
            </w14:solidFill>
          </w14:textFill>
        </w:rPr>
        <w:t>注：</w:t>
      </w:r>
      <w:r>
        <w:rPr>
          <w:rFonts w:hint="default" w:ascii="Times New Roman" w:hAnsi="Times New Roman" w:eastAsia="宋体" w:cs="Times New Roman"/>
          <w:b w:val="0"/>
          <w:bCs/>
          <w:snapToGrid w:val="0"/>
          <w:color w:val="000000" w:themeColor="text1"/>
          <w:spacing w:val="-16"/>
          <w:kern w:val="21"/>
          <w:sz w:val="24"/>
          <w:szCs w:val="24"/>
          <w:highlight w:val="none"/>
          <w:u w:val="none" w:color="auto"/>
          <w14:textFill>
            <w14:solidFill>
              <w14:schemeClr w14:val="tx1"/>
            </w14:solidFill>
          </w14:textFill>
        </w:rPr>
        <w:fldChar w:fldCharType="begin"/>
      </w:r>
      <w:r>
        <w:rPr>
          <w:rFonts w:hint="default" w:ascii="Times New Roman" w:hAnsi="Times New Roman" w:eastAsia="宋体" w:cs="Times New Roman"/>
          <w:b w:val="0"/>
          <w:bCs/>
          <w:snapToGrid w:val="0"/>
          <w:color w:val="000000" w:themeColor="text1"/>
          <w:spacing w:val="-16"/>
          <w:kern w:val="21"/>
          <w:sz w:val="24"/>
          <w:szCs w:val="24"/>
          <w:highlight w:val="none"/>
          <w:u w:val="none" w:color="auto"/>
          <w14:textFill>
            <w14:solidFill>
              <w14:schemeClr w14:val="tx1"/>
            </w14:solidFill>
          </w14:textFill>
        </w:rPr>
        <w:instrText xml:space="preserve"> = 6 \* GB3 \* MERGEFORMAT </w:instrText>
      </w:r>
      <w:r>
        <w:rPr>
          <w:rFonts w:hint="default" w:ascii="Times New Roman" w:hAnsi="Times New Roman" w:eastAsia="宋体" w:cs="Times New Roman"/>
          <w:b w:val="0"/>
          <w:bCs/>
          <w:snapToGrid w:val="0"/>
          <w:color w:val="000000" w:themeColor="text1"/>
          <w:spacing w:val="-16"/>
          <w:kern w:val="21"/>
          <w:sz w:val="24"/>
          <w:szCs w:val="24"/>
          <w:highlight w:val="none"/>
          <w:u w:val="none" w:color="auto"/>
          <w14:textFill>
            <w14:solidFill>
              <w14:schemeClr w14:val="tx1"/>
            </w14:solidFill>
          </w14:textFill>
        </w:rPr>
        <w:fldChar w:fldCharType="separate"/>
      </w:r>
      <w:r>
        <w:rPr>
          <w:rFonts w:hint="default" w:ascii="Times New Roman" w:hAnsi="Times New Roman" w:eastAsia="宋体" w:cs="Times New Roman"/>
          <w:b w:val="0"/>
          <w:bCs/>
          <w:color w:val="000000" w:themeColor="text1"/>
          <w:sz w:val="24"/>
          <w:szCs w:val="24"/>
          <w:highlight w:val="none"/>
          <w:u w:val="none" w:color="auto"/>
          <w14:textFill>
            <w14:solidFill>
              <w14:schemeClr w14:val="tx1"/>
            </w14:solidFill>
          </w14:textFill>
        </w:rPr>
        <w:t>⑥</w:t>
      </w:r>
      <w:r>
        <w:rPr>
          <w:rFonts w:hint="default" w:ascii="Times New Roman" w:hAnsi="Times New Roman" w:eastAsia="宋体" w:cs="Times New Roman"/>
          <w:b w:val="0"/>
          <w:bCs/>
          <w:snapToGrid w:val="0"/>
          <w:color w:val="000000" w:themeColor="text1"/>
          <w:spacing w:val="-16"/>
          <w:kern w:val="21"/>
          <w:sz w:val="24"/>
          <w:szCs w:val="24"/>
          <w:highlight w:val="none"/>
          <w:u w:val="none" w:color="auto"/>
          <w14:textFill>
            <w14:solidFill>
              <w14:schemeClr w14:val="tx1"/>
            </w14:solidFill>
          </w14:textFill>
        </w:rPr>
        <w:fldChar w:fldCharType="end"/>
      </w:r>
      <w:r>
        <w:rPr>
          <w:rFonts w:hint="default" w:ascii="Times New Roman" w:hAnsi="Times New Roman" w:eastAsia="宋体" w:cs="Times New Roman"/>
          <w:b w:val="0"/>
          <w:bCs/>
          <w:snapToGrid w:val="0"/>
          <w:color w:val="000000" w:themeColor="text1"/>
          <w:spacing w:val="-16"/>
          <w:kern w:val="21"/>
          <w:sz w:val="24"/>
          <w:szCs w:val="24"/>
          <w:highlight w:val="none"/>
          <w:u w:val="none" w:color="auto"/>
          <w14:textFill>
            <w14:solidFill>
              <w14:schemeClr w14:val="tx1"/>
            </w14:solidFill>
          </w14:textFill>
        </w:rPr>
        <w:t>=</w:t>
      </w:r>
      <w:r>
        <w:rPr>
          <w:rFonts w:hint="default" w:ascii="Times New Roman" w:hAnsi="Times New Roman" w:eastAsia="宋体" w:cs="Times New Roman"/>
          <w:b w:val="0"/>
          <w:bCs/>
          <w:snapToGrid w:val="0"/>
          <w:color w:val="000000" w:themeColor="text1"/>
          <w:spacing w:val="-6"/>
          <w:kern w:val="21"/>
          <w:sz w:val="24"/>
          <w:szCs w:val="24"/>
          <w:highlight w:val="none"/>
          <w:u w:val="none" w:color="auto"/>
          <w14:textFill>
            <w14:solidFill>
              <w14:schemeClr w14:val="tx1"/>
            </w14:solidFill>
          </w14:textFill>
        </w:rPr>
        <w:fldChar w:fldCharType="begin"/>
      </w:r>
      <w:r>
        <w:rPr>
          <w:rFonts w:hint="default" w:ascii="Times New Roman" w:hAnsi="Times New Roman" w:eastAsia="宋体" w:cs="Times New Roman"/>
          <w:b w:val="0"/>
          <w:bCs/>
          <w:snapToGrid w:val="0"/>
          <w:color w:val="000000" w:themeColor="text1"/>
          <w:spacing w:val="-6"/>
          <w:kern w:val="21"/>
          <w:sz w:val="24"/>
          <w:szCs w:val="24"/>
          <w:highlight w:val="none"/>
          <w:u w:val="none" w:color="auto"/>
          <w14:textFill>
            <w14:solidFill>
              <w14:schemeClr w14:val="tx1"/>
            </w14:solidFill>
          </w14:textFill>
        </w:rPr>
        <w:instrText xml:space="preserve"> = 1 \* GB3 \* MERGEFORMAT </w:instrText>
      </w:r>
      <w:r>
        <w:rPr>
          <w:rFonts w:hint="default" w:ascii="Times New Roman" w:hAnsi="Times New Roman" w:eastAsia="宋体" w:cs="Times New Roman"/>
          <w:b w:val="0"/>
          <w:bCs/>
          <w:snapToGrid w:val="0"/>
          <w:color w:val="000000" w:themeColor="text1"/>
          <w:spacing w:val="-6"/>
          <w:kern w:val="21"/>
          <w:sz w:val="24"/>
          <w:szCs w:val="24"/>
          <w:highlight w:val="none"/>
          <w:u w:val="none" w:color="auto"/>
          <w14:textFill>
            <w14:solidFill>
              <w14:schemeClr w14:val="tx1"/>
            </w14:solidFill>
          </w14:textFill>
        </w:rPr>
        <w:fldChar w:fldCharType="separate"/>
      </w:r>
      <w:r>
        <w:rPr>
          <w:rFonts w:hint="default" w:ascii="Times New Roman" w:hAnsi="Times New Roman" w:eastAsia="宋体" w:cs="Times New Roman"/>
          <w:b w:val="0"/>
          <w:bCs/>
          <w:color w:val="000000" w:themeColor="text1"/>
          <w:sz w:val="24"/>
          <w:szCs w:val="24"/>
          <w:highlight w:val="none"/>
          <w:u w:val="none" w:color="auto"/>
          <w14:textFill>
            <w14:solidFill>
              <w14:schemeClr w14:val="tx1"/>
            </w14:solidFill>
          </w14:textFill>
        </w:rPr>
        <w:t>①</w:t>
      </w:r>
      <w:r>
        <w:rPr>
          <w:rFonts w:hint="default" w:ascii="Times New Roman" w:hAnsi="Times New Roman" w:eastAsia="宋体" w:cs="Times New Roman"/>
          <w:b w:val="0"/>
          <w:bCs/>
          <w:snapToGrid w:val="0"/>
          <w:color w:val="000000" w:themeColor="text1"/>
          <w:spacing w:val="-6"/>
          <w:kern w:val="21"/>
          <w:sz w:val="24"/>
          <w:szCs w:val="24"/>
          <w:highlight w:val="none"/>
          <w:u w:val="none" w:color="auto"/>
          <w14:textFill>
            <w14:solidFill>
              <w14:schemeClr w14:val="tx1"/>
            </w14:solidFill>
          </w14:textFill>
        </w:rPr>
        <w:fldChar w:fldCharType="end"/>
      </w:r>
      <w:r>
        <w:rPr>
          <w:rFonts w:hint="default" w:ascii="Times New Roman" w:hAnsi="Times New Roman" w:eastAsia="宋体" w:cs="Times New Roman"/>
          <w:b w:val="0"/>
          <w:bCs/>
          <w:snapToGrid w:val="0"/>
          <w:color w:val="000000" w:themeColor="text1"/>
          <w:spacing w:val="-6"/>
          <w:kern w:val="21"/>
          <w:sz w:val="24"/>
          <w:szCs w:val="24"/>
          <w:highlight w:val="none"/>
          <w:u w:val="none" w:color="auto"/>
          <w14:textFill>
            <w14:solidFill>
              <w14:schemeClr w14:val="tx1"/>
            </w14:solidFill>
          </w14:textFill>
        </w:rPr>
        <w:t>+</w:t>
      </w:r>
      <w:r>
        <w:rPr>
          <w:rFonts w:hint="default" w:ascii="Times New Roman" w:hAnsi="Times New Roman" w:eastAsia="宋体" w:cs="Times New Roman"/>
          <w:b w:val="0"/>
          <w:bCs/>
          <w:snapToGrid w:val="0"/>
          <w:color w:val="000000" w:themeColor="text1"/>
          <w:spacing w:val="-6"/>
          <w:kern w:val="21"/>
          <w:sz w:val="24"/>
          <w:szCs w:val="24"/>
          <w:highlight w:val="none"/>
          <w:u w:val="none" w:color="auto"/>
          <w14:textFill>
            <w14:solidFill>
              <w14:schemeClr w14:val="tx1"/>
            </w14:solidFill>
          </w14:textFill>
        </w:rPr>
        <w:fldChar w:fldCharType="begin"/>
      </w:r>
      <w:r>
        <w:rPr>
          <w:rFonts w:hint="default" w:ascii="Times New Roman" w:hAnsi="Times New Roman" w:eastAsia="宋体" w:cs="Times New Roman"/>
          <w:b w:val="0"/>
          <w:bCs/>
          <w:snapToGrid w:val="0"/>
          <w:color w:val="000000" w:themeColor="text1"/>
          <w:spacing w:val="-6"/>
          <w:kern w:val="21"/>
          <w:sz w:val="24"/>
          <w:szCs w:val="24"/>
          <w:highlight w:val="none"/>
          <w:u w:val="none" w:color="auto"/>
          <w14:textFill>
            <w14:solidFill>
              <w14:schemeClr w14:val="tx1"/>
            </w14:solidFill>
          </w14:textFill>
        </w:rPr>
        <w:instrText xml:space="preserve"> = 3 \* GB3 \* MERGEFORMAT </w:instrText>
      </w:r>
      <w:r>
        <w:rPr>
          <w:rFonts w:hint="default" w:ascii="Times New Roman" w:hAnsi="Times New Roman" w:eastAsia="宋体" w:cs="Times New Roman"/>
          <w:b w:val="0"/>
          <w:bCs/>
          <w:snapToGrid w:val="0"/>
          <w:color w:val="000000" w:themeColor="text1"/>
          <w:spacing w:val="-6"/>
          <w:kern w:val="21"/>
          <w:sz w:val="24"/>
          <w:szCs w:val="24"/>
          <w:highlight w:val="none"/>
          <w:u w:val="none" w:color="auto"/>
          <w14:textFill>
            <w14:solidFill>
              <w14:schemeClr w14:val="tx1"/>
            </w14:solidFill>
          </w14:textFill>
        </w:rPr>
        <w:fldChar w:fldCharType="separate"/>
      </w:r>
      <w:r>
        <w:rPr>
          <w:rFonts w:hint="default" w:ascii="Times New Roman" w:hAnsi="Times New Roman" w:eastAsia="宋体" w:cs="Times New Roman"/>
          <w:b w:val="0"/>
          <w:bCs/>
          <w:color w:val="000000" w:themeColor="text1"/>
          <w:sz w:val="24"/>
          <w:szCs w:val="24"/>
          <w:highlight w:val="none"/>
          <w:u w:val="none" w:color="auto"/>
          <w14:textFill>
            <w14:solidFill>
              <w14:schemeClr w14:val="tx1"/>
            </w14:solidFill>
          </w14:textFill>
        </w:rPr>
        <w:t>③</w:t>
      </w:r>
      <w:r>
        <w:rPr>
          <w:rFonts w:hint="default" w:ascii="Times New Roman" w:hAnsi="Times New Roman" w:eastAsia="宋体" w:cs="Times New Roman"/>
          <w:b w:val="0"/>
          <w:bCs/>
          <w:snapToGrid w:val="0"/>
          <w:color w:val="000000" w:themeColor="text1"/>
          <w:spacing w:val="-6"/>
          <w:kern w:val="21"/>
          <w:sz w:val="24"/>
          <w:szCs w:val="24"/>
          <w:highlight w:val="none"/>
          <w:u w:val="none" w:color="auto"/>
          <w14:textFill>
            <w14:solidFill>
              <w14:schemeClr w14:val="tx1"/>
            </w14:solidFill>
          </w14:textFill>
        </w:rPr>
        <w:fldChar w:fldCharType="end"/>
      </w:r>
      <w:r>
        <w:rPr>
          <w:rFonts w:hint="default" w:ascii="Times New Roman" w:hAnsi="Times New Roman" w:eastAsia="宋体" w:cs="Times New Roman"/>
          <w:b w:val="0"/>
          <w:bCs/>
          <w:snapToGrid w:val="0"/>
          <w:color w:val="000000" w:themeColor="text1"/>
          <w:spacing w:val="-6"/>
          <w:kern w:val="21"/>
          <w:sz w:val="24"/>
          <w:szCs w:val="24"/>
          <w:highlight w:val="none"/>
          <w:u w:val="none" w:color="auto"/>
          <w14:textFill>
            <w14:solidFill>
              <w14:schemeClr w14:val="tx1"/>
            </w14:solidFill>
          </w14:textFill>
        </w:rPr>
        <w:t>+</w:t>
      </w:r>
      <w:r>
        <w:rPr>
          <w:rFonts w:hint="default" w:ascii="Times New Roman" w:hAnsi="Times New Roman" w:eastAsia="宋体" w:cs="Times New Roman"/>
          <w:b w:val="0"/>
          <w:bCs/>
          <w:snapToGrid w:val="0"/>
          <w:color w:val="000000" w:themeColor="text1"/>
          <w:spacing w:val="-6"/>
          <w:kern w:val="21"/>
          <w:sz w:val="24"/>
          <w:szCs w:val="24"/>
          <w:highlight w:val="none"/>
          <w:u w:val="none" w:color="auto"/>
          <w14:textFill>
            <w14:solidFill>
              <w14:schemeClr w14:val="tx1"/>
            </w14:solidFill>
          </w14:textFill>
        </w:rPr>
        <w:fldChar w:fldCharType="begin"/>
      </w:r>
      <w:r>
        <w:rPr>
          <w:rFonts w:hint="default" w:ascii="Times New Roman" w:hAnsi="Times New Roman" w:eastAsia="宋体" w:cs="Times New Roman"/>
          <w:b w:val="0"/>
          <w:bCs/>
          <w:snapToGrid w:val="0"/>
          <w:color w:val="000000" w:themeColor="text1"/>
          <w:spacing w:val="-6"/>
          <w:kern w:val="21"/>
          <w:sz w:val="24"/>
          <w:szCs w:val="24"/>
          <w:highlight w:val="none"/>
          <w:u w:val="none" w:color="auto"/>
          <w14:textFill>
            <w14:solidFill>
              <w14:schemeClr w14:val="tx1"/>
            </w14:solidFill>
          </w14:textFill>
        </w:rPr>
        <w:instrText xml:space="preserve"> = 4 \* GB3 \* MERGEFORMAT </w:instrText>
      </w:r>
      <w:r>
        <w:rPr>
          <w:rFonts w:hint="default" w:ascii="Times New Roman" w:hAnsi="Times New Roman" w:eastAsia="宋体" w:cs="Times New Roman"/>
          <w:b w:val="0"/>
          <w:bCs/>
          <w:snapToGrid w:val="0"/>
          <w:color w:val="000000" w:themeColor="text1"/>
          <w:spacing w:val="-6"/>
          <w:kern w:val="21"/>
          <w:sz w:val="24"/>
          <w:szCs w:val="24"/>
          <w:highlight w:val="none"/>
          <w:u w:val="none" w:color="auto"/>
          <w14:textFill>
            <w14:solidFill>
              <w14:schemeClr w14:val="tx1"/>
            </w14:solidFill>
          </w14:textFill>
        </w:rPr>
        <w:fldChar w:fldCharType="separate"/>
      </w:r>
      <w:r>
        <w:rPr>
          <w:rFonts w:hint="default" w:ascii="Times New Roman" w:hAnsi="Times New Roman" w:eastAsia="宋体" w:cs="Times New Roman"/>
          <w:b w:val="0"/>
          <w:bCs/>
          <w:color w:val="000000" w:themeColor="text1"/>
          <w:sz w:val="24"/>
          <w:szCs w:val="24"/>
          <w:highlight w:val="none"/>
          <w:u w:val="none" w:color="auto"/>
          <w14:textFill>
            <w14:solidFill>
              <w14:schemeClr w14:val="tx1"/>
            </w14:solidFill>
          </w14:textFill>
        </w:rPr>
        <w:t>④</w:t>
      </w:r>
      <w:r>
        <w:rPr>
          <w:rFonts w:hint="default" w:ascii="Times New Roman" w:hAnsi="Times New Roman" w:eastAsia="宋体" w:cs="Times New Roman"/>
          <w:b w:val="0"/>
          <w:bCs/>
          <w:snapToGrid w:val="0"/>
          <w:color w:val="000000" w:themeColor="text1"/>
          <w:spacing w:val="-6"/>
          <w:kern w:val="21"/>
          <w:sz w:val="24"/>
          <w:szCs w:val="24"/>
          <w:highlight w:val="none"/>
          <w:u w:val="none" w:color="auto"/>
          <w14:textFill>
            <w14:solidFill>
              <w14:schemeClr w14:val="tx1"/>
            </w14:solidFill>
          </w14:textFill>
        </w:rPr>
        <w:fldChar w:fldCharType="end"/>
      </w:r>
      <w:r>
        <w:rPr>
          <w:rFonts w:hint="default" w:ascii="Times New Roman" w:hAnsi="Times New Roman" w:eastAsia="宋体" w:cs="Times New Roman"/>
          <w:b w:val="0"/>
          <w:bCs/>
          <w:snapToGrid w:val="0"/>
          <w:color w:val="000000" w:themeColor="text1"/>
          <w:spacing w:val="-6"/>
          <w:kern w:val="21"/>
          <w:sz w:val="24"/>
          <w:szCs w:val="24"/>
          <w:highlight w:val="none"/>
          <w:u w:val="none" w:color="auto"/>
          <w14:textFill>
            <w14:solidFill>
              <w14:schemeClr w14:val="tx1"/>
            </w14:solidFill>
          </w14:textFill>
        </w:rPr>
        <w:t>-</w:t>
      </w:r>
      <w:r>
        <w:rPr>
          <w:rFonts w:hint="default" w:ascii="Times New Roman" w:hAnsi="Times New Roman" w:eastAsia="宋体" w:cs="Times New Roman"/>
          <w:b w:val="0"/>
          <w:bCs/>
          <w:snapToGrid w:val="0"/>
          <w:color w:val="000000" w:themeColor="text1"/>
          <w:spacing w:val="-16"/>
          <w:kern w:val="21"/>
          <w:sz w:val="24"/>
          <w:szCs w:val="24"/>
          <w:highlight w:val="none"/>
          <w:u w:val="none" w:color="auto"/>
          <w14:textFill>
            <w14:solidFill>
              <w14:schemeClr w14:val="tx1"/>
            </w14:solidFill>
          </w14:textFill>
        </w:rPr>
        <w:fldChar w:fldCharType="begin"/>
      </w:r>
      <w:r>
        <w:rPr>
          <w:rFonts w:hint="default" w:ascii="Times New Roman" w:hAnsi="Times New Roman" w:eastAsia="宋体" w:cs="Times New Roman"/>
          <w:b w:val="0"/>
          <w:bCs/>
          <w:snapToGrid w:val="0"/>
          <w:color w:val="000000" w:themeColor="text1"/>
          <w:spacing w:val="-16"/>
          <w:kern w:val="21"/>
          <w:sz w:val="24"/>
          <w:szCs w:val="24"/>
          <w:highlight w:val="none"/>
          <w:u w:val="none" w:color="auto"/>
          <w14:textFill>
            <w14:solidFill>
              <w14:schemeClr w14:val="tx1"/>
            </w14:solidFill>
          </w14:textFill>
        </w:rPr>
        <w:instrText xml:space="preserve"> = 5 \* GB3 \* MERGEFORMAT </w:instrText>
      </w:r>
      <w:r>
        <w:rPr>
          <w:rFonts w:hint="default" w:ascii="Times New Roman" w:hAnsi="Times New Roman" w:eastAsia="宋体" w:cs="Times New Roman"/>
          <w:b w:val="0"/>
          <w:bCs/>
          <w:snapToGrid w:val="0"/>
          <w:color w:val="000000" w:themeColor="text1"/>
          <w:spacing w:val="-16"/>
          <w:kern w:val="21"/>
          <w:sz w:val="24"/>
          <w:szCs w:val="24"/>
          <w:highlight w:val="none"/>
          <w:u w:val="none" w:color="auto"/>
          <w14:textFill>
            <w14:solidFill>
              <w14:schemeClr w14:val="tx1"/>
            </w14:solidFill>
          </w14:textFill>
        </w:rPr>
        <w:fldChar w:fldCharType="separate"/>
      </w:r>
      <w:r>
        <w:rPr>
          <w:rFonts w:hint="default" w:ascii="Times New Roman" w:hAnsi="Times New Roman" w:eastAsia="宋体" w:cs="Times New Roman"/>
          <w:b w:val="0"/>
          <w:bCs/>
          <w:color w:val="000000" w:themeColor="text1"/>
          <w:sz w:val="24"/>
          <w:szCs w:val="24"/>
          <w:highlight w:val="none"/>
          <w:u w:val="none" w:color="auto"/>
          <w14:textFill>
            <w14:solidFill>
              <w14:schemeClr w14:val="tx1"/>
            </w14:solidFill>
          </w14:textFill>
        </w:rPr>
        <w:t>⑤</w:t>
      </w:r>
      <w:r>
        <w:rPr>
          <w:rFonts w:hint="default" w:ascii="Times New Roman" w:hAnsi="Times New Roman" w:eastAsia="宋体" w:cs="Times New Roman"/>
          <w:b w:val="0"/>
          <w:bCs/>
          <w:snapToGrid w:val="0"/>
          <w:color w:val="000000" w:themeColor="text1"/>
          <w:spacing w:val="-16"/>
          <w:kern w:val="21"/>
          <w:sz w:val="24"/>
          <w:szCs w:val="24"/>
          <w:highlight w:val="none"/>
          <w:u w:val="none" w:color="auto"/>
          <w14:textFill>
            <w14:solidFill>
              <w14:schemeClr w14:val="tx1"/>
            </w14:solidFill>
          </w14:textFill>
        </w:rPr>
        <w:fldChar w:fldCharType="end"/>
      </w:r>
      <w:r>
        <w:rPr>
          <w:rFonts w:hint="default" w:ascii="Times New Roman" w:hAnsi="Times New Roman" w:eastAsia="宋体" w:cs="Times New Roman"/>
          <w:b w:val="0"/>
          <w:bCs/>
          <w:snapToGrid w:val="0"/>
          <w:color w:val="000000" w:themeColor="text1"/>
          <w:spacing w:val="-16"/>
          <w:kern w:val="21"/>
          <w:sz w:val="24"/>
          <w:szCs w:val="24"/>
          <w:highlight w:val="none"/>
          <w:u w:val="none" w:color="auto"/>
          <w14:textFill>
            <w14:solidFill>
              <w14:schemeClr w14:val="tx1"/>
            </w14:solidFill>
          </w14:textFill>
        </w:rPr>
        <w:t>；</w:t>
      </w:r>
      <w:r>
        <w:rPr>
          <w:rFonts w:hint="default" w:ascii="Times New Roman" w:hAnsi="Times New Roman" w:eastAsia="宋体" w:cs="Times New Roman"/>
          <w:b w:val="0"/>
          <w:bCs/>
          <w:snapToGrid w:val="0"/>
          <w:color w:val="000000" w:themeColor="text1"/>
          <w:spacing w:val="-6"/>
          <w:kern w:val="21"/>
          <w:sz w:val="24"/>
          <w:szCs w:val="24"/>
          <w:highlight w:val="none"/>
          <w:u w:val="none" w:color="auto"/>
          <w14:textFill>
            <w14:solidFill>
              <w14:schemeClr w14:val="tx1"/>
            </w14:solidFill>
          </w14:textFill>
        </w:rPr>
        <w:fldChar w:fldCharType="begin"/>
      </w:r>
      <w:r>
        <w:rPr>
          <w:rFonts w:hint="default" w:ascii="Times New Roman" w:hAnsi="Times New Roman" w:eastAsia="宋体" w:cs="Times New Roman"/>
          <w:b w:val="0"/>
          <w:bCs/>
          <w:snapToGrid w:val="0"/>
          <w:color w:val="000000" w:themeColor="text1"/>
          <w:spacing w:val="-6"/>
          <w:kern w:val="21"/>
          <w:sz w:val="24"/>
          <w:szCs w:val="24"/>
          <w:highlight w:val="none"/>
          <w:u w:val="none" w:color="auto"/>
          <w14:textFill>
            <w14:solidFill>
              <w14:schemeClr w14:val="tx1"/>
            </w14:solidFill>
          </w14:textFill>
        </w:rPr>
        <w:instrText xml:space="preserve"> = 7 \* GB3 \* MERGEFORMAT </w:instrText>
      </w:r>
      <w:r>
        <w:rPr>
          <w:rFonts w:hint="default" w:ascii="Times New Roman" w:hAnsi="Times New Roman" w:eastAsia="宋体" w:cs="Times New Roman"/>
          <w:b w:val="0"/>
          <w:bCs/>
          <w:snapToGrid w:val="0"/>
          <w:color w:val="000000" w:themeColor="text1"/>
          <w:spacing w:val="-6"/>
          <w:kern w:val="21"/>
          <w:sz w:val="24"/>
          <w:szCs w:val="24"/>
          <w:highlight w:val="none"/>
          <w:u w:val="none" w:color="auto"/>
          <w14:textFill>
            <w14:solidFill>
              <w14:schemeClr w14:val="tx1"/>
            </w14:solidFill>
          </w14:textFill>
        </w:rPr>
        <w:fldChar w:fldCharType="separate"/>
      </w:r>
      <w:r>
        <w:rPr>
          <w:rFonts w:hint="default" w:ascii="Times New Roman" w:hAnsi="Times New Roman" w:eastAsia="宋体" w:cs="Times New Roman"/>
          <w:b w:val="0"/>
          <w:bCs/>
          <w:color w:val="000000" w:themeColor="text1"/>
          <w:sz w:val="24"/>
          <w:szCs w:val="24"/>
          <w:highlight w:val="none"/>
          <w:u w:val="none" w:color="auto"/>
          <w14:textFill>
            <w14:solidFill>
              <w14:schemeClr w14:val="tx1"/>
            </w14:solidFill>
          </w14:textFill>
        </w:rPr>
        <w:t>⑦</w:t>
      </w:r>
      <w:r>
        <w:rPr>
          <w:rFonts w:hint="default" w:ascii="Times New Roman" w:hAnsi="Times New Roman" w:eastAsia="宋体" w:cs="Times New Roman"/>
          <w:b w:val="0"/>
          <w:bCs/>
          <w:snapToGrid w:val="0"/>
          <w:color w:val="000000" w:themeColor="text1"/>
          <w:spacing w:val="-6"/>
          <w:kern w:val="21"/>
          <w:sz w:val="24"/>
          <w:szCs w:val="24"/>
          <w:highlight w:val="none"/>
          <w:u w:val="none" w:color="auto"/>
          <w14:textFill>
            <w14:solidFill>
              <w14:schemeClr w14:val="tx1"/>
            </w14:solidFill>
          </w14:textFill>
        </w:rPr>
        <w:fldChar w:fldCharType="end"/>
      </w:r>
      <w:r>
        <w:rPr>
          <w:rFonts w:hint="default" w:ascii="Times New Roman" w:hAnsi="Times New Roman" w:eastAsia="宋体" w:cs="Times New Roman"/>
          <w:b w:val="0"/>
          <w:bCs/>
          <w:snapToGrid w:val="0"/>
          <w:color w:val="000000" w:themeColor="text1"/>
          <w:spacing w:val="-6"/>
          <w:kern w:val="21"/>
          <w:sz w:val="24"/>
          <w:szCs w:val="24"/>
          <w:highlight w:val="none"/>
          <w:u w:val="none" w:color="auto"/>
          <w14:textFill>
            <w14:solidFill>
              <w14:schemeClr w14:val="tx1"/>
            </w14:solidFill>
          </w14:textFill>
        </w:rPr>
        <w:t>=</w:t>
      </w:r>
      <w:r>
        <w:rPr>
          <w:rFonts w:hint="default" w:ascii="Times New Roman" w:hAnsi="Times New Roman" w:eastAsia="宋体" w:cs="Times New Roman"/>
          <w:b w:val="0"/>
          <w:bCs/>
          <w:snapToGrid w:val="0"/>
          <w:color w:val="000000" w:themeColor="text1"/>
          <w:spacing w:val="-16"/>
          <w:kern w:val="21"/>
          <w:sz w:val="24"/>
          <w:szCs w:val="24"/>
          <w:highlight w:val="none"/>
          <w:u w:val="none" w:color="auto"/>
          <w14:textFill>
            <w14:solidFill>
              <w14:schemeClr w14:val="tx1"/>
            </w14:solidFill>
          </w14:textFill>
        </w:rPr>
        <w:fldChar w:fldCharType="begin"/>
      </w:r>
      <w:r>
        <w:rPr>
          <w:rFonts w:hint="default" w:ascii="Times New Roman" w:hAnsi="Times New Roman" w:eastAsia="宋体" w:cs="Times New Roman"/>
          <w:b w:val="0"/>
          <w:bCs/>
          <w:snapToGrid w:val="0"/>
          <w:color w:val="000000" w:themeColor="text1"/>
          <w:spacing w:val="-16"/>
          <w:kern w:val="21"/>
          <w:sz w:val="24"/>
          <w:szCs w:val="24"/>
          <w:highlight w:val="none"/>
          <w:u w:val="none" w:color="auto"/>
          <w14:textFill>
            <w14:solidFill>
              <w14:schemeClr w14:val="tx1"/>
            </w14:solidFill>
          </w14:textFill>
        </w:rPr>
        <w:instrText xml:space="preserve"> = 6 \* GB3 \* MERGEFORMAT </w:instrText>
      </w:r>
      <w:r>
        <w:rPr>
          <w:rFonts w:hint="default" w:ascii="Times New Roman" w:hAnsi="Times New Roman" w:eastAsia="宋体" w:cs="Times New Roman"/>
          <w:b w:val="0"/>
          <w:bCs/>
          <w:snapToGrid w:val="0"/>
          <w:color w:val="000000" w:themeColor="text1"/>
          <w:spacing w:val="-16"/>
          <w:kern w:val="21"/>
          <w:sz w:val="24"/>
          <w:szCs w:val="24"/>
          <w:highlight w:val="none"/>
          <w:u w:val="none" w:color="auto"/>
          <w14:textFill>
            <w14:solidFill>
              <w14:schemeClr w14:val="tx1"/>
            </w14:solidFill>
          </w14:textFill>
        </w:rPr>
        <w:fldChar w:fldCharType="separate"/>
      </w:r>
      <w:r>
        <w:rPr>
          <w:rFonts w:hint="default" w:ascii="Times New Roman" w:hAnsi="Times New Roman" w:eastAsia="宋体" w:cs="Times New Roman"/>
          <w:b w:val="0"/>
          <w:bCs/>
          <w:color w:val="000000" w:themeColor="text1"/>
          <w:sz w:val="24"/>
          <w:szCs w:val="24"/>
          <w:highlight w:val="none"/>
          <w:u w:val="none" w:color="auto"/>
          <w14:textFill>
            <w14:solidFill>
              <w14:schemeClr w14:val="tx1"/>
            </w14:solidFill>
          </w14:textFill>
        </w:rPr>
        <w:t>⑥</w:t>
      </w:r>
      <w:r>
        <w:rPr>
          <w:rFonts w:hint="default" w:ascii="Times New Roman" w:hAnsi="Times New Roman" w:eastAsia="宋体" w:cs="Times New Roman"/>
          <w:b w:val="0"/>
          <w:bCs/>
          <w:snapToGrid w:val="0"/>
          <w:color w:val="000000" w:themeColor="text1"/>
          <w:spacing w:val="-16"/>
          <w:kern w:val="21"/>
          <w:sz w:val="24"/>
          <w:szCs w:val="24"/>
          <w:highlight w:val="none"/>
          <w:u w:val="none" w:color="auto"/>
          <w14:textFill>
            <w14:solidFill>
              <w14:schemeClr w14:val="tx1"/>
            </w14:solidFill>
          </w14:textFill>
        </w:rPr>
        <w:fldChar w:fldCharType="end"/>
      </w:r>
      <w:r>
        <w:rPr>
          <w:rFonts w:hint="default" w:ascii="Times New Roman" w:hAnsi="Times New Roman" w:eastAsia="宋体" w:cs="Times New Roman"/>
          <w:b w:val="0"/>
          <w:bCs/>
          <w:snapToGrid w:val="0"/>
          <w:color w:val="000000" w:themeColor="text1"/>
          <w:spacing w:val="-16"/>
          <w:kern w:val="21"/>
          <w:sz w:val="24"/>
          <w:szCs w:val="24"/>
          <w:highlight w:val="none"/>
          <w:u w:val="none" w:color="auto"/>
          <w14:textFill>
            <w14:solidFill>
              <w14:schemeClr w14:val="tx1"/>
            </w14:solidFill>
          </w14:textFill>
        </w:rPr>
        <w:t>-</w:t>
      </w:r>
      <w:r>
        <w:rPr>
          <w:rFonts w:hint="default" w:ascii="Times New Roman" w:hAnsi="Times New Roman" w:eastAsia="宋体" w:cs="Times New Roman"/>
          <w:b w:val="0"/>
          <w:bCs/>
          <w:snapToGrid w:val="0"/>
          <w:color w:val="000000" w:themeColor="text1"/>
          <w:spacing w:val="-6"/>
          <w:kern w:val="21"/>
          <w:sz w:val="24"/>
          <w:szCs w:val="24"/>
          <w:highlight w:val="none"/>
          <w:u w:val="none" w:color="auto"/>
          <w14:textFill>
            <w14:solidFill>
              <w14:schemeClr w14:val="tx1"/>
            </w14:solidFill>
          </w14:textFill>
        </w:rPr>
        <w:fldChar w:fldCharType="begin"/>
      </w:r>
      <w:r>
        <w:rPr>
          <w:rFonts w:hint="default" w:ascii="Times New Roman" w:hAnsi="Times New Roman" w:eastAsia="宋体" w:cs="Times New Roman"/>
          <w:b w:val="0"/>
          <w:bCs/>
          <w:snapToGrid w:val="0"/>
          <w:color w:val="000000" w:themeColor="text1"/>
          <w:spacing w:val="-6"/>
          <w:kern w:val="21"/>
          <w:sz w:val="24"/>
          <w:szCs w:val="24"/>
          <w:highlight w:val="none"/>
          <w:u w:val="none" w:color="auto"/>
          <w14:textFill>
            <w14:solidFill>
              <w14:schemeClr w14:val="tx1"/>
            </w14:solidFill>
          </w14:textFill>
        </w:rPr>
        <w:instrText xml:space="preserve"> = 1 \* GB3 \* MERGEFORMAT </w:instrText>
      </w:r>
      <w:r>
        <w:rPr>
          <w:rFonts w:hint="default" w:ascii="Times New Roman" w:hAnsi="Times New Roman" w:eastAsia="宋体" w:cs="Times New Roman"/>
          <w:b w:val="0"/>
          <w:bCs/>
          <w:snapToGrid w:val="0"/>
          <w:color w:val="000000" w:themeColor="text1"/>
          <w:spacing w:val="-6"/>
          <w:kern w:val="21"/>
          <w:sz w:val="24"/>
          <w:szCs w:val="24"/>
          <w:highlight w:val="none"/>
          <w:u w:val="none" w:color="auto"/>
          <w14:textFill>
            <w14:solidFill>
              <w14:schemeClr w14:val="tx1"/>
            </w14:solidFill>
          </w14:textFill>
        </w:rPr>
        <w:fldChar w:fldCharType="separate"/>
      </w:r>
      <w:r>
        <w:rPr>
          <w:rFonts w:hint="default" w:ascii="Times New Roman" w:hAnsi="Times New Roman" w:eastAsia="宋体" w:cs="Times New Roman"/>
          <w:b w:val="0"/>
          <w:bCs/>
          <w:color w:val="000000" w:themeColor="text1"/>
          <w:sz w:val="24"/>
          <w:szCs w:val="24"/>
          <w:highlight w:val="none"/>
          <w:u w:val="none" w:color="auto"/>
          <w14:textFill>
            <w14:solidFill>
              <w14:schemeClr w14:val="tx1"/>
            </w14:solidFill>
          </w14:textFill>
        </w:rPr>
        <w:t>①</w:t>
      </w:r>
      <w:r>
        <w:rPr>
          <w:rFonts w:hint="default" w:ascii="Times New Roman" w:hAnsi="Times New Roman" w:eastAsia="宋体" w:cs="Times New Roman"/>
          <w:b w:val="0"/>
          <w:bCs/>
          <w:snapToGrid w:val="0"/>
          <w:color w:val="000000" w:themeColor="text1"/>
          <w:spacing w:val="-6"/>
          <w:kern w:val="21"/>
          <w:sz w:val="24"/>
          <w:szCs w:val="24"/>
          <w:highlight w:val="none"/>
          <w:u w:val="none" w:color="auto"/>
          <w14:textFill>
            <w14:solidFill>
              <w14:schemeClr w14:val="tx1"/>
            </w14:solidFill>
          </w14:textFill>
        </w:rPr>
        <w:fldChar w:fldCharType="end"/>
      </w:r>
    </w:p>
    <w:p w14:paraId="4CECDF52">
      <w:pPr>
        <w:rPr>
          <w:rFonts w:hint="eastAsia" w:eastAsia="宋体"/>
          <w:color w:val="7030A0"/>
          <w:vertAlign w:val="baseline"/>
          <w:lang w:eastAsia="zh-CN"/>
        </w:rPr>
        <w:sectPr>
          <w:footerReference r:id="rId6" w:type="default"/>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720" w:num="1"/>
          <w:docGrid w:type="lines" w:linePitch="312" w:charSpace="0"/>
        </w:sectPr>
      </w:pPr>
    </w:p>
    <w:tbl>
      <w:tblPr>
        <w:tblStyle w:val="3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55"/>
      </w:tblGrid>
      <w:tr w14:paraId="56E563A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9955" w:type="dxa"/>
            <w:vAlign w:val="center"/>
          </w:tcPr>
          <w:p w14:paraId="5EE12D14">
            <w:pPr>
              <w:jc w:val="center"/>
              <w:rPr>
                <w:rFonts w:hint="eastAsia" w:eastAsia="宋体"/>
                <w:vertAlign w:val="baseline"/>
                <w:lang w:eastAsia="zh-CN"/>
              </w:rPr>
            </w:pPr>
            <w:r>
              <mc:AlternateContent>
                <mc:Choice Requires="wps">
                  <w:drawing>
                    <wp:anchor distT="0" distB="0" distL="114300" distR="114300" simplePos="0" relativeHeight="251667456" behindDoc="0" locked="0" layoutInCell="1" allowOverlap="1">
                      <wp:simplePos x="0" y="0"/>
                      <wp:positionH relativeFrom="column">
                        <wp:posOffset>622300</wp:posOffset>
                      </wp:positionH>
                      <wp:positionV relativeFrom="paragraph">
                        <wp:posOffset>1369060</wp:posOffset>
                      </wp:positionV>
                      <wp:extent cx="488950" cy="419100"/>
                      <wp:effectExtent l="0" t="0" r="0" b="0"/>
                      <wp:wrapNone/>
                      <wp:docPr id="48" name="矩形 48"/>
                      <wp:cNvGraphicFramePr/>
                      <a:graphic xmlns:a="http://schemas.openxmlformats.org/drawingml/2006/main">
                        <a:graphicData uri="http://schemas.microsoft.com/office/word/2010/wordprocessingShape">
                          <wps:wsp>
                            <wps:cNvSpPr/>
                            <wps:spPr>
                              <a:xfrm>
                                <a:off x="0" y="0"/>
                                <a:ext cx="488950" cy="419100"/>
                              </a:xfrm>
                              <a:prstGeom prst="rect">
                                <a:avLst/>
                              </a:prstGeom>
                              <a:noFill/>
                              <a:ln>
                                <a:noFill/>
                              </a:ln>
                              <a:effectLst/>
                            </wps:spPr>
                            <wps:txbx>
                              <w:txbxContent>
                                <w:p w14:paraId="3D2D8330">
                                  <w:pPr>
                                    <w:rPr>
                                      <w:b/>
                                      <w:color w:val="000000"/>
                                      <w:sz w:val="36"/>
                                    </w:rPr>
                                  </w:pPr>
                                  <w:r>
                                    <w:rPr>
                                      <w:rFonts w:hint="eastAsia"/>
                                      <w:b/>
                                      <w:color w:val="000000"/>
                                      <w:sz w:val="36"/>
                                    </w:rPr>
                                    <w:t>N</w:t>
                                  </w:r>
                                </w:p>
                              </w:txbxContent>
                            </wps:txbx>
                            <wps:bodyPr upright="1"/>
                          </wps:wsp>
                        </a:graphicData>
                      </a:graphic>
                    </wp:anchor>
                  </w:drawing>
                </mc:Choice>
                <mc:Fallback>
                  <w:pict>
                    <v:rect id="_x0000_s1026" o:spid="_x0000_s1026" o:spt="1" style="position:absolute;left:0pt;margin-left:49pt;margin-top:107.8pt;height:33pt;width:38.5pt;z-index:251667456;mso-width-relative:page;mso-height-relative:page;" filled="f" stroked="f" coordsize="21600,21600" o:gfxdata="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">
                      <v:fill on="f" focussize="0,0"/>
                      <v:stroke on="f"/>
                      <v:imagedata o:title=""/>
                      <o:lock v:ext="edit" aspectratio="f"/>
                      <v:textbox>
                        <w:txbxContent>
                          <w:p w14:paraId="3D2D8330">
                            <w:pPr>
                              <w:rPr>
                                <w:b/>
                                <w:color w:val="000000"/>
                                <w:sz w:val="36"/>
                              </w:rPr>
                            </w:pPr>
                            <w:r>
                              <w:rPr>
                                <w:rFonts w:hint="eastAsia"/>
                                <w:b/>
                                <w:color w:val="000000"/>
                                <w:sz w:val="36"/>
                              </w:rPr>
                              <w:t>N</w:t>
                            </w:r>
                          </w:p>
                        </w:txbxContent>
                      </v:textbox>
                    </v:rect>
                  </w:pict>
                </mc:Fallback>
              </mc:AlternateContent>
            </w:r>
            <w:r>
              <w:rPr>
                <w:rFonts w:hint="default"/>
                <w:sz w:val="24"/>
              </w:rPr>
              <mc:AlternateContent>
                <mc:Choice Requires="wpg">
                  <w:drawing>
                    <wp:anchor distT="0" distB="0" distL="114300" distR="114300" simplePos="0" relativeHeight="251665408" behindDoc="0" locked="0" layoutInCell="1" allowOverlap="1">
                      <wp:simplePos x="0" y="0"/>
                      <wp:positionH relativeFrom="column">
                        <wp:posOffset>2637790</wp:posOffset>
                      </wp:positionH>
                      <wp:positionV relativeFrom="paragraph">
                        <wp:posOffset>4631690</wp:posOffset>
                      </wp:positionV>
                      <wp:extent cx="1507490" cy="1217295"/>
                      <wp:effectExtent l="0" t="0" r="16510" b="1905"/>
                      <wp:wrapNone/>
                      <wp:docPr id="141" name="组合 141"/>
                      <wp:cNvGraphicFramePr/>
                      <a:graphic xmlns:a="http://schemas.openxmlformats.org/drawingml/2006/main">
                        <a:graphicData uri="http://schemas.microsoft.com/office/word/2010/wordprocessingGroup">
                          <wpg:wgp>
                            <wpg:cNvGrpSpPr/>
                            <wpg:grpSpPr>
                              <a:xfrm>
                                <a:off x="0" y="0"/>
                                <a:ext cx="1507490" cy="1217295"/>
                                <a:chOff x="11321" y="2362761"/>
                                <a:chExt cx="2374" cy="1917"/>
                              </a:xfrm>
                            </wpg:grpSpPr>
                            <wps:wsp>
                              <wps:cNvPr id="46" name="圆角矩形标注 46"/>
                              <wps:cNvSpPr/>
                              <wps:spPr>
                                <a:xfrm flipH="1" flipV="1">
                                  <a:off x="11321" y="2362761"/>
                                  <a:ext cx="1379" cy="486"/>
                                </a:xfrm>
                                <a:prstGeom prst="wedgeRoundRectCallout">
                                  <a:avLst>
                                    <a:gd name="adj1" fmla="val -113161"/>
                                    <a:gd name="adj2" fmla="val -328395"/>
                                    <a:gd name="adj3" fmla="val 16667"/>
                                  </a:avLst>
                                </a:prstGeom>
                                <a:solidFill>
                                  <a:schemeClr val="accent3"/>
                                </a:solidFill>
                                <a:ln w="19050" cap="flat" cmpd="sng">
                                  <a:noFill/>
                                  <a:prstDash val="solid"/>
                                  <a:miter/>
                                  <a:headEnd type="none" w="med" len="med"/>
                                  <a:tailEnd type="none" w="med" len="med"/>
                                </a:ln>
                              </wps:spPr>
                              <wps:txbx>
                                <w:txbxContent>
                                  <w:p w14:paraId="16448DAF">
                                    <w:pPr>
                                      <w:jc w:val="center"/>
                                      <w:rPr>
                                        <w:rFonts w:ascii="Times New Roman" w:hAnsi="Times New Roman" w:eastAsia="宋体" w:cs="Times New Roman"/>
                                        <w:b/>
                                        <w:sz w:val="24"/>
                                      </w:rPr>
                                    </w:pPr>
                                    <w:r>
                                      <w:rPr>
                                        <w:rFonts w:hint="eastAsia" w:ascii="Times New Roman" w:hAnsi="Times New Roman" w:eastAsia="宋体" w:cs="Times New Roman"/>
                                        <w:b/>
                                        <w:sz w:val="24"/>
                                      </w:rPr>
                                      <w:t>项目所在地</w:t>
                                    </w:r>
                                  </w:p>
                                </w:txbxContent>
                              </wps:txbx>
                              <wps:bodyPr lIns="0" tIns="0" rIns="0" bIns="0" anchor="ctr" anchorCtr="0" upright="1"/>
                            </wps:wsp>
                            <wps:wsp>
                              <wps:cNvPr id="142" name="椭圆 134"/>
                              <wps:cNvSpPr/>
                              <wps:spPr>
                                <a:xfrm>
                                  <a:off x="13545" y="2364558"/>
                                  <a:ext cx="150" cy="120"/>
                                </a:xfrm>
                                <a:prstGeom prst="ellipse">
                                  <a:avLst/>
                                </a:prstGeom>
                                <a:solidFill>
                                  <a:srgbClr val="FF0000"/>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207.7pt;margin-top:364.7pt;height:95.85pt;width:118.7pt;z-index:251665408;mso-width-relative:page;mso-height-relative:page;" coordorigin="11321,2362761" coordsize="2374,1917" o:gfxdata="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">
                      <o:lock v:ext="edit" aspectratio="f"/>
                      <v:shape id="_x0000_s1026" o:spid="_x0000_s1026" o:spt="62" type="#_x0000_t62" style="position:absolute;left:11321;top:2362761;flip:x y;height:486;width:1379;v-text-anchor:middle;" fillcolor="#F2BA02 [3206]" filled="t" stroked="f" coordsize="21600,21600" o:gfxdata="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27fa1bsAAADb&#10;AAAADwAAAAAAAAABACAAAAAiAAAAZHJzL2Rvd25yZXYueG1sUEsBAhQAFAAAAAgAh07iQDMvBZ47&#10;AAAAOQAAABAAAAAAAAAAAQAgAAAACgEAAGRycy9zaGFwZXhtbC54bWxQSwUGAAAAAAYABgBbAQAA&#10;tAMAAAAA&#10;" adj="-13643,-60133,14400">
                        <v:fill on="t" focussize="0,0"/>
                        <v:stroke on="f" weight="1.5pt" joinstyle="miter"/>
                        <v:imagedata o:title=""/>
                        <o:lock v:ext="edit" aspectratio="f"/>
                        <v:textbox inset="0mm,0mm,0mm,0mm">
                          <w:txbxContent>
                            <w:p w14:paraId="16448DAF">
                              <w:pPr>
                                <w:jc w:val="center"/>
                                <w:rPr>
                                  <w:rFonts w:ascii="Times New Roman" w:hAnsi="Times New Roman" w:eastAsia="宋体" w:cs="Times New Roman"/>
                                  <w:b/>
                                  <w:sz w:val="24"/>
                                </w:rPr>
                              </w:pPr>
                              <w:r>
                                <w:rPr>
                                  <w:rFonts w:hint="eastAsia" w:ascii="Times New Roman" w:hAnsi="Times New Roman" w:eastAsia="宋体" w:cs="Times New Roman"/>
                                  <w:b/>
                                  <w:sz w:val="24"/>
                                </w:rPr>
                                <w:t>项目所在地</w:t>
                              </w:r>
                            </w:p>
                          </w:txbxContent>
                        </v:textbox>
                      </v:shape>
                      <v:shape id="椭圆 134" o:spid="_x0000_s1026" o:spt="3" type="#_x0000_t3" style="position:absolute;left:13545;top:2364558;height:120;width:150;v-text-anchor:middle;" fillcolor="#FF0000" filled="t" stroked="f" coordsize="21600,21600" o:gfxdata="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VvIjJugAAANwA&#10;AAAPAAAAAAAAAAEAIAAAACIAAABkcnMvZG93bnJldi54bWxQSwECFAAUAAAACACHTuJAMy8FnjsA&#10;AAA5AAAAEAAAAAAAAAABACAAAAAJAQAAZHJzL3NoYXBleG1sLnhtbFBLBQYAAAAABgAGAFsBAACz&#10;AwAAAAA=&#10;">
                        <v:fill on="t" focussize="0,0"/>
                        <v:stroke on="f" weight="1pt" miterlimit="8" joinstyle="miter"/>
                        <v:imagedata o:title=""/>
                        <o:lock v:ext="edit" aspectratio="f"/>
                      </v:shape>
                    </v:group>
                  </w:pict>
                </mc:Fallback>
              </mc:AlternateContent>
            </w:r>
            <w:r>
              <mc:AlternateContent>
                <mc:Choice Requires="wps">
                  <w:drawing>
                    <wp:anchor distT="0" distB="0" distL="114300" distR="114300" simplePos="0" relativeHeight="251666432" behindDoc="0" locked="0" layoutInCell="1" allowOverlap="1">
                      <wp:simplePos x="0" y="0"/>
                      <wp:positionH relativeFrom="column">
                        <wp:posOffset>595630</wp:posOffset>
                      </wp:positionH>
                      <wp:positionV relativeFrom="paragraph">
                        <wp:posOffset>1242060</wp:posOffset>
                      </wp:positionV>
                      <wp:extent cx="0" cy="523875"/>
                      <wp:effectExtent l="85725" t="0" r="85725" b="9525"/>
                      <wp:wrapNone/>
                      <wp:docPr id="49" name="直接箭头连接符 49"/>
                      <wp:cNvGraphicFramePr/>
                      <a:graphic xmlns:a="http://schemas.openxmlformats.org/drawingml/2006/main">
                        <a:graphicData uri="http://schemas.microsoft.com/office/word/2010/wordprocessingShape">
                          <wps:wsp>
                            <wps:cNvCnPr/>
                            <wps:spPr>
                              <a:xfrm flipV="1">
                                <a:off x="0" y="0"/>
                                <a:ext cx="0" cy="523875"/>
                              </a:xfrm>
                              <a:prstGeom prst="straightConnector1">
                                <a:avLst/>
                              </a:prstGeom>
                              <a:ln w="57150" cap="flat" cmpd="sng">
                                <a:solidFill>
                                  <a:srgbClr val="000000"/>
                                </a:solidFill>
                                <a:prstDash val="solid"/>
                                <a:headEnd type="none" w="med" len="med"/>
                                <a:tailEnd type="triangle" w="med" len="med"/>
                              </a:ln>
                              <a:effectLst/>
                            </wps:spPr>
                            <wps:bodyPr/>
                          </wps:wsp>
                        </a:graphicData>
                      </a:graphic>
                    </wp:anchor>
                  </w:drawing>
                </mc:Choice>
                <mc:Fallback>
                  <w:pict>
                    <v:shape id="_x0000_s1026" o:spid="_x0000_s1026" o:spt="32" type="#_x0000_t32" style="position:absolute;left:0pt;flip:y;margin-left:46.9pt;margin-top:97.8pt;height:41.25pt;width:0pt;z-index:251666432;mso-width-relative:page;mso-height-relative:page;" filled="f" stroked="t" coordsize="21600,21600" o:gfxdata="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LcoutvXAAAACQEAAA8AAAAAAAAAAQAg&#10;AAAAIgAAAGRycy9kb3ducmV2LnhtbFBLAQIUABQAAAAIAIdO4kBM0SnPDwIAAAoEAAAOAAAAAAAA&#10;AAEAIAAAACYBAABkcnMvZTJvRG9jLnhtbFBLBQYAAAAABgAGAFkBAACnBQAAAAA=&#10;">
                      <v:fill on="f" focussize="0,0"/>
                      <v:stroke weight="4.5pt" color="#000000" joinstyle="round" endarrow="block"/>
                      <v:imagedata o:title=""/>
                      <o:lock v:ext="edit" aspectratio="f"/>
                    </v:shape>
                  </w:pict>
                </mc:Fallback>
              </mc:AlternateContent>
            </w:r>
            <w:r>
              <w:rPr>
                <w:rFonts w:hint="eastAsia" w:eastAsia="宋体"/>
                <w:vertAlign w:val="baseline"/>
                <w:lang w:eastAsia="zh-CN"/>
              </w:rPr>
              <w:drawing>
                <wp:inline distT="0" distB="0" distL="114300" distR="114300">
                  <wp:extent cx="6176645" cy="8341360"/>
                  <wp:effectExtent l="0" t="0" r="0" b="0"/>
                  <wp:docPr id="140" name="图片 140" descr="f5d3018fc00231b9bc985d2a3fab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descr="f5d3018fc00231b9bc985d2a3fab893"/>
                          <pic:cNvPicPr>
                            <a:picLocks noChangeAspect="1"/>
                          </pic:cNvPicPr>
                        </pic:nvPicPr>
                        <pic:blipFill>
                          <a:blip r:embed="rId32"/>
                          <a:srcRect t="2726" b="3042"/>
                          <a:stretch>
                            <a:fillRect/>
                          </a:stretch>
                        </pic:blipFill>
                        <pic:spPr>
                          <a:xfrm>
                            <a:off x="0" y="0"/>
                            <a:ext cx="6176645" cy="8341360"/>
                          </a:xfrm>
                          <a:prstGeom prst="rect">
                            <a:avLst/>
                          </a:prstGeom>
                        </pic:spPr>
                      </pic:pic>
                    </a:graphicData>
                  </a:graphic>
                </wp:inline>
              </w:drawing>
            </w:r>
          </w:p>
        </w:tc>
      </w:tr>
      <w:tr w14:paraId="3215056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9955" w:type="dxa"/>
            <w:vAlign w:val="center"/>
          </w:tcPr>
          <w:p w14:paraId="2EB8557A">
            <w:pPr>
              <w:jc w:val="center"/>
              <w:rPr>
                <w:vertAlign w:val="baseline"/>
              </w:rPr>
            </w:pPr>
            <w:r>
              <w:rPr>
                <w:rFonts w:hint="default" w:ascii="Times New Roman" w:hAnsi="Times New Roman" w:eastAsia="宋体" w:cs="Times New Roman"/>
                <w:b/>
                <w:bCs/>
                <w:color w:val="000000" w:themeColor="text1"/>
                <w:sz w:val="24"/>
                <w:szCs w:val="24"/>
                <w:u w:val="none" w:color="auto"/>
                <w14:textFill>
                  <w14:solidFill>
                    <w14:schemeClr w14:val="tx1"/>
                  </w14:solidFill>
                </w14:textFill>
              </w:rPr>
              <w:t>附图1</w:t>
            </w:r>
            <w:r>
              <w:rPr>
                <w:rFonts w:hint="default" w:ascii="Times New Roman" w:hAnsi="Times New Roman" w:eastAsia="宋体" w:cs="Times New Roman"/>
                <w:b/>
                <w:bCs/>
                <w:color w:val="000000" w:themeColor="text1"/>
                <w:sz w:val="24"/>
                <w:szCs w:val="24"/>
                <w:u w:val="none" w:color="auto"/>
                <w:lang w:val="en-US" w:eastAsia="zh-CN"/>
                <w14:textFill>
                  <w14:solidFill>
                    <w14:schemeClr w14:val="tx1"/>
                  </w14:solidFill>
                </w14:textFill>
              </w:rPr>
              <w:t xml:space="preserve"> </w:t>
            </w:r>
            <w:r>
              <w:rPr>
                <w:rFonts w:hint="default" w:ascii="Times New Roman" w:hAnsi="Times New Roman" w:eastAsia="宋体" w:cs="Times New Roman"/>
                <w:b/>
                <w:bCs/>
                <w:color w:val="000000" w:themeColor="text1"/>
                <w:sz w:val="24"/>
                <w:szCs w:val="24"/>
                <w:u w:val="none" w:color="auto"/>
                <w14:textFill>
                  <w14:solidFill>
                    <w14:schemeClr w14:val="tx1"/>
                  </w14:solidFill>
                </w14:textFill>
              </w:rPr>
              <w:t xml:space="preserve"> 项目地理位置图</w:t>
            </w:r>
          </w:p>
        </w:tc>
      </w:tr>
    </w:tbl>
    <w:p w14:paraId="3E6F9C4B">
      <w:pPr>
        <w:sectPr>
          <w:footerReference r:id="rId7" w:type="default"/>
          <w:pgSz w:w="11905" w:h="16838"/>
          <w:pgMar w:top="1440" w:right="1083" w:bottom="1440" w:left="1083" w:header="851" w:footer="992" w:gutter="0"/>
          <w:pgNumType w:fmt="decimal"/>
          <w:cols w:space="720" w:num="1"/>
          <w:docGrid w:type="lines" w:linePitch="312" w:charSpace="0"/>
        </w:sectPr>
      </w:pPr>
    </w:p>
    <w:tbl>
      <w:tblPr>
        <w:tblStyle w:val="30"/>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4174"/>
      </w:tblGrid>
      <w:tr w14:paraId="5B48D3A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5000" w:type="pct"/>
            <w:vAlign w:val="center"/>
          </w:tcPr>
          <w:p w14:paraId="057743B7">
            <w:pPr>
              <w:jc w:val="center"/>
              <w:rPr>
                <w:vertAlign w:val="baseline"/>
              </w:rPr>
            </w:pPr>
            <w:r>
              <w:drawing>
                <wp:anchor distT="0" distB="0" distL="114300" distR="114300" simplePos="0" relativeHeight="251669504" behindDoc="0" locked="0" layoutInCell="1" allowOverlap="1">
                  <wp:simplePos x="0" y="0"/>
                  <wp:positionH relativeFrom="column">
                    <wp:posOffset>7696835</wp:posOffset>
                  </wp:positionH>
                  <wp:positionV relativeFrom="paragraph">
                    <wp:posOffset>129540</wp:posOffset>
                  </wp:positionV>
                  <wp:extent cx="616585" cy="1162050"/>
                  <wp:effectExtent l="0" t="0" r="12065" b="0"/>
                  <wp:wrapNone/>
                  <wp:docPr id="14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5"/>
                          <pic:cNvPicPr>
                            <a:picLocks noChangeAspect="1"/>
                          </pic:cNvPicPr>
                        </pic:nvPicPr>
                        <pic:blipFill>
                          <a:blip r:embed="rId33"/>
                          <a:stretch>
                            <a:fillRect/>
                          </a:stretch>
                        </pic:blipFill>
                        <pic:spPr>
                          <a:xfrm>
                            <a:off x="0" y="0"/>
                            <a:ext cx="616585" cy="1162050"/>
                          </a:xfrm>
                          <a:prstGeom prst="rect">
                            <a:avLst/>
                          </a:prstGeom>
                          <a:noFill/>
                          <a:ln>
                            <a:noFill/>
                          </a:ln>
                        </pic:spPr>
                      </pic:pic>
                    </a:graphicData>
                  </a:graphic>
                </wp:anchor>
              </w:drawing>
            </w:r>
            <w:r>
              <w:drawing>
                <wp:inline distT="0" distB="0" distL="114300" distR="114300">
                  <wp:extent cx="6975475" cy="5593715"/>
                  <wp:effectExtent l="0" t="0" r="15875" b="6985"/>
                  <wp:docPr id="14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
                          <pic:cNvPicPr>
                            <a:picLocks noChangeAspect="1"/>
                          </pic:cNvPicPr>
                        </pic:nvPicPr>
                        <pic:blipFill>
                          <a:blip r:embed="rId34"/>
                          <a:stretch>
                            <a:fillRect/>
                          </a:stretch>
                        </pic:blipFill>
                        <pic:spPr>
                          <a:xfrm>
                            <a:off x="0" y="0"/>
                            <a:ext cx="6975475" cy="5593715"/>
                          </a:xfrm>
                          <a:prstGeom prst="rect">
                            <a:avLst/>
                          </a:prstGeom>
                          <a:noFill/>
                          <a:ln>
                            <a:noFill/>
                          </a:ln>
                        </pic:spPr>
                      </pic:pic>
                    </a:graphicData>
                  </a:graphic>
                </wp:inline>
              </w:drawing>
            </w:r>
          </w:p>
        </w:tc>
      </w:tr>
      <w:tr w14:paraId="2CAFE59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5000" w:type="pct"/>
            <w:vAlign w:val="center"/>
          </w:tcPr>
          <w:p w14:paraId="11B50ACA">
            <w:pPr>
              <w:jc w:val="center"/>
              <w:rPr>
                <w:vertAlign w:val="baseline"/>
              </w:rPr>
            </w:pPr>
            <w:r>
              <w:rPr>
                <w:rFonts w:hint="default" w:ascii="Times New Roman" w:hAnsi="Times New Roman" w:eastAsia="宋体" w:cs="Times New Roman"/>
                <w:b/>
                <w:bCs/>
                <w:color w:val="000000" w:themeColor="text1"/>
                <w:sz w:val="24"/>
                <w:szCs w:val="24"/>
                <w:u w:val="none" w:color="auto"/>
                <w:lang w:val="en-US" w:eastAsia="zh-CN"/>
                <w14:textFill>
                  <w14:solidFill>
                    <w14:schemeClr w14:val="tx1"/>
                  </w14:solidFill>
                </w14:textFill>
              </w:rPr>
              <w:t>附图2</w:t>
            </w:r>
            <w:r>
              <w:rPr>
                <w:rFonts w:hint="eastAsia" w:ascii="Times New Roman" w:hAnsi="Times New Roman" w:eastAsia="宋体" w:cs="Times New Roman"/>
                <w:b/>
                <w:bCs/>
                <w:color w:val="000000" w:themeColor="text1"/>
                <w:sz w:val="24"/>
                <w:szCs w:val="24"/>
                <w:u w:val="none" w:color="auto"/>
                <w:lang w:val="en-US" w:eastAsia="zh-CN"/>
                <w14:textFill>
                  <w14:solidFill>
                    <w14:schemeClr w14:val="tx1"/>
                  </w14:solidFill>
                </w14:textFill>
              </w:rPr>
              <w:t>-1</w:t>
            </w:r>
            <w:r>
              <w:rPr>
                <w:rFonts w:hint="eastAsia" w:cs="Times New Roman"/>
                <w:b/>
                <w:bCs/>
                <w:color w:val="000000" w:themeColor="text1"/>
                <w:sz w:val="24"/>
                <w:szCs w:val="24"/>
                <w:u w:val="none" w:color="auto"/>
                <w:lang w:val="en-US" w:eastAsia="zh-CN"/>
                <w14:textFill>
                  <w14:solidFill>
                    <w14:schemeClr w14:val="tx1"/>
                  </w14:solidFill>
                </w14:textFill>
              </w:rPr>
              <w:t xml:space="preserve">  </w:t>
            </w:r>
            <w:r>
              <w:rPr>
                <w:rFonts w:hint="eastAsia" w:ascii="Times New Roman" w:hAnsi="Times New Roman" w:eastAsia="宋体" w:cs="Times New Roman"/>
                <w:b/>
                <w:bCs/>
                <w:color w:val="000000" w:themeColor="text1"/>
                <w:sz w:val="24"/>
                <w:szCs w:val="24"/>
                <w:u w:val="none" w:color="auto"/>
                <w:lang w:val="en-US" w:eastAsia="zh-CN"/>
                <w14:textFill>
                  <w14:solidFill>
                    <w14:schemeClr w14:val="tx1"/>
                  </w14:solidFill>
                </w14:textFill>
              </w:rPr>
              <w:t>项目厂区</w:t>
            </w:r>
            <w:r>
              <w:rPr>
                <w:rFonts w:hint="default" w:ascii="Times New Roman" w:hAnsi="Times New Roman" w:eastAsia="宋体" w:cs="Times New Roman"/>
                <w:b/>
                <w:bCs/>
                <w:color w:val="000000" w:themeColor="text1"/>
                <w:sz w:val="24"/>
                <w:szCs w:val="24"/>
                <w:u w:val="none" w:color="auto"/>
                <w:lang w:val="en-US" w:eastAsia="zh-CN"/>
                <w14:textFill>
                  <w14:solidFill>
                    <w14:schemeClr w14:val="tx1"/>
                  </w14:solidFill>
                </w14:textFill>
              </w:rPr>
              <w:t>平面布置图</w:t>
            </w:r>
          </w:p>
        </w:tc>
      </w:tr>
      <w:tr w14:paraId="124393C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5000" w:type="pct"/>
            <w:vAlign w:val="center"/>
          </w:tcPr>
          <w:p w14:paraId="5E82D07C">
            <w:pPr>
              <w:jc w:val="center"/>
              <w:rPr>
                <w:rFonts w:hint="default" w:ascii="Times New Roman" w:hAnsi="Times New Roman" w:eastAsia="宋体" w:cs="Times New Roman"/>
                <w:b/>
                <w:bCs/>
                <w:color w:val="000000" w:themeColor="text1"/>
                <w:sz w:val="24"/>
                <w:szCs w:val="24"/>
                <w:u w:val="none" w:color="auto"/>
                <w:lang w:val="en-US" w:eastAsia="zh-CN"/>
                <w14:textFill>
                  <w14:solidFill>
                    <w14:schemeClr w14:val="tx1"/>
                  </w14:solidFill>
                </w14:textFill>
              </w:rPr>
            </w:pPr>
            <w:r>
              <w:drawing>
                <wp:anchor distT="0" distB="0" distL="114300" distR="114300" simplePos="0" relativeHeight="251670528" behindDoc="0" locked="0" layoutInCell="1" allowOverlap="1">
                  <wp:simplePos x="0" y="0"/>
                  <wp:positionH relativeFrom="column">
                    <wp:posOffset>683895</wp:posOffset>
                  </wp:positionH>
                  <wp:positionV relativeFrom="paragraph">
                    <wp:posOffset>415290</wp:posOffset>
                  </wp:positionV>
                  <wp:extent cx="616585" cy="1162050"/>
                  <wp:effectExtent l="0" t="0" r="12065" b="0"/>
                  <wp:wrapNone/>
                  <wp:docPr id="14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5"/>
                          <pic:cNvPicPr>
                            <a:picLocks noChangeAspect="1"/>
                          </pic:cNvPicPr>
                        </pic:nvPicPr>
                        <pic:blipFill>
                          <a:blip r:embed="rId33"/>
                          <a:stretch>
                            <a:fillRect/>
                          </a:stretch>
                        </pic:blipFill>
                        <pic:spPr>
                          <a:xfrm>
                            <a:off x="0" y="0"/>
                            <a:ext cx="616585" cy="1162050"/>
                          </a:xfrm>
                          <a:prstGeom prst="rect">
                            <a:avLst/>
                          </a:prstGeom>
                          <a:noFill/>
                          <a:ln>
                            <a:noFill/>
                          </a:ln>
                        </pic:spPr>
                      </pic:pic>
                    </a:graphicData>
                  </a:graphic>
                </wp:anchor>
              </w:drawing>
            </w:r>
            <w:r>
              <w:drawing>
                <wp:inline distT="0" distB="0" distL="114300" distR="114300">
                  <wp:extent cx="8068310" cy="5598795"/>
                  <wp:effectExtent l="0" t="0" r="8890" b="1905"/>
                  <wp:docPr id="14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6"/>
                          <pic:cNvPicPr>
                            <a:picLocks noChangeAspect="1"/>
                          </pic:cNvPicPr>
                        </pic:nvPicPr>
                        <pic:blipFill>
                          <a:blip r:embed="rId35"/>
                          <a:stretch>
                            <a:fillRect/>
                          </a:stretch>
                        </pic:blipFill>
                        <pic:spPr>
                          <a:xfrm>
                            <a:off x="0" y="0"/>
                            <a:ext cx="8068310" cy="5598795"/>
                          </a:xfrm>
                          <a:prstGeom prst="rect">
                            <a:avLst/>
                          </a:prstGeom>
                          <a:noFill/>
                          <a:ln>
                            <a:noFill/>
                          </a:ln>
                        </pic:spPr>
                      </pic:pic>
                    </a:graphicData>
                  </a:graphic>
                </wp:inline>
              </w:drawing>
            </w:r>
          </w:p>
        </w:tc>
      </w:tr>
      <w:tr w14:paraId="7B1D70A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5000" w:type="pct"/>
            <w:vAlign w:val="center"/>
          </w:tcPr>
          <w:p w14:paraId="1C426DE3">
            <w:pPr>
              <w:jc w:val="center"/>
              <w:rPr>
                <w:rFonts w:hint="default" w:ascii="Times New Roman" w:hAnsi="Times New Roman" w:eastAsia="宋体" w:cs="Times New Roman"/>
                <w:b/>
                <w:bCs/>
                <w:color w:val="000000" w:themeColor="text1"/>
                <w:sz w:val="24"/>
                <w:szCs w:val="24"/>
                <w:u w:val="none" w:color="auto"/>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24"/>
                <w:u w:val="none" w:color="auto"/>
                <w:lang w:val="en-US" w:eastAsia="zh-CN"/>
                <w14:textFill>
                  <w14:solidFill>
                    <w14:schemeClr w14:val="tx1"/>
                  </w14:solidFill>
                </w14:textFill>
              </w:rPr>
              <w:t>附图2</w:t>
            </w:r>
            <w:r>
              <w:rPr>
                <w:rFonts w:hint="eastAsia" w:ascii="Times New Roman" w:hAnsi="Times New Roman" w:eastAsia="宋体" w:cs="Times New Roman"/>
                <w:b/>
                <w:bCs/>
                <w:color w:val="000000" w:themeColor="text1"/>
                <w:sz w:val="24"/>
                <w:szCs w:val="24"/>
                <w:u w:val="none" w:color="auto"/>
                <w:lang w:val="en-US" w:eastAsia="zh-CN"/>
                <w14:textFill>
                  <w14:solidFill>
                    <w14:schemeClr w14:val="tx1"/>
                  </w14:solidFill>
                </w14:textFill>
              </w:rPr>
              <w:t>-2</w:t>
            </w:r>
            <w:r>
              <w:rPr>
                <w:rFonts w:hint="eastAsia" w:cs="Times New Roman"/>
                <w:b/>
                <w:bCs/>
                <w:color w:val="000000" w:themeColor="text1"/>
                <w:sz w:val="24"/>
                <w:szCs w:val="24"/>
                <w:u w:val="none" w:color="auto"/>
                <w:lang w:val="en-US" w:eastAsia="zh-CN"/>
                <w14:textFill>
                  <w14:solidFill>
                    <w14:schemeClr w14:val="tx1"/>
                  </w14:solidFill>
                </w14:textFill>
              </w:rPr>
              <w:t xml:space="preserve">  </w:t>
            </w:r>
            <w:r>
              <w:rPr>
                <w:rFonts w:hint="eastAsia" w:ascii="Times New Roman" w:hAnsi="Times New Roman" w:eastAsia="宋体" w:cs="Times New Roman"/>
                <w:b/>
                <w:bCs/>
                <w:color w:val="000000" w:themeColor="text1"/>
                <w:sz w:val="24"/>
                <w:szCs w:val="24"/>
                <w:u w:val="none" w:color="auto"/>
                <w:lang w:val="en-US" w:eastAsia="zh-CN"/>
                <w14:textFill>
                  <w14:solidFill>
                    <w14:schemeClr w14:val="tx1"/>
                  </w14:solidFill>
                </w14:textFill>
              </w:rPr>
              <w:t>项目生产车间</w:t>
            </w:r>
            <w:r>
              <w:rPr>
                <w:rFonts w:hint="default" w:ascii="Times New Roman" w:hAnsi="Times New Roman" w:eastAsia="宋体" w:cs="Times New Roman"/>
                <w:b/>
                <w:bCs/>
                <w:color w:val="000000" w:themeColor="text1"/>
                <w:sz w:val="24"/>
                <w:szCs w:val="24"/>
                <w:u w:val="none" w:color="auto"/>
                <w:lang w:val="en-US" w:eastAsia="zh-CN"/>
                <w14:textFill>
                  <w14:solidFill>
                    <w14:schemeClr w14:val="tx1"/>
                  </w14:solidFill>
                </w14:textFill>
              </w:rPr>
              <w:t>平面布置图</w:t>
            </w:r>
          </w:p>
        </w:tc>
      </w:tr>
    </w:tbl>
    <w:p w14:paraId="20F6B3FE">
      <w:pPr>
        <w:sectPr>
          <w:pgSz w:w="16838" w:h="11905" w:orient="landscape"/>
          <w:pgMar w:top="1083" w:right="1440" w:bottom="1083" w:left="1440" w:header="851" w:footer="992" w:gutter="0"/>
          <w:pgNumType w:fmt="decimal"/>
          <w:cols w:space="720" w:num="1"/>
          <w:docGrid w:type="lines" w:linePitch="312" w:charSpace="0"/>
        </w:sectPr>
      </w:pPr>
    </w:p>
    <w:tbl>
      <w:tblPr>
        <w:tblStyle w:val="3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4174"/>
      </w:tblGrid>
      <w:tr w14:paraId="4E6F5F5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14174" w:type="dxa"/>
            <w:vAlign w:val="center"/>
          </w:tcPr>
          <w:p w14:paraId="76D5D39D">
            <w:pPr>
              <w:jc w:val="center"/>
              <w:rPr>
                <w:vertAlign w:val="baseline"/>
              </w:rPr>
            </w:pPr>
            <w:r>
              <w:drawing>
                <wp:inline distT="0" distB="0" distL="114300" distR="114300">
                  <wp:extent cx="8502650" cy="5711825"/>
                  <wp:effectExtent l="0" t="0" r="12700" b="3175"/>
                  <wp:docPr id="15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9"/>
                          <pic:cNvPicPr>
                            <a:picLocks noChangeAspect="1"/>
                          </pic:cNvPicPr>
                        </pic:nvPicPr>
                        <pic:blipFill>
                          <a:blip r:embed="rId36"/>
                          <a:stretch>
                            <a:fillRect/>
                          </a:stretch>
                        </pic:blipFill>
                        <pic:spPr>
                          <a:xfrm>
                            <a:off x="0" y="0"/>
                            <a:ext cx="8502650" cy="5711825"/>
                          </a:xfrm>
                          <a:prstGeom prst="rect">
                            <a:avLst/>
                          </a:prstGeom>
                          <a:noFill/>
                          <a:ln>
                            <a:noFill/>
                          </a:ln>
                        </pic:spPr>
                      </pic:pic>
                    </a:graphicData>
                  </a:graphic>
                </wp:inline>
              </w:drawing>
            </w:r>
          </w:p>
        </w:tc>
      </w:tr>
      <w:tr w14:paraId="13CF80D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14174" w:type="dxa"/>
            <w:vAlign w:val="center"/>
          </w:tcPr>
          <w:p w14:paraId="34E36E8E">
            <w:pPr>
              <w:jc w:val="center"/>
              <w:rPr>
                <w:vertAlign w:val="baseline"/>
              </w:rPr>
            </w:pPr>
            <w:r>
              <w:rPr>
                <w:rFonts w:hint="default" w:ascii="Times New Roman" w:hAnsi="Times New Roman" w:eastAsia="宋体" w:cs="Times New Roman"/>
                <w:b/>
                <w:color w:val="000000" w:themeColor="text1"/>
                <w:sz w:val="24"/>
                <w14:textFill>
                  <w14:solidFill>
                    <w14:schemeClr w14:val="tx1"/>
                  </w14:solidFill>
                </w14:textFill>
              </w:rPr>
              <w:t>附图3   项目周围环境敏感点分布情况示意图</w:t>
            </w:r>
          </w:p>
        </w:tc>
      </w:tr>
    </w:tbl>
    <w:p w14:paraId="5A52CDFD">
      <w:pPr>
        <w:sectPr>
          <w:pgSz w:w="16838" w:h="11905" w:orient="landscape"/>
          <w:pgMar w:top="1083" w:right="1440" w:bottom="1083" w:left="1440" w:header="851" w:footer="992" w:gutter="0"/>
          <w:pgNumType w:fmt="decimal"/>
          <w:cols w:space="720" w:num="1"/>
          <w:docGrid w:type="lines" w:linePitch="312" w:charSpace="0"/>
        </w:sectPr>
      </w:pPr>
    </w:p>
    <w:tbl>
      <w:tblPr>
        <w:tblStyle w:val="3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4174"/>
      </w:tblGrid>
      <w:tr w14:paraId="304348B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14174" w:type="dxa"/>
            <w:vAlign w:val="center"/>
          </w:tcPr>
          <w:p w14:paraId="0443F1F2">
            <w:pPr>
              <w:jc w:val="center"/>
              <w:rPr>
                <w:vertAlign w:val="baseline"/>
              </w:rPr>
            </w:pPr>
            <w:r>
              <w:drawing>
                <wp:inline distT="0" distB="0" distL="114300" distR="114300">
                  <wp:extent cx="8862060" cy="4582160"/>
                  <wp:effectExtent l="0" t="0" r="15240" b="889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37"/>
                          <a:stretch>
                            <a:fillRect/>
                          </a:stretch>
                        </pic:blipFill>
                        <pic:spPr>
                          <a:xfrm>
                            <a:off x="0" y="0"/>
                            <a:ext cx="8862060" cy="4582160"/>
                          </a:xfrm>
                          <a:prstGeom prst="rect">
                            <a:avLst/>
                          </a:prstGeom>
                          <a:noFill/>
                          <a:ln>
                            <a:noFill/>
                          </a:ln>
                        </pic:spPr>
                      </pic:pic>
                    </a:graphicData>
                  </a:graphic>
                </wp:inline>
              </w:drawing>
            </w:r>
          </w:p>
        </w:tc>
      </w:tr>
      <w:tr w14:paraId="6330784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14174" w:type="dxa"/>
            <w:vAlign w:val="center"/>
          </w:tcPr>
          <w:p w14:paraId="40842E34">
            <w:pPr>
              <w:jc w:val="center"/>
              <w:rPr>
                <w:vertAlign w:val="baseline"/>
              </w:rPr>
            </w:pPr>
            <w:r>
              <w:rPr>
                <w:rFonts w:hint="eastAsia"/>
                <w:b/>
                <w:sz w:val="24"/>
                <w:highlight w:val="none"/>
              </w:rPr>
              <w:t>附图</w:t>
            </w:r>
            <w:r>
              <w:rPr>
                <w:rFonts w:hint="eastAsia"/>
                <w:b/>
                <w:sz w:val="24"/>
                <w:highlight w:val="none"/>
                <w:lang w:val="en-US" w:eastAsia="zh-CN"/>
              </w:rPr>
              <w:t>4</w:t>
            </w:r>
            <w:r>
              <w:rPr>
                <w:rFonts w:hint="eastAsia"/>
                <w:b/>
                <w:sz w:val="24"/>
                <w:highlight w:val="none"/>
              </w:rPr>
              <w:t xml:space="preserve"> </w:t>
            </w:r>
            <w:r>
              <w:rPr>
                <w:rFonts w:hint="eastAsia"/>
                <w:b/>
                <w:sz w:val="24"/>
              </w:rPr>
              <w:t xml:space="preserve"> 项目与河南省三线一单综合信息应用平台中位置示意图</w:t>
            </w:r>
          </w:p>
        </w:tc>
      </w:tr>
    </w:tbl>
    <w:p w14:paraId="6E06557B">
      <w:pPr>
        <w:ind w:left="0" w:leftChars="0" w:firstLine="0" w:firstLineChars="0"/>
        <w:sectPr>
          <w:pgSz w:w="16838" w:h="11906" w:orient="landscape"/>
          <w:pgMar w:top="1083" w:right="1440" w:bottom="1083" w:left="1440" w:header="851" w:footer="992" w:gutter="0"/>
          <w:pgNumType w:fmt="decimal"/>
          <w:cols w:space="0" w:num="1"/>
          <w:rtlGutter w:val="0"/>
          <w:docGrid w:type="lines" w:linePitch="312" w:charSpace="0"/>
        </w:sectPr>
      </w:pPr>
    </w:p>
    <w:tbl>
      <w:tblPr>
        <w:tblStyle w:val="30"/>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5096"/>
        <w:gridCol w:w="4860"/>
      </w:tblGrid>
      <w:tr w14:paraId="272B85C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2500" w:type="pct"/>
            <w:vAlign w:val="center"/>
          </w:tcPr>
          <w:p w14:paraId="3764BD56">
            <w:pPr>
              <w:pStyle w:val="23"/>
              <w:keepNext w:val="0"/>
              <w:keepLines w:val="0"/>
              <w:numPr>
                <w:ilvl w:val="0"/>
                <w:numId w:val="0"/>
              </w:numPr>
              <w:suppressLineNumbers w:val="0"/>
              <w:spacing w:before="0" w:beforeAutospacing="0" w:after="0" w:afterAutospacing="0"/>
              <w:ind w:left="0" w:right="0"/>
              <w:jc w:val="center"/>
              <w:rPr>
                <w:rFonts w:hint="default" w:ascii="Times New Roman" w:hAnsi="Times New Roman" w:eastAsia="宋体" w:cs="Times New Roman"/>
                <w:color w:val="7030A0"/>
                <w:sz w:val="24"/>
                <w:szCs w:val="24"/>
                <w:highlight w:val="none"/>
                <w:u w:val="none" w:color="auto"/>
                <w:vertAlign w:val="baseline"/>
                <w:lang w:eastAsia="zh-CN"/>
              </w:rPr>
            </w:pPr>
            <w:r>
              <w:rPr>
                <w:rFonts w:hint="default" w:ascii="Times New Roman" w:hAnsi="Times New Roman" w:eastAsia="宋体" w:cs="Times New Roman"/>
                <w:color w:val="7030A0"/>
                <w:sz w:val="24"/>
                <w:szCs w:val="24"/>
                <w:highlight w:val="none"/>
                <w:u w:val="none" w:color="auto"/>
                <w:vertAlign w:val="baseline"/>
                <w:lang w:eastAsia="zh-CN"/>
              </w:rPr>
              <w:drawing>
                <wp:inline distT="0" distB="0" distL="114300" distR="114300">
                  <wp:extent cx="3154680" cy="2041525"/>
                  <wp:effectExtent l="0" t="0" r="7620" b="15875"/>
                  <wp:docPr id="155" name="图片 155" descr="fee0956cf26aca5be1db0a0e4b094a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5" descr="fee0956cf26aca5be1db0a0e4b094a9"/>
                          <pic:cNvPicPr>
                            <a:picLocks noChangeAspect="1"/>
                          </pic:cNvPicPr>
                        </pic:nvPicPr>
                        <pic:blipFill>
                          <a:blip r:embed="rId38"/>
                          <a:stretch>
                            <a:fillRect/>
                          </a:stretch>
                        </pic:blipFill>
                        <pic:spPr>
                          <a:xfrm>
                            <a:off x="0" y="0"/>
                            <a:ext cx="3154680" cy="2041525"/>
                          </a:xfrm>
                          <a:prstGeom prst="rect">
                            <a:avLst/>
                          </a:prstGeom>
                        </pic:spPr>
                      </pic:pic>
                    </a:graphicData>
                  </a:graphic>
                </wp:inline>
              </w:drawing>
            </w:r>
          </w:p>
        </w:tc>
        <w:tc>
          <w:tcPr>
            <w:tcW w:w="2500" w:type="pct"/>
            <w:vAlign w:val="center"/>
          </w:tcPr>
          <w:p w14:paraId="33D80E08">
            <w:pPr>
              <w:pStyle w:val="23"/>
              <w:keepNext w:val="0"/>
              <w:keepLines w:val="0"/>
              <w:numPr>
                <w:ilvl w:val="0"/>
                <w:numId w:val="0"/>
              </w:numPr>
              <w:suppressLineNumbers w:val="0"/>
              <w:spacing w:before="0" w:beforeAutospacing="0" w:after="0" w:afterAutospacing="0"/>
              <w:ind w:left="0" w:right="0"/>
              <w:jc w:val="center"/>
              <w:rPr>
                <w:rFonts w:hint="default" w:ascii="Times New Roman" w:hAnsi="Times New Roman" w:eastAsia="宋体" w:cs="Times New Roman"/>
                <w:color w:val="7030A0"/>
                <w:sz w:val="24"/>
                <w:szCs w:val="24"/>
                <w:highlight w:val="none"/>
                <w:u w:val="none" w:color="auto"/>
                <w:vertAlign w:val="baseline"/>
                <w:lang w:eastAsia="zh-CN"/>
              </w:rPr>
            </w:pPr>
            <w:r>
              <w:rPr>
                <w:rFonts w:hint="default" w:ascii="Times New Roman" w:hAnsi="Times New Roman" w:eastAsia="宋体" w:cs="Times New Roman"/>
                <w:color w:val="7030A0"/>
                <w:sz w:val="24"/>
                <w:szCs w:val="24"/>
                <w:highlight w:val="none"/>
                <w:u w:val="none" w:color="auto"/>
                <w:vertAlign w:val="baseline"/>
                <w:lang w:eastAsia="zh-CN"/>
              </w:rPr>
              <w:drawing>
                <wp:inline distT="0" distB="0" distL="114300" distR="114300">
                  <wp:extent cx="3001010" cy="1878965"/>
                  <wp:effectExtent l="0" t="0" r="8890" b="6985"/>
                  <wp:docPr id="156" name="图片 156" descr="dd863c192acea8e1ff6c52132fc3c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6" descr="dd863c192acea8e1ff6c52132fc3c16"/>
                          <pic:cNvPicPr>
                            <a:picLocks noChangeAspect="1"/>
                          </pic:cNvPicPr>
                        </pic:nvPicPr>
                        <pic:blipFill>
                          <a:blip r:embed="rId39"/>
                          <a:stretch>
                            <a:fillRect/>
                          </a:stretch>
                        </pic:blipFill>
                        <pic:spPr>
                          <a:xfrm>
                            <a:off x="0" y="0"/>
                            <a:ext cx="3001010" cy="1878965"/>
                          </a:xfrm>
                          <a:prstGeom prst="rect">
                            <a:avLst/>
                          </a:prstGeom>
                        </pic:spPr>
                      </pic:pic>
                    </a:graphicData>
                  </a:graphic>
                </wp:inline>
              </w:drawing>
            </w:r>
          </w:p>
        </w:tc>
      </w:tr>
      <w:tr w14:paraId="6108D28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2500" w:type="pct"/>
            <w:vAlign w:val="center"/>
          </w:tcPr>
          <w:p w14:paraId="10AA8182">
            <w:pPr>
              <w:pStyle w:val="23"/>
              <w:keepNext w:val="0"/>
              <w:keepLines w:val="0"/>
              <w:numPr>
                <w:ilvl w:val="0"/>
                <w:numId w:val="0"/>
              </w:numPr>
              <w:suppressLineNumbers w:val="0"/>
              <w:spacing w:before="0" w:beforeAutospacing="0" w:after="0" w:afterAutospacing="0"/>
              <w:ind w:left="0" w:right="0"/>
              <w:jc w:val="center"/>
              <w:rPr>
                <w:rFonts w:hint="default" w:ascii="Times New Roman" w:hAnsi="Times New Roman" w:eastAsia="宋体" w:cs="Times New Roman"/>
                <w:color w:val="auto"/>
                <w:sz w:val="24"/>
                <w:szCs w:val="24"/>
                <w:highlight w:val="none"/>
                <w:u w:val="none" w:color="auto"/>
                <w:vertAlign w:val="baseline"/>
                <w:lang w:val="en-US" w:eastAsia="zh-CN"/>
              </w:rPr>
            </w:pPr>
            <w:r>
              <w:rPr>
                <w:rFonts w:hint="eastAsia" w:cs="Times New Roman"/>
                <w:color w:val="auto"/>
                <w:sz w:val="24"/>
                <w:szCs w:val="24"/>
                <w:highlight w:val="none"/>
                <w:u w:val="none" w:color="auto"/>
                <w:vertAlign w:val="baseline"/>
                <w:lang w:val="en-US" w:eastAsia="zh-CN"/>
              </w:rPr>
              <w:t>东厂界</w:t>
            </w:r>
          </w:p>
        </w:tc>
        <w:tc>
          <w:tcPr>
            <w:tcW w:w="2500" w:type="pct"/>
            <w:vAlign w:val="center"/>
          </w:tcPr>
          <w:p w14:paraId="7D65A54A">
            <w:pPr>
              <w:pStyle w:val="23"/>
              <w:keepNext w:val="0"/>
              <w:keepLines w:val="0"/>
              <w:numPr>
                <w:ilvl w:val="0"/>
                <w:numId w:val="0"/>
              </w:numPr>
              <w:suppressLineNumbers w:val="0"/>
              <w:spacing w:before="0" w:beforeAutospacing="0" w:after="0" w:afterAutospacing="0"/>
              <w:ind w:left="0" w:right="0"/>
              <w:jc w:val="center"/>
              <w:rPr>
                <w:rFonts w:hint="default" w:ascii="Times New Roman" w:hAnsi="Times New Roman" w:eastAsia="宋体" w:cs="Times New Roman"/>
                <w:color w:val="auto"/>
                <w:sz w:val="24"/>
                <w:szCs w:val="24"/>
                <w:highlight w:val="none"/>
                <w:u w:val="none" w:color="auto"/>
                <w:vertAlign w:val="baseline"/>
                <w:lang w:val="en-US" w:eastAsia="zh-CN"/>
              </w:rPr>
            </w:pPr>
            <w:r>
              <w:rPr>
                <w:rFonts w:hint="eastAsia" w:cs="Times New Roman"/>
                <w:color w:val="auto"/>
                <w:sz w:val="24"/>
                <w:szCs w:val="24"/>
                <w:highlight w:val="none"/>
                <w:u w:val="none" w:color="auto"/>
                <w:vertAlign w:val="baseline"/>
                <w:lang w:val="en-US" w:eastAsia="zh-CN"/>
              </w:rPr>
              <w:t>南厂界</w:t>
            </w:r>
          </w:p>
        </w:tc>
      </w:tr>
      <w:tr w14:paraId="2ECF7FD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2500" w:type="pct"/>
            <w:vAlign w:val="center"/>
          </w:tcPr>
          <w:p w14:paraId="2A583B73">
            <w:pPr>
              <w:pStyle w:val="23"/>
              <w:keepNext w:val="0"/>
              <w:keepLines w:val="0"/>
              <w:numPr>
                <w:ilvl w:val="0"/>
                <w:numId w:val="0"/>
              </w:numPr>
              <w:suppressLineNumbers w:val="0"/>
              <w:spacing w:before="0" w:beforeAutospacing="0" w:after="0" w:afterAutospacing="0"/>
              <w:ind w:left="0" w:right="0"/>
              <w:jc w:val="center"/>
              <w:rPr>
                <w:rFonts w:hint="default" w:ascii="Times New Roman" w:hAnsi="Times New Roman" w:eastAsia="宋体" w:cs="Times New Roman"/>
                <w:color w:val="auto"/>
                <w:sz w:val="24"/>
                <w:szCs w:val="24"/>
                <w:highlight w:val="none"/>
                <w:u w:val="none" w:color="auto"/>
                <w:vertAlign w:val="baseline"/>
                <w:lang w:eastAsia="zh-CN"/>
              </w:rPr>
            </w:pPr>
            <w:r>
              <w:rPr>
                <w:rFonts w:hint="default" w:ascii="Times New Roman" w:hAnsi="Times New Roman" w:eastAsia="宋体" w:cs="Times New Roman"/>
                <w:color w:val="auto"/>
                <w:sz w:val="24"/>
                <w:szCs w:val="24"/>
                <w:highlight w:val="none"/>
                <w:u w:val="none" w:color="auto"/>
                <w:vertAlign w:val="baseline"/>
                <w:lang w:eastAsia="zh-CN"/>
              </w:rPr>
              <w:drawing>
                <wp:inline distT="0" distB="0" distL="114300" distR="114300">
                  <wp:extent cx="3093085" cy="2043430"/>
                  <wp:effectExtent l="0" t="0" r="12065" b="13970"/>
                  <wp:docPr id="157" name="图片 157" descr="c371c0e0ac04abb7dc63d8271028d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57" descr="c371c0e0ac04abb7dc63d8271028d31"/>
                          <pic:cNvPicPr>
                            <a:picLocks noChangeAspect="1"/>
                          </pic:cNvPicPr>
                        </pic:nvPicPr>
                        <pic:blipFill>
                          <a:blip r:embed="rId40"/>
                          <a:stretch>
                            <a:fillRect/>
                          </a:stretch>
                        </pic:blipFill>
                        <pic:spPr>
                          <a:xfrm>
                            <a:off x="0" y="0"/>
                            <a:ext cx="3093085" cy="2043430"/>
                          </a:xfrm>
                          <a:prstGeom prst="rect">
                            <a:avLst/>
                          </a:prstGeom>
                        </pic:spPr>
                      </pic:pic>
                    </a:graphicData>
                  </a:graphic>
                </wp:inline>
              </w:drawing>
            </w:r>
          </w:p>
        </w:tc>
        <w:tc>
          <w:tcPr>
            <w:tcW w:w="2500" w:type="pct"/>
            <w:vAlign w:val="center"/>
          </w:tcPr>
          <w:p w14:paraId="58A3CFA4">
            <w:pPr>
              <w:pStyle w:val="23"/>
              <w:keepNext w:val="0"/>
              <w:keepLines w:val="0"/>
              <w:numPr>
                <w:ilvl w:val="0"/>
                <w:numId w:val="0"/>
              </w:numPr>
              <w:suppressLineNumbers w:val="0"/>
              <w:spacing w:before="0" w:beforeAutospacing="0" w:after="0" w:afterAutospacing="0"/>
              <w:ind w:left="0" w:right="0"/>
              <w:jc w:val="center"/>
              <w:rPr>
                <w:rFonts w:hint="default" w:ascii="Times New Roman" w:hAnsi="Times New Roman" w:eastAsia="宋体" w:cs="Times New Roman"/>
                <w:color w:val="auto"/>
                <w:sz w:val="24"/>
                <w:szCs w:val="24"/>
                <w:highlight w:val="none"/>
                <w:u w:val="none" w:color="auto"/>
                <w:vertAlign w:val="baseline"/>
                <w:lang w:eastAsia="zh-CN"/>
              </w:rPr>
            </w:pPr>
            <w:r>
              <w:rPr>
                <w:rFonts w:hint="default" w:ascii="Times New Roman" w:hAnsi="Times New Roman" w:eastAsia="宋体" w:cs="Times New Roman"/>
                <w:color w:val="auto"/>
                <w:sz w:val="24"/>
                <w:szCs w:val="24"/>
                <w:highlight w:val="none"/>
                <w:u w:val="none" w:color="auto"/>
                <w:vertAlign w:val="baseline"/>
                <w:lang w:eastAsia="zh-CN"/>
              </w:rPr>
              <w:drawing>
                <wp:inline distT="0" distB="0" distL="114300" distR="114300">
                  <wp:extent cx="2947035" cy="2052320"/>
                  <wp:effectExtent l="0" t="0" r="5715" b="5080"/>
                  <wp:docPr id="159" name="图片 159" descr="043e85127910f98df9a96b755c2968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9" descr="043e85127910f98df9a96b755c2968e"/>
                          <pic:cNvPicPr>
                            <a:picLocks noChangeAspect="1"/>
                          </pic:cNvPicPr>
                        </pic:nvPicPr>
                        <pic:blipFill>
                          <a:blip r:embed="rId41"/>
                          <a:stretch>
                            <a:fillRect/>
                          </a:stretch>
                        </pic:blipFill>
                        <pic:spPr>
                          <a:xfrm>
                            <a:off x="0" y="0"/>
                            <a:ext cx="2947035" cy="2052320"/>
                          </a:xfrm>
                          <a:prstGeom prst="rect">
                            <a:avLst/>
                          </a:prstGeom>
                        </pic:spPr>
                      </pic:pic>
                    </a:graphicData>
                  </a:graphic>
                </wp:inline>
              </w:drawing>
            </w:r>
          </w:p>
        </w:tc>
      </w:tr>
      <w:tr w14:paraId="446829C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2500" w:type="pct"/>
            <w:vAlign w:val="center"/>
          </w:tcPr>
          <w:p w14:paraId="650E6927">
            <w:pPr>
              <w:pStyle w:val="23"/>
              <w:keepNext w:val="0"/>
              <w:keepLines w:val="0"/>
              <w:numPr>
                <w:ilvl w:val="0"/>
                <w:numId w:val="0"/>
              </w:numPr>
              <w:suppressLineNumbers w:val="0"/>
              <w:spacing w:before="0" w:beforeAutospacing="0" w:after="0" w:afterAutospacing="0"/>
              <w:ind w:left="0" w:right="0"/>
              <w:jc w:val="center"/>
              <w:rPr>
                <w:rFonts w:hint="default" w:ascii="Times New Roman" w:hAnsi="Times New Roman" w:eastAsia="宋体" w:cs="Times New Roman"/>
                <w:color w:val="auto"/>
                <w:sz w:val="24"/>
                <w:szCs w:val="24"/>
                <w:highlight w:val="none"/>
                <w:u w:val="none" w:color="auto"/>
                <w:vertAlign w:val="baseline"/>
                <w:lang w:val="en-US" w:eastAsia="zh-CN"/>
              </w:rPr>
            </w:pPr>
            <w:r>
              <w:rPr>
                <w:rFonts w:hint="eastAsia" w:cs="Times New Roman"/>
                <w:color w:val="auto"/>
                <w:sz w:val="24"/>
                <w:szCs w:val="24"/>
                <w:highlight w:val="none"/>
                <w:u w:val="none" w:color="auto"/>
                <w:vertAlign w:val="baseline"/>
                <w:lang w:val="en-US" w:eastAsia="zh-CN"/>
              </w:rPr>
              <w:t>西厂界</w:t>
            </w:r>
          </w:p>
        </w:tc>
        <w:tc>
          <w:tcPr>
            <w:tcW w:w="2500" w:type="pct"/>
            <w:vAlign w:val="center"/>
          </w:tcPr>
          <w:p w14:paraId="5A87C20F">
            <w:pPr>
              <w:pStyle w:val="23"/>
              <w:keepNext w:val="0"/>
              <w:keepLines w:val="0"/>
              <w:numPr>
                <w:ilvl w:val="0"/>
                <w:numId w:val="0"/>
              </w:numPr>
              <w:suppressLineNumbers w:val="0"/>
              <w:spacing w:before="0" w:beforeAutospacing="0" w:after="0" w:afterAutospacing="0"/>
              <w:ind w:left="0" w:right="0"/>
              <w:jc w:val="center"/>
              <w:rPr>
                <w:rFonts w:hint="default" w:ascii="Times New Roman" w:hAnsi="Times New Roman" w:eastAsia="宋体" w:cs="Times New Roman"/>
                <w:color w:val="auto"/>
                <w:sz w:val="24"/>
                <w:szCs w:val="24"/>
                <w:highlight w:val="none"/>
                <w:u w:val="none" w:color="auto"/>
                <w:vertAlign w:val="baseline"/>
                <w:lang w:val="en-US" w:eastAsia="zh-CN"/>
              </w:rPr>
            </w:pPr>
            <w:r>
              <w:rPr>
                <w:rFonts w:hint="eastAsia" w:cs="Times New Roman"/>
                <w:color w:val="auto"/>
                <w:sz w:val="24"/>
                <w:szCs w:val="24"/>
                <w:highlight w:val="none"/>
                <w:u w:val="none" w:color="auto"/>
                <w:vertAlign w:val="baseline"/>
                <w:lang w:val="en-US" w:eastAsia="zh-CN"/>
              </w:rPr>
              <w:t>北厂界</w:t>
            </w:r>
          </w:p>
        </w:tc>
      </w:tr>
      <w:tr w14:paraId="301596E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5000" w:type="pct"/>
            <w:gridSpan w:val="2"/>
            <w:vAlign w:val="center"/>
          </w:tcPr>
          <w:p w14:paraId="74EB88E2">
            <w:pPr>
              <w:pStyle w:val="23"/>
              <w:keepNext w:val="0"/>
              <w:keepLines w:val="0"/>
              <w:numPr>
                <w:ilvl w:val="0"/>
                <w:numId w:val="0"/>
              </w:numPr>
              <w:suppressLineNumbers w:val="0"/>
              <w:spacing w:before="0" w:beforeAutospacing="0" w:after="0" w:afterAutospacing="0"/>
              <w:ind w:left="0" w:right="0"/>
              <w:jc w:val="center"/>
              <w:rPr>
                <w:rFonts w:hint="default" w:ascii="Times New Roman" w:hAnsi="Times New Roman" w:eastAsia="宋体" w:cs="Times New Roman"/>
                <w:color w:val="7030A0"/>
                <w:sz w:val="24"/>
                <w:szCs w:val="24"/>
                <w:highlight w:val="none"/>
                <w:u w:val="none" w:color="auto"/>
                <w:vertAlign w:val="baseline"/>
                <w:lang w:eastAsia="zh-CN"/>
              </w:rPr>
            </w:pPr>
            <w:r>
              <w:rPr>
                <w:rFonts w:hint="default" w:ascii="Times New Roman" w:hAnsi="Times New Roman" w:eastAsia="宋体" w:cs="Times New Roman"/>
                <w:color w:val="7030A0"/>
                <w:sz w:val="24"/>
                <w:szCs w:val="24"/>
                <w:highlight w:val="none"/>
                <w:u w:val="none" w:color="auto"/>
                <w:vertAlign w:val="baseline"/>
                <w:lang w:eastAsia="zh-CN"/>
              </w:rPr>
              <w:drawing>
                <wp:inline distT="0" distB="0" distL="114300" distR="114300">
                  <wp:extent cx="4746625" cy="3558540"/>
                  <wp:effectExtent l="0" t="0" r="15875" b="3810"/>
                  <wp:docPr id="154" name="图片 154" descr="981051471764f6d43a0de3e20d36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54" descr="981051471764f6d43a0de3e20d36860"/>
                          <pic:cNvPicPr>
                            <a:picLocks noChangeAspect="1"/>
                          </pic:cNvPicPr>
                        </pic:nvPicPr>
                        <pic:blipFill>
                          <a:blip r:embed="rId42"/>
                          <a:stretch>
                            <a:fillRect/>
                          </a:stretch>
                        </pic:blipFill>
                        <pic:spPr>
                          <a:xfrm>
                            <a:off x="0" y="0"/>
                            <a:ext cx="4746625" cy="3558540"/>
                          </a:xfrm>
                          <a:prstGeom prst="rect">
                            <a:avLst/>
                          </a:prstGeom>
                        </pic:spPr>
                      </pic:pic>
                    </a:graphicData>
                  </a:graphic>
                </wp:inline>
              </w:drawing>
            </w:r>
          </w:p>
        </w:tc>
      </w:tr>
      <w:tr w14:paraId="2DBB35E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5000" w:type="pct"/>
            <w:gridSpan w:val="2"/>
            <w:vAlign w:val="center"/>
          </w:tcPr>
          <w:p w14:paraId="47A5DB28">
            <w:pPr>
              <w:pStyle w:val="23"/>
              <w:keepNext w:val="0"/>
              <w:keepLines w:val="0"/>
              <w:numPr>
                <w:ilvl w:val="0"/>
                <w:numId w:val="0"/>
              </w:numPr>
              <w:suppressLineNumbers w:val="0"/>
              <w:spacing w:before="0" w:beforeAutospacing="0" w:after="0" w:afterAutospacing="0"/>
              <w:ind w:left="0" w:right="0"/>
              <w:jc w:val="center"/>
              <w:rPr>
                <w:rFonts w:hint="default" w:ascii="Times New Roman" w:hAnsi="Times New Roman" w:eastAsia="宋体" w:cs="Times New Roman"/>
                <w:color w:val="7030A0"/>
                <w:sz w:val="24"/>
                <w:szCs w:val="24"/>
                <w:highlight w:val="none"/>
                <w:u w:val="none" w:color="auto"/>
                <w:vertAlign w:val="baseline"/>
                <w:lang w:val="en-US" w:eastAsia="zh-CN"/>
              </w:rPr>
            </w:pPr>
            <w:r>
              <w:rPr>
                <w:rFonts w:hint="eastAsia" w:ascii="Times New Roman" w:hAnsi="Times New Roman" w:eastAsia="宋体" w:cs="Times New Roman"/>
                <w:b/>
                <w:bCs/>
                <w:color w:val="000000" w:themeColor="text1"/>
                <w:sz w:val="24"/>
                <w:szCs w:val="24"/>
                <w:highlight w:val="none"/>
                <w:u w:val="none" w:color="auto"/>
                <w:vertAlign w:val="baseline"/>
                <w:lang w:val="en-US" w:eastAsia="zh-CN"/>
                <w14:textFill>
                  <w14:solidFill>
                    <w14:schemeClr w14:val="tx1"/>
                  </w14:solidFill>
                </w14:textFill>
              </w:rPr>
              <w:t>附图5  项目四周厂界及工程师现场照</w:t>
            </w:r>
          </w:p>
        </w:tc>
      </w:tr>
    </w:tbl>
    <w:p w14:paraId="1CFA34A4">
      <w:pPr>
        <w:ind w:left="0" w:leftChars="0" w:firstLine="0" w:firstLineChars="0"/>
        <w:sectPr>
          <w:pgSz w:w="11906" w:h="16838"/>
          <w:pgMar w:top="1440" w:right="1083" w:bottom="1440" w:left="1083" w:header="851" w:footer="992" w:gutter="0"/>
          <w:pgNumType w:fmt="decimal"/>
          <w:cols w:space="0" w:num="1"/>
          <w:rtlGutter w:val="0"/>
          <w:docGrid w:type="lines" w:linePitch="312" w:charSpace="0"/>
        </w:sectPr>
      </w:pPr>
    </w:p>
    <w:tbl>
      <w:tblPr>
        <w:tblStyle w:val="3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56"/>
      </w:tblGrid>
      <w:tr w14:paraId="0186EAE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9956" w:type="dxa"/>
            <w:vAlign w:val="center"/>
          </w:tcPr>
          <w:p w14:paraId="203FE5F0">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default" w:eastAsia="宋体"/>
                <w:vertAlign w:val="baseline"/>
                <w:lang w:val="en-US" w:eastAsia="zh-CN"/>
              </w:rPr>
            </w:pPr>
            <w:r>
              <w:rPr>
                <w:rFonts w:hint="eastAsia"/>
                <w:b/>
                <w:bCs/>
                <w:sz w:val="24"/>
                <w:szCs w:val="24"/>
                <w:vertAlign w:val="baseline"/>
                <w:lang w:val="en-US" w:eastAsia="zh-CN"/>
              </w:rPr>
              <w:t>附件1</w:t>
            </w:r>
          </w:p>
        </w:tc>
      </w:tr>
      <w:tr w14:paraId="00CC6C0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9956" w:type="dxa"/>
            <w:vAlign w:val="center"/>
          </w:tcPr>
          <w:p w14:paraId="4C460033">
            <w:pPr>
              <w:jc w:val="center"/>
              <w:rPr>
                <w:vertAlign w:val="baseline"/>
              </w:rPr>
            </w:pPr>
            <w:r>
              <w:rPr>
                <w:rFonts w:hint="eastAsia" w:ascii="楷体_GB2312" w:eastAsia="楷体_GB2312"/>
                <w:sz w:val="30"/>
                <w:highlight w:val="none"/>
                <w:lang w:eastAsia="zh-CN"/>
              </w:rPr>
              <w:drawing>
                <wp:inline distT="0" distB="0" distL="114300" distR="114300">
                  <wp:extent cx="5996940" cy="8467725"/>
                  <wp:effectExtent l="0" t="0" r="3810" b="9525"/>
                  <wp:docPr id="3" name="图片 3" descr="委托书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委托书_01"/>
                          <pic:cNvPicPr>
                            <a:picLocks noChangeAspect="1"/>
                          </pic:cNvPicPr>
                        </pic:nvPicPr>
                        <pic:blipFill>
                          <a:blip r:embed="rId43"/>
                          <a:stretch>
                            <a:fillRect/>
                          </a:stretch>
                        </pic:blipFill>
                        <pic:spPr>
                          <a:xfrm>
                            <a:off x="0" y="0"/>
                            <a:ext cx="5996940" cy="8467725"/>
                          </a:xfrm>
                          <a:prstGeom prst="rect">
                            <a:avLst/>
                          </a:prstGeom>
                        </pic:spPr>
                      </pic:pic>
                    </a:graphicData>
                  </a:graphic>
                </wp:inline>
              </w:drawing>
            </w:r>
          </w:p>
        </w:tc>
      </w:tr>
    </w:tbl>
    <w:p w14:paraId="5897E950">
      <w:pPr>
        <w:ind w:left="0" w:leftChars="0" w:firstLine="0" w:firstLineChars="0"/>
        <w:sectPr>
          <w:pgSz w:w="11906" w:h="16838"/>
          <w:pgMar w:top="1440" w:right="1083" w:bottom="1440" w:left="1083" w:header="851" w:footer="992" w:gutter="0"/>
          <w:pgNumType w:fmt="decimal"/>
          <w:cols w:space="0" w:num="1"/>
          <w:rtlGutter w:val="0"/>
          <w:docGrid w:type="lines" w:linePitch="312" w:charSpace="0"/>
        </w:sectPr>
      </w:pPr>
    </w:p>
    <w:tbl>
      <w:tblPr>
        <w:tblStyle w:val="3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56"/>
      </w:tblGrid>
      <w:tr w14:paraId="2FA8800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9956" w:type="dxa"/>
            <w:vAlign w:val="center"/>
          </w:tcPr>
          <w:p w14:paraId="58A2E894">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default" w:eastAsia="宋体"/>
                <w:vertAlign w:val="baseline"/>
                <w:lang w:val="en-US" w:eastAsia="zh-CN"/>
              </w:rPr>
            </w:pPr>
            <w:r>
              <w:rPr>
                <w:rFonts w:hint="eastAsia"/>
                <w:b/>
                <w:bCs/>
                <w:sz w:val="24"/>
                <w:szCs w:val="24"/>
                <w:vertAlign w:val="baseline"/>
                <w:lang w:val="en-US" w:eastAsia="zh-CN"/>
              </w:rPr>
              <w:t>附件2</w:t>
            </w:r>
          </w:p>
        </w:tc>
      </w:tr>
      <w:tr w14:paraId="64B475A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9956" w:type="dxa"/>
            <w:vAlign w:val="center"/>
          </w:tcPr>
          <w:p w14:paraId="31FF64FE">
            <w:pPr>
              <w:jc w:val="center"/>
              <w:rPr>
                <w:vertAlign w:val="baseline"/>
              </w:rPr>
            </w:pPr>
            <w:r>
              <w:drawing>
                <wp:inline distT="0" distB="0" distL="114300" distR="114300">
                  <wp:extent cx="6002655" cy="8473440"/>
                  <wp:effectExtent l="0" t="0" r="17145" b="3810"/>
                  <wp:docPr id="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3"/>
                          <pic:cNvPicPr>
                            <a:picLocks noChangeAspect="1"/>
                          </pic:cNvPicPr>
                        </pic:nvPicPr>
                        <pic:blipFill>
                          <a:blip r:embed="rId44"/>
                          <a:stretch>
                            <a:fillRect/>
                          </a:stretch>
                        </pic:blipFill>
                        <pic:spPr>
                          <a:xfrm>
                            <a:off x="0" y="0"/>
                            <a:ext cx="6002655" cy="8473440"/>
                          </a:xfrm>
                          <a:prstGeom prst="rect">
                            <a:avLst/>
                          </a:prstGeom>
                          <a:noFill/>
                          <a:ln>
                            <a:noFill/>
                          </a:ln>
                        </pic:spPr>
                      </pic:pic>
                    </a:graphicData>
                  </a:graphic>
                </wp:inline>
              </w:drawing>
            </w:r>
          </w:p>
        </w:tc>
      </w:tr>
    </w:tbl>
    <w:p w14:paraId="6EDC7228">
      <w:pPr>
        <w:ind w:left="0" w:leftChars="0" w:firstLine="0" w:firstLineChars="0"/>
        <w:sectPr>
          <w:pgSz w:w="11906" w:h="16838"/>
          <w:pgMar w:top="1440" w:right="1083" w:bottom="1440" w:left="1083" w:header="851" w:footer="992" w:gutter="0"/>
          <w:pgNumType w:fmt="decimal"/>
          <w:cols w:space="0" w:num="1"/>
          <w:rtlGutter w:val="0"/>
          <w:docGrid w:type="lines" w:linePitch="312" w:charSpace="0"/>
        </w:sectPr>
      </w:pPr>
    </w:p>
    <w:tbl>
      <w:tblPr>
        <w:tblStyle w:val="3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56"/>
      </w:tblGrid>
      <w:tr w14:paraId="6234562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9956" w:type="dxa"/>
            <w:vAlign w:val="center"/>
          </w:tcPr>
          <w:p w14:paraId="2E30B39D">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default" w:eastAsia="宋体"/>
                <w:vertAlign w:val="baseline"/>
                <w:lang w:val="en-US" w:eastAsia="zh-CN"/>
              </w:rPr>
            </w:pPr>
            <w:r>
              <w:rPr>
                <w:rFonts w:hint="eastAsia"/>
                <w:b/>
                <w:bCs/>
                <w:sz w:val="24"/>
                <w:szCs w:val="24"/>
                <w:vertAlign w:val="baseline"/>
                <w:lang w:val="en-US" w:eastAsia="zh-CN"/>
              </w:rPr>
              <w:t>附件3</w:t>
            </w:r>
          </w:p>
        </w:tc>
      </w:tr>
      <w:tr w14:paraId="6E9E555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9956" w:type="dxa"/>
            <w:vAlign w:val="center"/>
          </w:tcPr>
          <w:p w14:paraId="442FA7A3">
            <w:pPr>
              <w:jc w:val="center"/>
              <w:rPr>
                <w:rFonts w:hint="eastAsia" w:eastAsia="宋体"/>
                <w:vertAlign w:val="baseline"/>
                <w:lang w:eastAsia="zh-CN"/>
              </w:rPr>
            </w:pPr>
            <w:r>
              <w:rPr>
                <w:rFonts w:hint="eastAsia" w:eastAsia="宋体"/>
                <w:vertAlign w:val="baseline"/>
                <w:lang w:eastAsia="zh-CN"/>
              </w:rPr>
              <w:drawing>
                <wp:inline distT="0" distB="0" distL="114300" distR="114300">
                  <wp:extent cx="6182995" cy="8468360"/>
                  <wp:effectExtent l="0" t="0" r="8255" b="8890"/>
                  <wp:docPr id="143" name="图片 143" descr="a9338e0db1e386752978ef2f9ad88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descr="a9338e0db1e386752978ef2f9ad88d4"/>
                          <pic:cNvPicPr>
                            <a:picLocks noChangeAspect="1"/>
                          </pic:cNvPicPr>
                        </pic:nvPicPr>
                        <pic:blipFill>
                          <a:blip r:embed="rId45"/>
                          <a:stretch>
                            <a:fillRect/>
                          </a:stretch>
                        </pic:blipFill>
                        <pic:spPr>
                          <a:xfrm>
                            <a:off x="0" y="0"/>
                            <a:ext cx="6182995" cy="8468360"/>
                          </a:xfrm>
                          <a:prstGeom prst="rect">
                            <a:avLst/>
                          </a:prstGeom>
                        </pic:spPr>
                      </pic:pic>
                    </a:graphicData>
                  </a:graphic>
                </wp:inline>
              </w:drawing>
            </w:r>
          </w:p>
        </w:tc>
      </w:tr>
    </w:tbl>
    <w:p w14:paraId="516AE58F">
      <w:pPr>
        <w:ind w:left="0" w:leftChars="0" w:firstLine="0" w:firstLineChars="0"/>
        <w:sectPr>
          <w:pgSz w:w="11906" w:h="16838"/>
          <w:pgMar w:top="1440" w:right="1083" w:bottom="1440" w:left="1083" w:header="851" w:footer="992" w:gutter="0"/>
          <w:pgNumType w:fmt="decimal"/>
          <w:cols w:space="0" w:num="1"/>
          <w:rtlGutter w:val="0"/>
          <w:docGrid w:type="lines" w:linePitch="312" w:charSpace="0"/>
        </w:sectPr>
      </w:pPr>
    </w:p>
    <w:tbl>
      <w:tblPr>
        <w:tblStyle w:val="3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56"/>
      </w:tblGrid>
      <w:tr w14:paraId="3B2D733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9956" w:type="dxa"/>
            <w:vAlign w:val="center"/>
          </w:tcPr>
          <w:p w14:paraId="65828BD5">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default" w:eastAsia="宋体"/>
                <w:vertAlign w:val="baseline"/>
                <w:lang w:val="en-US" w:eastAsia="zh-CN"/>
              </w:rPr>
            </w:pPr>
            <w:r>
              <w:rPr>
                <w:rFonts w:hint="eastAsia"/>
                <w:b/>
                <w:bCs/>
                <w:sz w:val="24"/>
                <w:szCs w:val="24"/>
                <w:vertAlign w:val="baseline"/>
                <w:lang w:val="en-US" w:eastAsia="zh-CN"/>
              </w:rPr>
              <w:t>附件4</w:t>
            </w:r>
          </w:p>
        </w:tc>
      </w:tr>
      <w:tr w14:paraId="6AF487A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9956" w:type="dxa"/>
            <w:vAlign w:val="center"/>
          </w:tcPr>
          <w:p w14:paraId="77609A93">
            <w:pPr>
              <w:jc w:val="center"/>
              <w:rPr>
                <w:vertAlign w:val="baseline"/>
              </w:rPr>
            </w:pPr>
            <w:r>
              <w:drawing>
                <wp:inline distT="0" distB="0" distL="114300" distR="114300">
                  <wp:extent cx="5911850" cy="8479155"/>
                  <wp:effectExtent l="0" t="0" r="12700" b="17145"/>
                  <wp:docPr id="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4"/>
                          <pic:cNvPicPr>
                            <a:picLocks noChangeAspect="1"/>
                          </pic:cNvPicPr>
                        </pic:nvPicPr>
                        <pic:blipFill>
                          <a:blip r:embed="rId46"/>
                          <a:stretch>
                            <a:fillRect/>
                          </a:stretch>
                        </pic:blipFill>
                        <pic:spPr>
                          <a:xfrm>
                            <a:off x="0" y="0"/>
                            <a:ext cx="5911850" cy="8479155"/>
                          </a:xfrm>
                          <a:prstGeom prst="rect">
                            <a:avLst/>
                          </a:prstGeom>
                          <a:noFill/>
                          <a:ln>
                            <a:noFill/>
                          </a:ln>
                        </pic:spPr>
                      </pic:pic>
                    </a:graphicData>
                  </a:graphic>
                </wp:inline>
              </w:drawing>
            </w:r>
          </w:p>
        </w:tc>
      </w:tr>
      <w:tr w14:paraId="2F214FC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9956" w:type="dxa"/>
            <w:vAlign w:val="center"/>
          </w:tcPr>
          <w:p w14:paraId="42912669">
            <w:pPr>
              <w:jc w:val="center"/>
            </w:pPr>
            <w:r>
              <w:drawing>
                <wp:inline distT="0" distB="0" distL="114300" distR="114300">
                  <wp:extent cx="6174740" cy="9077960"/>
                  <wp:effectExtent l="0" t="0" r="16510" b="8890"/>
                  <wp:docPr id="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5"/>
                          <pic:cNvPicPr>
                            <a:picLocks noChangeAspect="1"/>
                          </pic:cNvPicPr>
                        </pic:nvPicPr>
                        <pic:blipFill>
                          <a:blip r:embed="rId47"/>
                          <a:stretch>
                            <a:fillRect/>
                          </a:stretch>
                        </pic:blipFill>
                        <pic:spPr>
                          <a:xfrm>
                            <a:off x="0" y="0"/>
                            <a:ext cx="6174740" cy="9077960"/>
                          </a:xfrm>
                          <a:prstGeom prst="rect">
                            <a:avLst/>
                          </a:prstGeom>
                          <a:noFill/>
                          <a:ln>
                            <a:noFill/>
                          </a:ln>
                        </pic:spPr>
                      </pic:pic>
                    </a:graphicData>
                  </a:graphic>
                </wp:inline>
              </w:drawing>
            </w:r>
          </w:p>
        </w:tc>
      </w:tr>
      <w:tr w14:paraId="0D42BB8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9956" w:type="dxa"/>
            <w:vAlign w:val="center"/>
          </w:tcPr>
          <w:p w14:paraId="693698D4">
            <w:pPr>
              <w:jc w:val="center"/>
            </w:pPr>
            <w:r>
              <w:drawing>
                <wp:inline distT="0" distB="0" distL="114300" distR="114300">
                  <wp:extent cx="6177915" cy="8923020"/>
                  <wp:effectExtent l="0" t="0" r="13335" b="11430"/>
                  <wp:docPr id="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6"/>
                          <pic:cNvPicPr>
                            <a:picLocks noChangeAspect="1"/>
                          </pic:cNvPicPr>
                        </pic:nvPicPr>
                        <pic:blipFill>
                          <a:blip r:embed="rId48"/>
                          <a:stretch>
                            <a:fillRect/>
                          </a:stretch>
                        </pic:blipFill>
                        <pic:spPr>
                          <a:xfrm>
                            <a:off x="0" y="0"/>
                            <a:ext cx="6177915" cy="8923020"/>
                          </a:xfrm>
                          <a:prstGeom prst="rect">
                            <a:avLst/>
                          </a:prstGeom>
                          <a:noFill/>
                          <a:ln>
                            <a:noFill/>
                          </a:ln>
                        </pic:spPr>
                      </pic:pic>
                    </a:graphicData>
                  </a:graphic>
                </wp:inline>
              </w:drawing>
            </w:r>
          </w:p>
        </w:tc>
      </w:tr>
      <w:tr w14:paraId="1025C4C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9956" w:type="dxa"/>
            <w:vAlign w:val="center"/>
          </w:tcPr>
          <w:p w14:paraId="008A12AF">
            <w:pPr>
              <w:jc w:val="center"/>
            </w:pPr>
            <w:r>
              <w:drawing>
                <wp:inline distT="0" distB="0" distL="114300" distR="114300">
                  <wp:extent cx="6165850" cy="8984615"/>
                  <wp:effectExtent l="0" t="0" r="6350" b="6985"/>
                  <wp:docPr id="1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7"/>
                          <pic:cNvPicPr>
                            <a:picLocks noChangeAspect="1"/>
                          </pic:cNvPicPr>
                        </pic:nvPicPr>
                        <pic:blipFill>
                          <a:blip r:embed="rId49"/>
                          <a:stretch>
                            <a:fillRect/>
                          </a:stretch>
                        </pic:blipFill>
                        <pic:spPr>
                          <a:xfrm>
                            <a:off x="0" y="0"/>
                            <a:ext cx="6165850" cy="8984615"/>
                          </a:xfrm>
                          <a:prstGeom prst="rect">
                            <a:avLst/>
                          </a:prstGeom>
                          <a:noFill/>
                          <a:ln>
                            <a:noFill/>
                          </a:ln>
                        </pic:spPr>
                      </pic:pic>
                    </a:graphicData>
                  </a:graphic>
                </wp:inline>
              </w:drawing>
            </w:r>
          </w:p>
        </w:tc>
      </w:tr>
      <w:tr w14:paraId="53BAE3E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9956" w:type="dxa"/>
            <w:vAlign w:val="center"/>
          </w:tcPr>
          <w:p w14:paraId="7C358E25">
            <w:pPr>
              <w:jc w:val="center"/>
            </w:pPr>
            <w:r>
              <w:drawing>
                <wp:inline distT="0" distB="0" distL="114300" distR="114300">
                  <wp:extent cx="6178550" cy="8891905"/>
                  <wp:effectExtent l="0" t="0" r="12700" b="4445"/>
                  <wp:docPr id="1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8"/>
                          <pic:cNvPicPr>
                            <a:picLocks noChangeAspect="1"/>
                          </pic:cNvPicPr>
                        </pic:nvPicPr>
                        <pic:blipFill>
                          <a:blip r:embed="rId50"/>
                          <a:stretch>
                            <a:fillRect/>
                          </a:stretch>
                        </pic:blipFill>
                        <pic:spPr>
                          <a:xfrm>
                            <a:off x="0" y="0"/>
                            <a:ext cx="6178550" cy="8891905"/>
                          </a:xfrm>
                          <a:prstGeom prst="rect">
                            <a:avLst/>
                          </a:prstGeom>
                          <a:noFill/>
                          <a:ln>
                            <a:noFill/>
                          </a:ln>
                        </pic:spPr>
                      </pic:pic>
                    </a:graphicData>
                  </a:graphic>
                </wp:inline>
              </w:drawing>
            </w:r>
          </w:p>
        </w:tc>
      </w:tr>
    </w:tbl>
    <w:p w14:paraId="33FCEE69">
      <w:pPr>
        <w:ind w:left="0" w:leftChars="0" w:firstLine="0" w:firstLineChars="0"/>
        <w:sectPr>
          <w:pgSz w:w="11906" w:h="16838"/>
          <w:pgMar w:top="1440" w:right="1083" w:bottom="1440" w:left="1083" w:header="851" w:footer="992" w:gutter="0"/>
          <w:pgNumType w:fmt="decimal"/>
          <w:cols w:space="0" w:num="1"/>
          <w:rtlGutter w:val="0"/>
          <w:docGrid w:type="lines" w:linePitch="312" w:charSpace="0"/>
        </w:sectPr>
      </w:pPr>
    </w:p>
    <w:tbl>
      <w:tblPr>
        <w:tblStyle w:val="3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56"/>
      </w:tblGrid>
      <w:tr w14:paraId="19C034C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9956" w:type="dxa"/>
            <w:vAlign w:val="center"/>
          </w:tcPr>
          <w:p w14:paraId="2556D845">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default" w:eastAsia="宋体"/>
                <w:vertAlign w:val="baseline"/>
                <w:lang w:val="en-US" w:eastAsia="zh-CN"/>
              </w:rPr>
            </w:pPr>
            <w:r>
              <w:rPr>
                <w:rFonts w:hint="eastAsia"/>
                <w:b/>
                <w:bCs/>
                <w:sz w:val="24"/>
                <w:szCs w:val="24"/>
                <w:vertAlign w:val="baseline"/>
                <w:lang w:val="en-US" w:eastAsia="zh-CN"/>
              </w:rPr>
              <w:t>附件5</w:t>
            </w:r>
          </w:p>
        </w:tc>
      </w:tr>
      <w:tr w14:paraId="675F525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9956" w:type="dxa"/>
            <w:vAlign w:val="center"/>
          </w:tcPr>
          <w:p w14:paraId="07C36018">
            <w:pPr>
              <w:jc w:val="center"/>
              <w:rPr>
                <w:vertAlign w:val="baseline"/>
              </w:rPr>
            </w:pPr>
            <w:r>
              <w:rPr>
                <w:rFonts w:hint="eastAsia" w:ascii="宋体" w:hAnsi="宋体" w:eastAsia="宋体" w:cs="宋体"/>
                <w:spacing w:val="6"/>
                <w:sz w:val="28"/>
                <w:szCs w:val="28"/>
                <w:lang w:val="en-US" w:eastAsia="zh-CN"/>
              </w:rPr>
              <w:drawing>
                <wp:inline distT="0" distB="0" distL="114300" distR="114300">
                  <wp:extent cx="5954395" cy="8466455"/>
                  <wp:effectExtent l="0" t="0" r="8255" b="10795"/>
                  <wp:docPr id="12" name="图片 12" descr="生物质气安全合同协议书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生物质气安全合同协议书_01"/>
                          <pic:cNvPicPr>
                            <a:picLocks noChangeAspect="1"/>
                          </pic:cNvPicPr>
                        </pic:nvPicPr>
                        <pic:blipFill>
                          <a:blip r:embed="rId51"/>
                          <a:stretch>
                            <a:fillRect/>
                          </a:stretch>
                        </pic:blipFill>
                        <pic:spPr>
                          <a:xfrm>
                            <a:off x="0" y="0"/>
                            <a:ext cx="5954395" cy="8466455"/>
                          </a:xfrm>
                          <a:prstGeom prst="rect">
                            <a:avLst/>
                          </a:prstGeom>
                        </pic:spPr>
                      </pic:pic>
                    </a:graphicData>
                  </a:graphic>
                </wp:inline>
              </w:drawing>
            </w:r>
          </w:p>
        </w:tc>
      </w:tr>
      <w:tr w14:paraId="2D13793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9956" w:type="dxa"/>
            <w:vAlign w:val="center"/>
          </w:tcPr>
          <w:p w14:paraId="061206C4">
            <w:pPr>
              <w:jc w:val="center"/>
              <w:rPr>
                <w:rFonts w:hint="eastAsia" w:ascii="宋体" w:hAnsi="宋体" w:eastAsia="宋体" w:cs="宋体"/>
                <w:spacing w:val="6"/>
                <w:sz w:val="28"/>
                <w:szCs w:val="28"/>
                <w:lang w:val="en-US" w:eastAsia="zh-CN"/>
              </w:rPr>
            </w:pPr>
            <w:r>
              <w:rPr>
                <w:rFonts w:hint="eastAsia" w:ascii="宋体" w:hAnsi="宋体" w:eastAsia="宋体" w:cs="宋体"/>
                <w:spacing w:val="6"/>
                <w:sz w:val="28"/>
                <w:szCs w:val="28"/>
                <w:lang w:val="en-US" w:eastAsia="zh-CN"/>
              </w:rPr>
              <w:drawing>
                <wp:inline distT="0" distB="0" distL="114300" distR="114300">
                  <wp:extent cx="6111875" cy="8648065"/>
                  <wp:effectExtent l="0" t="0" r="3175" b="635"/>
                  <wp:docPr id="4" name="图片 4" descr="生物质气安全合同协议书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生物质气安全合同协议书_02"/>
                          <pic:cNvPicPr>
                            <a:picLocks noChangeAspect="1"/>
                          </pic:cNvPicPr>
                        </pic:nvPicPr>
                        <pic:blipFill>
                          <a:blip r:embed="rId52"/>
                          <a:stretch>
                            <a:fillRect/>
                          </a:stretch>
                        </pic:blipFill>
                        <pic:spPr>
                          <a:xfrm>
                            <a:off x="0" y="0"/>
                            <a:ext cx="6111875" cy="8648065"/>
                          </a:xfrm>
                          <a:prstGeom prst="rect">
                            <a:avLst/>
                          </a:prstGeom>
                        </pic:spPr>
                      </pic:pic>
                    </a:graphicData>
                  </a:graphic>
                </wp:inline>
              </w:drawing>
            </w:r>
          </w:p>
        </w:tc>
      </w:tr>
    </w:tbl>
    <w:p w14:paraId="1DC2B98E">
      <w:pPr>
        <w:ind w:left="0" w:leftChars="0" w:firstLine="0" w:firstLineChars="0"/>
        <w:sectPr>
          <w:pgSz w:w="11906" w:h="16838"/>
          <w:pgMar w:top="1440" w:right="1083" w:bottom="1440" w:left="1083" w:header="851" w:footer="992" w:gutter="0"/>
          <w:pgNumType w:fmt="decimal"/>
          <w:cols w:space="0" w:num="1"/>
          <w:rtlGutter w:val="0"/>
          <w:docGrid w:type="lines" w:linePitch="312" w:charSpace="0"/>
        </w:sectPr>
      </w:pPr>
    </w:p>
    <w:tbl>
      <w:tblPr>
        <w:tblStyle w:val="3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56"/>
      </w:tblGrid>
      <w:tr w14:paraId="0E2EB5B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9956" w:type="dxa"/>
            <w:vAlign w:val="center"/>
          </w:tcPr>
          <w:p w14:paraId="383B0301">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default" w:eastAsia="宋体"/>
                <w:vertAlign w:val="baseline"/>
                <w:lang w:val="en-US" w:eastAsia="zh-CN"/>
              </w:rPr>
            </w:pPr>
            <w:r>
              <w:rPr>
                <w:rFonts w:hint="eastAsia"/>
                <w:b/>
                <w:bCs/>
                <w:sz w:val="24"/>
                <w:szCs w:val="24"/>
                <w:vertAlign w:val="baseline"/>
                <w:lang w:val="en-US" w:eastAsia="zh-CN"/>
              </w:rPr>
              <w:t>附件6</w:t>
            </w:r>
          </w:p>
        </w:tc>
      </w:tr>
      <w:tr w14:paraId="1B5B912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9956" w:type="dxa"/>
            <w:vAlign w:val="center"/>
          </w:tcPr>
          <w:p w14:paraId="29A3C528">
            <w:pPr>
              <w:jc w:val="center"/>
              <w:rPr>
                <w:vertAlign w:val="baseline"/>
              </w:rPr>
            </w:pPr>
            <w:r>
              <w:rPr>
                <w:sz w:val="21"/>
                <w:highlight w:val="none"/>
              </w:rPr>
              <w:drawing>
                <wp:inline distT="0" distB="0" distL="114300" distR="114300">
                  <wp:extent cx="5938520" cy="8456295"/>
                  <wp:effectExtent l="0" t="0" r="5080" b="1905"/>
                  <wp:docPr id="15" name="图片 15" descr="木醋液采购合同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木醋液采购合同_01(1)"/>
                          <pic:cNvPicPr>
                            <a:picLocks noChangeAspect="1"/>
                          </pic:cNvPicPr>
                        </pic:nvPicPr>
                        <pic:blipFill>
                          <a:blip r:embed="rId53"/>
                          <a:stretch>
                            <a:fillRect/>
                          </a:stretch>
                        </pic:blipFill>
                        <pic:spPr>
                          <a:xfrm>
                            <a:off x="0" y="0"/>
                            <a:ext cx="5938520" cy="8456295"/>
                          </a:xfrm>
                          <a:prstGeom prst="rect">
                            <a:avLst/>
                          </a:prstGeom>
                        </pic:spPr>
                      </pic:pic>
                    </a:graphicData>
                  </a:graphic>
                </wp:inline>
              </w:drawing>
            </w:r>
          </w:p>
        </w:tc>
      </w:tr>
    </w:tbl>
    <w:p w14:paraId="6D14909A">
      <w:pPr>
        <w:ind w:left="0" w:leftChars="0" w:firstLine="0" w:firstLineChars="0"/>
        <w:sectPr>
          <w:pgSz w:w="11906" w:h="16838"/>
          <w:pgMar w:top="1440" w:right="1083" w:bottom="1440" w:left="1083" w:header="851" w:footer="992" w:gutter="0"/>
          <w:pgNumType w:fmt="decimal"/>
          <w:cols w:space="0" w:num="1"/>
          <w:rtlGutter w:val="0"/>
          <w:docGrid w:type="lines" w:linePitch="312" w:charSpace="0"/>
        </w:sectPr>
      </w:pPr>
    </w:p>
    <w:tbl>
      <w:tblPr>
        <w:tblStyle w:val="3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56"/>
      </w:tblGrid>
      <w:tr w14:paraId="521FCA5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454" w:hRule="atLeast"/>
        </w:trPr>
        <w:tc>
          <w:tcPr>
            <w:tcW w:w="9956" w:type="dxa"/>
            <w:vAlign w:val="center"/>
          </w:tcPr>
          <w:p w14:paraId="0C6BB394">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default" w:eastAsia="宋体"/>
                <w:vertAlign w:val="baseline"/>
                <w:lang w:val="en-US" w:eastAsia="zh-CN"/>
              </w:rPr>
            </w:pPr>
            <w:r>
              <w:rPr>
                <w:rFonts w:hint="eastAsia"/>
                <w:b/>
                <w:bCs/>
                <w:sz w:val="24"/>
                <w:szCs w:val="24"/>
                <w:vertAlign w:val="baseline"/>
                <w:lang w:val="en-US" w:eastAsia="zh-CN"/>
              </w:rPr>
              <w:t>附件7</w:t>
            </w:r>
          </w:p>
        </w:tc>
      </w:tr>
      <w:tr w14:paraId="530B204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9956" w:type="dxa"/>
            <w:vAlign w:val="center"/>
          </w:tcPr>
          <w:p w14:paraId="5C94645D">
            <w:pPr>
              <w:jc w:val="center"/>
              <w:rPr>
                <w:vertAlign w:val="baseline"/>
              </w:rPr>
            </w:pPr>
            <w:r>
              <w:rPr>
                <w:rFonts w:hint="eastAsia"/>
                <w:highlight w:val="none"/>
                <w:lang w:eastAsia="zh-CN"/>
              </w:rPr>
              <w:drawing>
                <wp:inline distT="0" distB="0" distL="114300" distR="114300">
                  <wp:extent cx="5902325" cy="8133715"/>
                  <wp:effectExtent l="0" t="0" r="3175" b="635"/>
                  <wp:docPr id="13" name="图片 13" descr="木炭焦油采购合同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木炭焦油采购合同_01(1)"/>
                          <pic:cNvPicPr>
                            <a:picLocks noChangeAspect="1"/>
                          </pic:cNvPicPr>
                        </pic:nvPicPr>
                        <pic:blipFill>
                          <a:blip r:embed="rId54"/>
                          <a:stretch>
                            <a:fillRect/>
                          </a:stretch>
                        </pic:blipFill>
                        <pic:spPr>
                          <a:xfrm>
                            <a:off x="0" y="0"/>
                            <a:ext cx="5902325" cy="8133715"/>
                          </a:xfrm>
                          <a:prstGeom prst="rect">
                            <a:avLst/>
                          </a:prstGeom>
                        </pic:spPr>
                      </pic:pic>
                    </a:graphicData>
                  </a:graphic>
                </wp:inline>
              </w:drawing>
            </w:r>
          </w:p>
        </w:tc>
      </w:tr>
    </w:tbl>
    <w:p w14:paraId="5482ED48">
      <w:pPr>
        <w:ind w:left="0" w:leftChars="0" w:firstLine="0" w:firstLineChars="0"/>
      </w:pPr>
    </w:p>
    <w:sectPr>
      <w:pgSz w:w="11906" w:h="16838"/>
      <w:pgMar w:top="1440" w:right="1083" w:bottom="1440" w:left="1083" w:header="851" w:footer="992" w:gutter="0"/>
      <w:pgNumType w:fmt="decimal"/>
      <w:cols w:space="0" w:num="1"/>
      <w:rtlGutter w:val="0"/>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8"/>
    <w:family w:val="modern"/>
    <w:pitch w:val="default"/>
    <w:sig w:usb0="E0002EFF" w:usb1="C000785B" w:usb2="00000009" w:usb3="00000000" w:csb0="400001FF" w:csb1="FFFF0000"/>
  </w:font>
  <w:font w:name="宋体">
    <w:panose1 w:val="02010600030101010101"/>
    <w:charset w:val="8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embedRegular r:id="rId1" w:fontKey="{D4EFA77A-57BE-486D-A040-A5EF35D79BBB}"/>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_GB2312">
    <w:panose1 w:val="02010609030101010101"/>
    <w:charset w:val="86"/>
    <w:family w:val="modern"/>
    <w:pitch w:val="default"/>
    <w:sig w:usb0="00000001" w:usb1="080E0000" w:usb2="00000000" w:usb3="00000000" w:csb0="00040000" w:csb1="00000000"/>
  </w:font>
  <w:font w:name="方正小标宋简体">
    <w:panose1 w:val="02010601030101010101"/>
    <w:charset w:val="86"/>
    <w:family w:val="auto"/>
    <w:pitch w:val="default"/>
    <w:sig w:usb0="00000001" w:usb1="080E0000" w:usb2="00000000" w:usb3="00000000" w:csb0="00040000" w:csb1="00000000"/>
  </w:font>
  <w:font w:name="方正楷体_GB2312">
    <w:panose1 w:val="02000000000000000000"/>
    <w:charset w:val="86"/>
    <w:family w:val="auto"/>
    <w:pitch w:val="default"/>
    <w:sig w:usb0="A00002BF" w:usb1="184F6CFA" w:usb2="00000012" w:usb3="00000000" w:csb0="00040001" w:csb1="00000000"/>
  </w:font>
  <w:font w:name="Tahoma">
    <w:panose1 w:val="020B0604030504040204"/>
    <w:charset w:val="00"/>
    <w:family w:val="auto"/>
    <w:pitch w:val="default"/>
    <w:sig w:usb0="E1002EFF" w:usb1="C000605B" w:usb2="00000029" w:usb3="00000000" w:csb0="200101FF" w:csb1="20280000"/>
  </w:font>
  <w:font w:name="楷体_GB2312">
    <w:panose1 w:val="02010609030101010101"/>
    <w:charset w:val="86"/>
    <w:family w:val="modern"/>
    <w:pitch w:val="default"/>
    <w:sig w:usb0="00000001" w:usb1="080E0000" w:usb2="00000000" w:usb3="00000000" w:csb0="00040000" w:csb1="00000000"/>
    <w:embedRegular r:id="rId2" w:fontKey="{DB5457EF-078F-4208-906F-9335445BEA4C}"/>
  </w:font>
  <w:font w:name="Arial Unicode MS">
    <w:altName w:val="宋体"/>
    <w:panose1 w:val="020B0604020202020204"/>
    <w:charset w:val="86"/>
    <w:family w:val="roman"/>
    <w:pitch w:val="default"/>
    <w:sig w:usb0="00000000" w:usb1="00000000" w:usb2="0000003F" w:usb3="00000000" w:csb0="603F01FF" w:csb1="FFFF0000"/>
  </w:font>
  <w:font w:name="PMingLiU">
    <w:altName w:val="Microsoft JhengHei UI"/>
    <w:panose1 w:val="02010601000101010101"/>
    <w:charset w:val="88"/>
    <w:family w:val="auto"/>
    <w:pitch w:val="default"/>
    <w:sig w:usb0="00000000" w:usb1="00000000" w:usb2="00000010" w:usb3="00000000" w:csb0="00100000" w:csb1="00000000"/>
  </w:font>
  <w:font w:name="Microsoft JhengHei UI">
    <w:panose1 w:val="020B0604030504040204"/>
    <w:charset w:val="88"/>
    <w:family w:val="auto"/>
    <w:pitch w:val="default"/>
    <w:sig w:usb0="000002A7" w:usb1="28CF4400" w:usb2="00000016" w:usb3="00000000" w:csb0="00100009" w:csb1="00000000"/>
  </w:font>
  <w:font w:name="Impact">
    <w:panose1 w:val="020B0806030902050204"/>
    <w:charset w:val="00"/>
    <w:family w:val="swiss"/>
    <w:pitch w:val="default"/>
    <w:sig w:usb0="00000287" w:usb1="00000000" w:usb2="00000000" w:usb3="00000000" w:csb0="2000009F" w:csb1="DFD70000"/>
  </w:font>
  <w:font w:name="方正小标宋_GBK">
    <w:panose1 w:val="03000509000000000000"/>
    <w:charset w:val="86"/>
    <w:family w:val="script"/>
    <w:pitch w:val="default"/>
    <w:sig w:usb0="00000001" w:usb1="080E0000" w:usb2="00000000" w:usb3="00000000" w:csb0="00040000" w:csb1="00000000"/>
    <w:embedRegular r:id="rId3" w:fontKey="{71FA143C-63FA-4C26-9881-55AB331C2E25}"/>
  </w:font>
  <w:font w:name="仿宋">
    <w:panose1 w:val="02010609060101010101"/>
    <w:charset w:val="86"/>
    <w:family w:val="auto"/>
    <w:pitch w:val="default"/>
    <w:sig w:usb0="800002BF" w:usb1="38CF7CFA" w:usb2="00000016" w:usb3="00000000" w:csb0="00040001" w:csb1="00000000"/>
    <w:embedRegular r:id="rId4" w:fontKey="{F7A360DF-5459-4A88-9385-4B85DBD500F3}"/>
  </w:font>
  <w:font w:name="Helvetica">
    <w:altName w:val="Arial"/>
    <w:panose1 w:val="00000000000000000000"/>
    <w:charset w:val="00"/>
    <w:family w:val="auto"/>
    <w:pitch w:val="default"/>
    <w:sig w:usb0="00000000" w:usb1="00000000" w:usb2="00000000" w:usb3="00000000" w:csb0="00000000" w:csb1="00000000"/>
    <w:embedRegular r:id="rId5" w:fontKey="{A553E779-5E7C-46B6-B640-7386AE03E974}"/>
  </w:font>
  <w:font w:name="瀹嬩綋">
    <w:altName w:val="Segoe Print"/>
    <w:panose1 w:val="00000000000000000000"/>
    <w:charset w:val="00"/>
    <w:family w:val="auto"/>
    <w:pitch w:val="default"/>
    <w:sig w:usb0="00000000" w:usb1="00000000" w:usb2="00000000" w:usb3="00000000" w:csb0="00000000" w:csb1="00000000"/>
    <w:embedRegular r:id="rId6" w:fontKey="{1E5193EB-E849-4D12-8A36-6BA58478731F}"/>
  </w:font>
  <w:font w:name="RomanS">
    <w:altName w:val="Swis721 Lt BT"/>
    <w:panose1 w:val="02000400000000000000"/>
    <w:charset w:val="00"/>
    <w:family w:val="auto"/>
    <w:pitch w:val="default"/>
    <w:sig w:usb0="00000000" w:usb1="00000000" w:usb2="00000000" w:usb3="00000000" w:csb0="000001FF" w:csb1="00000000"/>
  </w:font>
  <w:font w:name="等线">
    <w:panose1 w:val="02010600030101010101"/>
    <w:charset w:val="86"/>
    <w:family w:val="auto"/>
    <w:pitch w:val="default"/>
    <w:sig w:usb0="A00002BF" w:usb1="38CF7CFA" w:usb2="00000016" w:usb3="00000000" w:csb0="0004000F" w:csb1="00000000"/>
    <w:embedRegular r:id="rId7" w:fontKey="{D1798F2F-FF37-4D89-B01F-FE856F3F9E96}"/>
  </w:font>
  <w:font w:name="WPSEMBED1">
    <w:panose1 w:val="02010609030101010101"/>
    <w:charset w:val="86"/>
    <w:family w:val="auto"/>
    <w:pitch w:val="default"/>
    <w:sig w:usb0="00000001" w:usb1="080E0000" w:usb2="00000000" w:usb3="00000000" w:csb0="00040000" w:csb1="00000000"/>
  </w:font>
  <w:font w:name="Segoe Print">
    <w:panose1 w:val="02000600000000000000"/>
    <w:charset w:val="00"/>
    <w:family w:val="auto"/>
    <w:pitch w:val="default"/>
    <w:sig w:usb0="0000028F" w:usb1="00000000" w:usb2="00000000" w:usb3="00000000" w:csb0="2000009F" w:csb1="47010000"/>
  </w:font>
  <w:font w:name="Swis721 Lt BT">
    <w:panose1 w:val="020B0403020202020204"/>
    <w:charset w:val="00"/>
    <w:family w:val="auto"/>
    <w:pitch w:val="default"/>
    <w:sig w:usb0="800000AF" w:usb1="1000204A" w:usb2="00000000" w:usb3="00000000" w:csb0="0000001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CAE7C70">
    <w:pPr>
      <w:pStyle w:val="24"/>
      <w:ind w:right="360"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E8552CB">
    <w:pPr>
      <w:pStyle w:val="24"/>
      <w:ind w:right="360" w:firstLine="360"/>
      <w:jc w:val="center"/>
    </w:pPr>
    <w:r>
      <w:rPr>
        <w:sz w:val="18"/>
      </w:rP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160" name="文本框 16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9CE6891">
                          <w:pPr>
                            <w:pStyle w:val="24"/>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jziRPDICAABlBAAADgAAAAAAAAABACAAAAAfAQAAZHJzL2Uyb0RvYy54bWxQSwUG&#10;AAAAAAYABgBZAQAAwwUAAAAA&#10;">
              <v:fill on="f" focussize="0,0"/>
              <v:stroke on="f" weight="0.5pt"/>
              <v:imagedata o:title=""/>
              <o:lock v:ext="edit" aspectratio="f"/>
              <v:textbox inset="0mm,0mm,0mm,0mm" style="mso-fit-shape-to-text:t;">
                <w:txbxContent>
                  <w:p w14:paraId="59CE6891">
                    <w:pPr>
                      <w:pStyle w:val="24"/>
                    </w:pPr>
                    <w:r>
                      <w:fldChar w:fldCharType="begin"/>
                    </w:r>
                    <w:r>
                      <w:instrText xml:space="preserve"> PAGE  \* MERGEFORMAT </w:instrText>
                    </w:r>
                    <w:r>
                      <w:fldChar w:fldCharType="separate"/>
                    </w:r>
                    <w:r>
                      <w:t>2</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6F03469">
    <w:pPr>
      <w:widowControl w:val="0"/>
      <w:tabs>
        <w:tab w:val="center" w:pos="4153"/>
        <w:tab w:val="right" w:pos="8306"/>
      </w:tabs>
      <w:snapToGrid w:val="0"/>
      <w:ind w:right="360"/>
      <w:jc w:val="left"/>
      <w:rPr>
        <w:rFonts w:ascii="Times New Roman" w:hAnsi="Times New Roman" w:eastAsia="宋体" w:cs="Times New Roman"/>
        <w:kern w:val="0"/>
        <w:sz w:val="18"/>
        <w:szCs w:val="20"/>
        <w:lang w:val="en-US" w:eastAsia="zh-CN" w:bidi="ar-SA"/>
      </w:rPr>
    </w:pPr>
    <w:r>
      <w:rPr>
        <w:sz w:val="18"/>
      </w:rP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32"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78C05279">
                          <w:pPr>
                            <w:pStyle w:val="24"/>
                          </w:pPr>
                          <w:r>
                            <w:fldChar w:fldCharType="begin"/>
                          </w:r>
                          <w:r>
                            <w:instrText xml:space="preserve"> PAGE  \* MERGEFORMAT </w:instrText>
                          </w:r>
                          <w:r>
                            <w:fldChar w:fldCharType="separate"/>
                          </w:r>
                          <w:r>
                            <w:t>148</w:t>
                          </w:r>
                          <w:r>
                            <w:fldChar w:fldCharType="end"/>
                          </w:r>
                        </w:p>
                      </w:txbxContent>
                    </wps:txbx>
                    <wps:bodyPr vert="horz" wrap="none" lIns="0" tIns="0" rIns="0" bIns="0" anchor="t" anchorCtr="0" upright="0">
                      <a:spAutoFit/>
                    </wps:bodyPr>
                  </wps:wsp>
                </a:graphicData>
              </a:graphic>
            </wp:anchor>
          </w:drawing>
        </mc:Choice>
        <mc:Fallback>
          <w:pict>
            <v:shape id="文本框 3"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DOqXm5zwAAAAUBAAAPAAAAAAAAAAEA&#10;IAAAACIAAABkcnMvZG93bnJldi54bWxQSwECFAAUAAAACACHTuJAVM6+6N8BAAC/AwAADgAAAAAA&#10;AAABACAAAAAeAQAAZHJzL2Uyb0RvYy54bWxQSwUGAAAAAAYABgBZAQAAbwUAAAAA&#10;">
              <v:fill on="f" focussize="0,0"/>
              <v:stroke on="f"/>
              <v:imagedata o:title=""/>
              <o:lock v:ext="edit" aspectratio="f"/>
              <v:textbox inset="0mm,0mm,0mm,0mm" style="mso-fit-shape-to-text:t;">
                <w:txbxContent>
                  <w:p w14:paraId="78C05279">
                    <w:pPr>
                      <w:pStyle w:val="24"/>
                    </w:pPr>
                    <w:r>
                      <w:fldChar w:fldCharType="begin"/>
                    </w:r>
                    <w:r>
                      <w:instrText xml:space="preserve"> PAGE  \* MERGEFORMAT </w:instrText>
                    </w:r>
                    <w:r>
                      <w:fldChar w:fldCharType="separate"/>
                    </w:r>
                    <w:r>
                      <w:t>148</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4C20FB3">
    <w:pPr>
      <w:widowControl w:val="0"/>
      <w:tabs>
        <w:tab w:val="center" w:pos="4153"/>
        <w:tab w:val="right" w:pos="8306"/>
      </w:tabs>
      <w:snapToGrid w:val="0"/>
      <w:ind w:right="360"/>
      <w:jc w:val="left"/>
      <w:rPr>
        <w:rFonts w:ascii="Times New Roman" w:hAnsi="Times New Roman" w:eastAsia="宋体" w:cs="Times New Roman"/>
        <w:kern w:val="0"/>
        <w:sz w:val="18"/>
        <w:szCs w:val="20"/>
        <w:lang w:val="en-US" w:eastAsia="zh-CN" w:bidi="ar-SA"/>
      </w:rPr>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3536D9">
    <w:pPr>
      <w:pStyle w:val="25"/>
      <w:tabs>
        <w:tab w:val="clear" w:pos="4153"/>
      </w:tabs>
      <w:ind w:firstLine="341" w:firstLineChars="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7770789E"/>
    <w:multiLevelType w:val="singleLevel"/>
    <w:tmpl w:val="7770789E"/>
    <w:lvl w:ilvl="0" w:tentative="0">
      <w:start w:val="1"/>
      <w:numFmt w:val="bullet"/>
      <w:pStyle w:val="23"/>
      <w:lvlText w:val=""/>
      <w:lvlJc w:val="left"/>
      <w:pPr>
        <w:tabs>
          <w:tab w:val="left" w:pos="2040"/>
        </w:tabs>
        <w:ind w:left="2040" w:hanging="360"/>
      </w:pPr>
      <w:rPr>
        <w:rFonts w:hint="default" w:ascii="Wingdings" w:hAnsi="Wingdings"/>
      </w:rPr>
    </w:lvl>
  </w:abstractNum>
  <w:abstractNum w:abstractNumId="1">
    <w:nsid w:val="7D10986D"/>
    <w:multiLevelType w:val="singleLevel"/>
    <w:tmpl w:val="7D10986D"/>
    <w:lvl w:ilvl="0" w:tentative="0">
      <w:start w:val="1"/>
      <w:numFmt w:val="upperLetter"/>
      <w:suff w:val="nothing"/>
      <w:lvlText w:val="%1、"/>
      <w:lvlJc w:val="left"/>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embedTrueTypeFonts/>
  <w:saveSubset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0314369E"/>
    <w:rsid w:val="086F6F0A"/>
    <w:rsid w:val="08D20288"/>
    <w:rsid w:val="14F76B5C"/>
    <w:rsid w:val="16CE4F2C"/>
    <w:rsid w:val="1AAD2FD7"/>
    <w:rsid w:val="212733E0"/>
    <w:rsid w:val="215D246D"/>
    <w:rsid w:val="2500362B"/>
    <w:rsid w:val="2A845AEB"/>
    <w:rsid w:val="2B8434CD"/>
    <w:rsid w:val="38624A88"/>
    <w:rsid w:val="38796AD2"/>
    <w:rsid w:val="38C4554A"/>
    <w:rsid w:val="3C550D03"/>
    <w:rsid w:val="4359067E"/>
    <w:rsid w:val="4A513648"/>
    <w:rsid w:val="4BA75E5D"/>
    <w:rsid w:val="4CBA727B"/>
    <w:rsid w:val="4F225CE3"/>
    <w:rsid w:val="4FB22261"/>
    <w:rsid w:val="519B7D0C"/>
    <w:rsid w:val="54FB7D85"/>
    <w:rsid w:val="58ED4F64"/>
    <w:rsid w:val="5A804A1B"/>
    <w:rsid w:val="5CBA16BC"/>
    <w:rsid w:val="5F49496A"/>
    <w:rsid w:val="60412A1A"/>
    <w:rsid w:val="629C0920"/>
    <w:rsid w:val="65A333D2"/>
    <w:rsid w:val="723E71CE"/>
    <w:rsid w:val="731E47E6"/>
    <w:rsid w:val="77827E93"/>
    <w:rsid w:val="77E17956"/>
    <w:rsid w:val="78D92BAF"/>
    <w:rsid w:val="79FD6043"/>
    <w:rsid w:val="7B89447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qFormat="1"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qFormat="1"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nhideWhenUsed="0" w:uiPriority="0" w:semiHidden="0" w:name="Body Text First Indent 2"/>
    <w:lsdException w:qFormat="1" w:unhideWhenUsed="0" w:uiPriority="0" w:semiHidden="0" w:name="Note Heading"/>
    <w:lsdException w:unhideWhenUsed="0" w:uiPriority="0" w:semiHidden="0" w:name="Body Text 2"/>
    <w:lsdException w:unhideWhenUsed="0" w:uiPriority="0" w:semiHidden="0" w:name="Body Text 3"/>
    <w:lsdException w:qFormat="1" w:unhideWhenUsed="0" w:uiPriority="0" w:semiHidden="0" w:name="Body Text Indent 2"/>
    <w:lsdException w:unhideWhenUsed="0" w:uiPriority="0" w:semiHidden="0" w:name="Body Text Indent 3"/>
    <w:lsdException w:qFormat="1"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qFormat="1"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4"/>
      <w:szCs w:val="24"/>
      <w:lang w:val="en-US" w:eastAsia="zh-CN" w:bidi="ar-SA"/>
    </w:rPr>
  </w:style>
  <w:style w:type="paragraph" w:styleId="2">
    <w:name w:val="heading 1"/>
    <w:basedOn w:val="1"/>
    <w:next w:val="1"/>
    <w:link w:val="34"/>
    <w:qFormat/>
    <w:uiPriority w:val="0"/>
    <w:pPr>
      <w:keepNext/>
      <w:keepLines/>
      <w:autoSpaceDE w:val="0"/>
      <w:autoSpaceDN w:val="0"/>
      <w:spacing w:before="100" w:beforeLines="0" w:beforeAutospacing="0" w:after="100" w:afterLines="0" w:afterAutospacing="0" w:line="240" w:lineRule="auto"/>
      <w:ind w:firstLine="0" w:firstLineChars="0"/>
      <w:outlineLvl w:val="0"/>
    </w:pPr>
    <w:rPr>
      <w:rFonts w:ascii="Times New Roman" w:hAnsi="Times New Roman" w:eastAsia="宋体" w:cs="Times New Roman"/>
      <w:b/>
      <w:kern w:val="44"/>
      <w:sz w:val="36"/>
    </w:rPr>
  </w:style>
  <w:style w:type="paragraph" w:styleId="3">
    <w:name w:val="heading 2"/>
    <w:basedOn w:val="1"/>
    <w:next w:val="1"/>
    <w:unhideWhenUsed/>
    <w:qFormat/>
    <w:uiPriority w:val="0"/>
    <w:pPr>
      <w:keepNext/>
      <w:keepLines/>
      <w:autoSpaceDE w:val="0"/>
      <w:autoSpaceDN w:val="0"/>
      <w:spacing w:beforeLines="0" w:beforeAutospacing="0" w:afterLines="0" w:afterAutospacing="0" w:line="360" w:lineRule="auto"/>
      <w:ind w:firstLine="0" w:firstLineChars="0"/>
      <w:outlineLvl w:val="1"/>
    </w:pPr>
    <w:rPr>
      <w:rFonts w:ascii="Times New Roman" w:hAnsi="Times New Roman" w:eastAsia="宋体" w:cs="Times New Roman"/>
      <w:b/>
      <w:sz w:val="30"/>
      <w:szCs w:val="24"/>
    </w:rPr>
  </w:style>
  <w:style w:type="paragraph" w:styleId="4">
    <w:name w:val="heading 3"/>
    <w:basedOn w:val="1"/>
    <w:next w:val="1"/>
    <w:unhideWhenUsed/>
    <w:qFormat/>
    <w:uiPriority w:val="0"/>
    <w:pPr>
      <w:keepNext/>
      <w:keepLines/>
      <w:autoSpaceDE w:val="0"/>
      <w:autoSpaceDN w:val="0"/>
      <w:spacing w:beforeLines="0" w:beforeAutospacing="0" w:afterLines="0" w:afterAutospacing="0" w:line="360" w:lineRule="auto"/>
      <w:ind w:firstLine="0" w:firstLineChars="0"/>
      <w:outlineLvl w:val="2"/>
    </w:pPr>
    <w:rPr>
      <w:rFonts w:ascii="Times New Roman" w:hAnsi="Times New Roman" w:eastAsia="宋体"/>
      <w:b/>
      <w:sz w:val="24"/>
    </w:rPr>
  </w:style>
  <w:style w:type="paragraph" w:styleId="5">
    <w:name w:val="heading 4"/>
    <w:basedOn w:val="1"/>
    <w:next w:val="1"/>
    <w:semiHidden/>
    <w:unhideWhenUsed/>
    <w:qFormat/>
    <w:uiPriority w:val="0"/>
    <w:pPr>
      <w:keepNext/>
      <w:keepLines/>
      <w:spacing w:beforeLines="0" w:beforeAutospacing="0" w:afterLines="0" w:afterAutospacing="0" w:line="360" w:lineRule="auto"/>
      <w:ind w:firstLine="0" w:firstLineChars="0"/>
      <w:outlineLvl w:val="3"/>
    </w:pPr>
    <w:rPr>
      <w:rFonts w:ascii="Times New Roman" w:hAnsi="Times New Roman" w:eastAsia="宋体" w:cs="Times New Roman"/>
      <w:b/>
    </w:rPr>
  </w:style>
  <w:style w:type="character" w:default="1" w:styleId="31">
    <w:name w:val="Default Paragraph Font"/>
    <w:semiHidden/>
    <w:qFormat/>
    <w:uiPriority w:val="0"/>
  </w:style>
  <w:style w:type="table" w:default="1" w:styleId="29">
    <w:name w:val="Normal Table"/>
    <w:autoRedefine/>
    <w:semiHidden/>
    <w:qFormat/>
    <w:uiPriority w:val="0"/>
    <w:tblPr>
      <w:tblCellMar>
        <w:top w:w="0" w:type="dxa"/>
        <w:left w:w="108" w:type="dxa"/>
        <w:bottom w:w="0" w:type="dxa"/>
        <w:right w:w="108" w:type="dxa"/>
      </w:tblCellMar>
    </w:tblPr>
  </w:style>
  <w:style w:type="paragraph" w:styleId="6">
    <w:name w:val="Note Heading"/>
    <w:basedOn w:val="1"/>
    <w:next w:val="1"/>
    <w:qFormat/>
    <w:uiPriority w:val="0"/>
    <w:pPr>
      <w:jc w:val="center"/>
    </w:pPr>
  </w:style>
  <w:style w:type="paragraph" w:styleId="7">
    <w:name w:val="Normal Indent"/>
    <w:basedOn w:val="1"/>
    <w:next w:val="8"/>
    <w:qFormat/>
    <w:uiPriority w:val="0"/>
    <w:pPr>
      <w:ind w:firstLine="200" w:firstLineChars="200"/>
    </w:pPr>
    <w:rPr>
      <w:sz w:val="28"/>
      <w:szCs w:val="24"/>
    </w:rPr>
  </w:style>
  <w:style w:type="paragraph" w:styleId="8">
    <w:name w:val="Body Text First Indent 2"/>
    <w:basedOn w:val="9"/>
    <w:next w:val="1"/>
    <w:qFormat/>
    <w:uiPriority w:val="0"/>
    <w:pPr>
      <w:ind w:firstLine="420" w:firstLineChars="200"/>
    </w:pPr>
    <w:rPr>
      <w:kern w:val="2"/>
      <w:sz w:val="21"/>
      <w:szCs w:val="24"/>
    </w:rPr>
  </w:style>
  <w:style w:type="paragraph" w:styleId="9">
    <w:name w:val="Body Text Indent"/>
    <w:basedOn w:val="1"/>
    <w:next w:val="10"/>
    <w:qFormat/>
    <w:uiPriority w:val="0"/>
    <w:pPr>
      <w:spacing w:after="120"/>
      <w:ind w:left="420" w:leftChars="200"/>
    </w:pPr>
    <w:rPr>
      <w:kern w:val="0"/>
      <w:sz w:val="24"/>
      <w:szCs w:val="20"/>
    </w:rPr>
  </w:style>
  <w:style w:type="paragraph" w:styleId="10">
    <w:name w:val="Body Text Indent 2"/>
    <w:basedOn w:val="1"/>
    <w:next w:val="8"/>
    <w:qFormat/>
    <w:uiPriority w:val="0"/>
    <w:pPr>
      <w:spacing w:line="360" w:lineRule="auto"/>
      <w:ind w:firstLine="540"/>
    </w:pPr>
    <w:rPr>
      <w:sz w:val="24"/>
    </w:rPr>
  </w:style>
  <w:style w:type="paragraph" w:styleId="11">
    <w:name w:val="annotation text"/>
    <w:basedOn w:val="1"/>
    <w:semiHidden/>
    <w:qFormat/>
    <w:uiPriority w:val="0"/>
    <w:pPr>
      <w:jc w:val="left"/>
    </w:pPr>
    <w:rPr>
      <w:kern w:val="0"/>
      <w:sz w:val="24"/>
      <w:szCs w:val="20"/>
    </w:rPr>
  </w:style>
  <w:style w:type="paragraph" w:styleId="12">
    <w:name w:val="Closing"/>
    <w:basedOn w:val="1"/>
    <w:next w:val="13"/>
    <w:qFormat/>
    <w:uiPriority w:val="0"/>
    <w:pPr>
      <w:ind w:left="100" w:leftChars="2100"/>
    </w:pPr>
  </w:style>
  <w:style w:type="paragraph" w:customStyle="1" w:styleId="13">
    <w:name w:val="段落"/>
    <w:basedOn w:val="1"/>
    <w:next w:val="14"/>
    <w:qFormat/>
    <w:uiPriority w:val="0"/>
    <w:pPr>
      <w:tabs>
        <w:tab w:val="left" w:pos="1021"/>
      </w:tabs>
      <w:spacing w:line="300" w:lineRule="auto"/>
      <w:ind w:firstLine="560" w:firstLineChars="200"/>
    </w:pPr>
    <w:rPr>
      <w:rFonts w:ascii="宋体" w:hAnsi="宋体"/>
      <w:color w:val="FF0000"/>
      <w:kern w:val="24"/>
      <w:sz w:val="28"/>
      <w:szCs w:val="24"/>
    </w:rPr>
  </w:style>
  <w:style w:type="paragraph" w:customStyle="1" w:styleId="14">
    <w:name w:val="默认段落字体 Para Char"/>
    <w:basedOn w:val="1"/>
    <w:next w:val="15"/>
    <w:qFormat/>
    <w:uiPriority w:val="0"/>
    <w:pPr>
      <w:spacing w:line="400" w:lineRule="exact"/>
    </w:pPr>
    <w:rPr>
      <w:rFonts w:ascii="Tahoma" w:hAnsi="Tahoma"/>
      <w:sz w:val="24"/>
    </w:rPr>
  </w:style>
  <w:style w:type="paragraph" w:customStyle="1" w:styleId="15">
    <w:name w:val="样式 正文首行缩进 2 + 左侧:  2 字符 首行缩进:  2 字符 +"/>
    <w:basedOn w:val="1"/>
    <w:next w:val="16"/>
    <w:semiHidden/>
    <w:qFormat/>
    <w:uiPriority w:val="0"/>
    <w:pPr>
      <w:spacing w:before="156" w:beforeLines="50"/>
      <w:ind w:firstLine="561"/>
    </w:pPr>
    <w:rPr>
      <w:rFonts w:cs="宋体"/>
    </w:rPr>
  </w:style>
  <w:style w:type="paragraph" w:customStyle="1" w:styleId="16">
    <w:name w:val="正文 32"/>
    <w:basedOn w:val="1"/>
    <w:next w:val="17"/>
    <w:qFormat/>
    <w:uiPriority w:val="0"/>
    <w:pPr>
      <w:autoSpaceDE w:val="0"/>
      <w:autoSpaceDN w:val="0"/>
      <w:adjustRightInd w:val="0"/>
      <w:spacing w:line="300" w:lineRule="auto"/>
      <w:ind w:firstLine="567"/>
      <w:textAlignment w:val="baseline"/>
    </w:pPr>
    <w:rPr>
      <w:rFonts w:eastAsia="楷体_GB2312"/>
      <w:kern w:val="0"/>
      <w:sz w:val="24"/>
      <w:szCs w:val="22"/>
    </w:rPr>
  </w:style>
  <w:style w:type="paragraph" w:customStyle="1" w:styleId="17">
    <w:name w:val="xl30"/>
    <w:basedOn w:val="1"/>
    <w:next w:val="18"/>
    <w:qFormat/>
    <w:uiPriority w:val="0"/>
    <w:pPr>
      <w:widowControl/>
      <w:pBdr>
        <w:bottom w:val="single" w:color="auto" w:sz="4" w:space="0"/>
      </w:pBdr>
      <w:spacing w:before="156" w:beforeLines="50"/>
      <w:jc w:val="center"/>
      <w:textAlignment w:val="center"/>
    </w:pPr>
    <w:rPr>
      <w:rFonts w:eastAsia="Arial Unicode MS"/>
      <w:kern w:val="0"/>
    </w:rPr>
  </w:style>
  <w:style w:type="paragraph" w:styleId="18">
    <w:name w:val="annotation subject"/>
    <w:basedOn w:val="11"/>
    <w:next w:val="19"/>
    <w:qFormat/>
    <w:uiPriority w:val="0"/>
    <w:rPr>
      <w:b/>
      <w:sz w:val="24"/>
      <w:szCs w:val="20"/>
    </w:rPr>
  </w:style>
  <w:style w:type="paragraph" w:customStyle="1" w:styleId="19">
    <w:name w:val="样式 标题 1 + 黑色"/>
    <w:basedOn w:val="2"/>
    <w:next w:val="1"/>
    <w:qFormat/>
    <w:uiPriority w:val="0"/>
    <w:pPr>
      <w:keepNext w:val="0"/>
      <w:pageBreakBefore/>
      <w:widowControl/>
      <w:numPr>
        <w:ilvl w:val="0"/>
        <w:numId w:val="0"/>
      </w:numPr>
      <w:tabs>
        <w:tab w:val="left" w:pos="567"/>
        <w:tab w:val="left" w:pos="5652"/>
      </w:tabs>
      <w:spacing w:before="240" w:line="240" w:lineRule="auto"/>
      <w:ind w:left="431" w:hanging="431"/>
      <w:jc w:val="left"/>
    </w:pPr>
    <w:rPr>
      <w:snapToGrid/>
      <w:color w:val="000000"/>
      <w:kern w:val="32"/>
      <w:sz w:val="32"/>
      <w:szCs w:val="32"/>
    </w:rPr>
  </w:style>
  <w:style w:type="paragraph" w:styleId="20">
    <w:name w:val="Body Text"/>
    <w:basedOn w:val="1"/>
    <w:next w:val="6"/>
    <w:qFormat/>
    <w:uiPriority w:val="0"/>
    <w:pPr>
      <w:widowControl/>
      <w:snapToGrid w:val="0"/>
      <w:spacing w:before="60" w:after="160" w:line="259" w:lineRule="auto"/>
      <w:ind w:right="113"/>
    </w:pPr>
    <w:rPr>
      <w:kern w:val="0"/>
      <w:sz w:val="18"/>
      <w:szCs w:val="20"/>
    </w:rPr>
  </w:style>
  <w:style w:type="paragraph" w:styleId="21">
    <w:name w:val="Block Text"/>
    <w:basedOn w:val="1"/>
    <w:next w:val="1"/>
    <w:qFormat/>
    <w:uiPriority w:val="0"/>
    <w:pPr>
      <w:spacing w:line="480" w:lineRule="exact"/>
      <w:ind w:left="100" w:right="111" w:firstLine="556"/>
    </w:pPr>
    <w:rPr>
      <w:sz w:val="28"/>
      <w:szCs w:val="20"/>
    </w:rPr>
  </w:style>
  <w:style w:type="paragraph" w:styleId="22">
    <w:name w:val="Plain Text"/>
    <w:basedOn w:val="1"/>
    <w:qFormat/>
    <w:uiPriority w:val="0"/>
    <w:rPr>
      <w:rFonts w:ascii="宋体" w:hAnsi="Courier New"/>
    </w:rPr>
  </w:style>
  <w:style w:type="paragraph" w:styleId="23">
    <w:name w:val="List Bullet 5"/>
    <w:basedOn w:val="1"/>
    <w:qFormat/>
    <w:uiPriority w:val="0"/>
    <w:pPr>
      <w:numPr>
        <w:ilvl w:val="0"/>
        <w:numId w:val="1"/>
      </w:numPr>
    </w:pPr>
  </w:style>
  <w:style w:type="paragraph" w:styleId="24">
    <w:name w:val="footer"/>
    <w:basedOn w:val="1"/>
    <w:qFormat/>
    <w:uiPriority w:val="0"/>
    <w:pPr>
      <w:tabs>
        <w:tab w:val="center" w:pos="4153"/>
        <w:tab w:val="right" w:pos="8306"/>
      </w:tabs>
      <w:snapToGrid w:val="0"/>
      <w:jc w:val="left"/>
    </w:pPr>
    <w:rPr>
      <w:kern w:val="0"/>
      <w:sz w:val="18"/>
      <w:szCs w:val="20"/>
    </w:rPr>
  </w:style>
  <w:style w:type="paragraph" w:styleId="25">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26">
    <w:name w:val="List"/>
    <w:basedOn w:val="1"/>
    <w:qFormat/>
    <w:uiPriority w:val="0"/>
    <w:pPr>
      <w:ind w:left="200" w:hanging="200" w:hangingChars="200"/>
    </w:pPr>
  </w:style>
  <w:style w:type="paragraph" w:styleId="27">
    <w:name w:val="Normal (Web)"/>
    <w:basedOn w:val="1"/>
    <w:next w:val="1"/>
    <w:qFormat/>
    <w:uiPriority w:val="0"/>
    <w:pPr>
      <w:widowControl/>
      <w:spacing w:before="100" w:beforeAutospacing="1" w:after="100" w:afterAutospacing="1"/>
      <w:jc w:val="left"/>
    </w:pPr>
    <w:rPr>
      <w:rFonts w:ascii="宋体" w:hAnsi="宋体"/>
      <w:kern w:val="0"/>
      <w:sz w:val="24"/>
      <w:szCs w:val="20"/>
    </w:rPr>
  </w:style>
  <w:style w:type="paragraph" w:styleId="28">
    <w:name w:val="Body Text First Indent"/>
    <w:basedOn w:val="20"/>
    <w:next w:val="1"/>
    <w:qFormat/>
    <w:uiPriority w:val="0"/>
    <w:pPr>
      <w:widowControl w:val="0"/>
      <w:spacing w:before="0" w:after="120"/>
      <w:ind w:right="0" w:firstLine="420" w:firstLineChars="100"/>
    </w:pPr>
    <w:rPr>
      <w:rFonts w:ascii="Calibri" w:hAnsi="Calibri"/>
      <w:kern w:val="2"/>
      <w:sz w:val="21"/>
      <w:szCs w:val="24"/>
    </w:rPr>
  </w:style>
  <w:style w:type="table" w:styleId="30">
    <w:name w:val="Table Grid"/>
    <w:basedOn w:val="29"/>
    <w:qFormat/>
    <w:uiPriority w:val="0"/>
    <w:rPr>
      <w:lang w:val="en-US" w:eastAsia="zh-CN" w:bidi="ar-SA"/>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2">
    <w:name w:val="Hyperlink"/>
    <w:basedOn w:val="31"/>
    <w:qFormat/>
    <w:uiPriority w:val="0"/>
    <w:rPr>
      <w:color w:val="0000FF"/>
      <w:u w:val="single"/>
    </w:rPr>
  </w:style>
  <w:style w:type="character" w:styleId="33">
    <w:name w:val="annotation reference"/>
    <w:basedOn w:val="31"/>
    <w:qFormat/>
    <w:uiPriority w:val="0"/>
    <w:rPr>
      <w:rFonts w:ascii="Tahoma" w:hAnsi="Tahoma"/>
      <w:sz w:val="21"/>
    </w:rPr>
  </w:style>
  <w:style w:type="character" w:customStyle="1" w:styleId="34">
    <w:name w:val="标题 1 Char"/>
    <w:link w:val="2"/>
    <w:qFormat/>
    <w:uiPriority w:val="99"/>
    <w:rPr>
      <w:rFonts w:ascii="Times New Roman" w:hAnsi="Times New Roman" w:eastAsia="宋体" w:cs="Times New Roman"/>
      <w:b/>
      <w:kern w:val="44"/>
      <w:sz w:val="36"/>
    </w:rPr>
  </w:style>
  <w:style w:type="paragraph" w:customStyle="1" w:styleId="35">
    <w:name w:val="表头"/>
    <w:basedOn w:val="26"/>
    <w:next w:val="1"/>
    <w:link w:val="37"/>
    <w:qFormat/>
    <w:uiPriority w:val="0"/>
    <w:pPr>
      <w:snapToGrid w:val="0"/>
      <w:spacing w:line="360" w:lineRule="auto"/>
      <w:ind w:left="0" w:firstLine="0" w:firstLineChars="0"/>
      <w:jc w:val="center"/>
    </w:pPr>
    <w:rPr>
      <w:rFonts w:ascii="Times New Roman" w:hAnsi="Times New Roman" w:eastAsia="宋体" w:cs="宋体"/>
      <w:b/>
      <w:snapToGrid w:val="0"/>
      <w:color w:val="000000"/>
      <w:spacing w:val="6"/>
      <w:kern w:val="10"/>
      <w:sz w:val="24"/>
      <w:szCs w:val="20"/>
    </w:rPr>
  </w:style>
  <w:style w:type="paragraph" w:customStyle="1" w:styleId="36">
    <w:name w:val="表格"/>
    <w:basedOn w:val="35"/>
    <w:next w:val="1"/>
    <w:qFormat/>
    <w:uiPriority w:val="0"/>
    <w:pPr>
      <w:adjustRightInd w:val="0"/>
      <w:snapToGrid w:val="0"/>
      <w:spacing w:line="240" w:lineRule="auto"/>
      <w:ind w:firstLine="0"/>
      <w:jc w:val="center"/>
    </w:pPr>
    <w:rPr>
      <w:rFonts w:ascii="Times New Roman" w:hAnsi="Times New Roman"/>
      <w:kern w:val="0"/>
      <w:sz w:val="21"/>
      <w:szCs w:val="20"/>
    </w:rPr>
  </w:style>
  <w:style w:type="character" w:customStyle="1" w:styleId="37">
    <w:name w:val="表头 Char"/>
    <w:link w:val="35"/>
    <w:qFormat/>
    <w:uiPriority w:val="0"/>
    <w:rPr>
      <w:rFonts w:ascii="Times New Roman" w:hAnsi="Times New Roman" w:eastAsia="宋体" w:cs="宋体"/>
      <w:b/>
      <w:snapToGrid w:val="0"/>
      <w:color w:val="000000"/>
      <w:spacing w:val="6"/>
      <w:kern w:val="10"/>
      <w:sz w:val="24"/>
      <w:szCs w:val="20"/>
      <w:lang w:val="en-US" w:eastAsia="zh-CN" w:bidi="ar-SA"/>
    </w:rPr>
  </w:style>
  <w:style w:type="paragraph" w:customStyle="1" w:styleId="38">
    <w:name w:val="xl27"/>
    <w:basedOn w:val="1"/>
    <w:next w:val="39"/>
    <w:qFormat/>
    <w:uiPriority w:val="0"/>
    <w:pPr>
      <w:widowControl/>
      <w:spacing w:before="100" w:beforeAutospacing="1" w:after="100" w:afterAutospacing="1"/>
      <w:jc w:val="left"/>
    </w:pPr>
    <w:rPr>
      <w:color w:val="FF0000"/>
      <w:kern w:val="0"/>
    </w:rPr>
  </w:style>
  <w:style w:type="paragraph" w:customStyle="1" w:styleId="39">
    <w:name w:val=" Char Char1 Char Char"/>
    <w:basedOn w:val="1"/>
    <w:next w:val="40"/>
    <w:qFormat/>
    <w:uiPriority w:val="0"/>
    <w:pPr>
      <w:widowControl w:val="0"/>
      <w:autoSpaceDE/>
      <w:autoSpaceDN/>
      <w:spacing w:before="0" w:after="0" w:line="240" w:lineRule="auto"/>
      <w:ind w:left="0" w:firstLine="0"/>
      <w:jc w:val="both"/>
    </w:pPr>
    <w:rPr>
      <w:rFonts w:ascii="Times New Roman" w:eastAsia="宋体"/>
      <w:sz w:val="24"/>
    </w:rPr>
  </w:style>
  <w:style w:type="paragraph" w:customStyle="1" w:styleId="40">
    <w:name w:val="xl42"/>
    <w:basedOn w:val="1"/>
    <w:next w:val="12"/>
    <w:qFormat/>
    <w:uiPriority w:val="0"/>
    <w:pPr>
      <w:widowControl/>
      <w:pBdr>
        <w:top w:val="single" w:color="auto" w:sz="4" w:space="0"/>
        <w:left w:val="single" w:color="auto" w:sz="4" w:space="0"/>
        <w:right w:val="single" w:color="auto" w:sz="4" w:space="0"/>
      </w:pBdr>
      <w:spacing w:before="100" w:beforeAutospacing="1" w:after="100" w:afterAutospacing="1"/>
      <w:jc w:val="center"/>
      <w:textAlignment w:val="center"/>
    </w:pPr>
    <w:rPr>
      <w:rFonts w:eastAsia="Arial Unicode MS"/>
      <w:kern w:val="0"/>
    </w:rPr>
  </w:style>
  <w:style w:type="paragraph" w:customStyle="1" w:styleId="41">
    <w:name w:val="p19"/>
    <w:basedOn w:val="1"/>
    <w:qFormat/>
    <w:uiPriority w:val="0"/>
    <w:pPr>
      <w:widowControl/>
      <w:spacing w:before="50" w:line="360" w:lineRule="auto"/>
      <w:ind w:firstLine="482"/>
    </w:pPr>
    <w:rPr>
      <w:kern w:val="0"/>
      <w:sz w:val="24"/>
      <w:szCs w:val="24"/>
    </w:rPr>
  </w:style>
  <w:style w:type="paragraph" w:customStyle="1" w:styleId="42">
    <w:name w:val="小标题"/>
    <w:basedOn w:val="1"/>
    <w:qFormat/>
    <w:uiPriority w:val="0"/>
    <w:pPr>
      <w:adjustRightInd w:val="0"/>
      <w:spacing w:beforeLines="50" w:after="48"/>
      <w:ind w:firstLine="480" w:firstLineChars="200"/>
      <w:textAlignment w:val="baseline"/>
    </w:pPr>
    <w:rPr>
      <w:rFonts w:ascii="宋体"/>
      <w:b/>
      <w:bCs/>
      <w:color w:val="000000"/>
      <w:kern w:val="0"/>
      <w:sz w:val="24"/>
      <w:u w:val="single"/>
    </w:rPr>
  </w:style>
  <w:style w:type="paragraph" w:customStyle="1" w:styleId="43">
    <w:name w:val="报告表  段"/>
    <w:basedOn w:val="1"/>
    <w:qFormat/>
    <w:uiPriority w:val="0"/>
    <w:pPr>
      <w:adjustRightInd w:val="0"/>
      <w:spacing w:line="360" w:lineRule="auto"/>
      <w:ind w:firstLine="505"/>
      <w:textAlignment w:val="baseline"/>
    </w:pPr>
    <w:rPr>
      <w:rFonts w:ascii="宋体"/>
      <w:kern w:val="0"/>
      <w:sz w:val="24"/>
    </w:rPr>
  </w:style>
  <w:style w:type="character" w:customStyle="1" w:styleId="44">
    <w:name w:val="MSG_EN_FONT_STYLE_NAME_TEMPLATE_ROLE_NUMBER MSG_EN_FONT_STYLE_NAME_BY_ROLE_TEXT 9 + MSG_EN_FONT_STYLE_MODIFER_SIZE 10.5"/>
    <w:qFormat/>
    <w:uiPriority w:val="0"/>
    <w:rPr>
      <w:rFonts w:hint="eastAsia" w:ascii="PMingLiU" w:hAnsi="PMingLiU" w:eastAsia="PMingLiU" w:cs="PMingLiU"/>
      <w:color w:val="000000"/>
      <w:spacing w:val="0"/>
      <w:w w:val="100"/>
      <w:position w:val="0"/>
      <w:sz w:val="21"/>
      <w:szCs w:val="21"/>
      <w:u w:val="none"/>
      <w:lang w:val="zh-CN" w:eastAsia="zh-CN" w:bidi="zh-CN"/>
    </w:rPr>
  </w:style>
  <w:style w:type="paragraph" w:customStyle="1" w:styleId="45">
    <w:name w:val="Table Text"/>
    <w:basedOn w:val="1"/>
    <w:semiHidden/>
    <w:qFormat/>
    <w:uiPriority w:val="0"/>
    <w:rPr>
      <w:rFonts w:ascii="宋体" w:hAnsi="宋体" w:eastAsia="宋体" w:cs="宋体"/>
      <w:sz w:val="21"/>
      <w:szCs w:val="21"/>
      <w:lang w:val="en-US" w:eastAsia="en-US" w:bidi="ar-SA"/>
    </w:rPr>
  </w:style>
  <w:style w:type="paragraph" w:customStyle="1" w:styleId="46">
    <w:name w:val="表内 定"/>
    <w:basedOn w:val="1"/>
    <w:qFormat/>
    <w:uiPriority w:val="0"/>
    <w:rPr>
      <w:rFonts w:ascii="Calibri" w:hAnsi="Calibri"/>
      <w:color w:val="000000"/>
    </w:rPr>
  </w:style>
  <w:style w:type="paragraph" w:customStyle="1" w:styleId="47">
    <w:name w:val="Default"/>
    <w:basedOn w:val="48"/>
    <w:next w:val="1"/>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48">
    <w:name w:val="纯文本1"/>
    <w:basedOn w:val="1"/>
    <w:qFormat/>
    <w:uiPriority w:val="0"/>
    <w:pPr>
      <w:adjustRightInd w:val="0"/>
    </w:pPr>
    <w:rPr>
      <w:rFonts w:ascii="宋体" w:hAnsi="Courier New"/>
      <w:szCs w:val="20"/>
    </w:rPr>
  </w:style>
  <w:style w:type="paragraph" w:customStyle="1" w:styleId="49">
    <w:name w:val="德正表格"/>
    <w:basedOn w:val="1"/>
    <w:qFormat/>
    <w:uiPriority w:val="0"/>
    <w:pPr>
      <w:adjustRightInd w:val="0"/>
      <w:snapToGrid w:val="0"/>
      <w:spacing w:line="240" w:lineRule="auto"/>
      <w:ind w:firstLine="0" w:firstLineChars="0"/>
      <w:jc w:val="center"/>
    </w:pPr>
    <w:rPr>
      <w:rFonts w:hint="default" w:ascii="Times New Roman" w:hAnsi="Times New Roman" w:eastAsia="宋体"/>
      <w:sz w:val="21"/>
    </w:rPr>
  </w:style>
  <w:style w:type="paragraph" w:customStyle="1" w:styleId="50">
    <w:name w:val="B正文"/>
    <w:basedOn w:val="1"/>
    <w:qFormat/>
    <w:uiPriority w:val="0"/>
    <w:pPr>
      <w:spacing w:line="360" w:lineRule="auto"/>
      <w:ind w:firstLine="200" w:firstLineChars="200"/>
    </w:pPr>
    <w:rPr>
      <w:rFonts w:ascii="Times New Roman" w:hAnsi="Times New Roman" w:eastAsia="宋体" w:cs="Times New Roman"/>
      <w:kern w:val="0"/>
      <w:sz w:val="24"/>
      <w:szCs w:val="24"/>
    </w:rPr>
  </w:style>
  <w:style w:type="paragraph" w:customStyle="1" w:styleId="51">
    <w:name w:val="表格 32"/>
    <w:basedOn w:val="1"/>
    <w:qFormat/>
    <w:uiPriority w:val="0"/>
    <w:pPr>
      <w:autoSpaceDE w:val="0"/>
      <w:autoSpaceDN w:val="0"/>
      <w:adjustRightInd w:val="0"/>
      <w:jc w:val="center"/>
      <w:textAlignment w:val="baseline"/>
    </w:pPr>
    <w:rPr>
      <w:rFonts w:ascii="宋体" w:hAnsi="Impact" w:eastAsia="宋体" w:cs="Times New Roman"/>
      <w:kern w:val="24"/>
      <w:sz w:val="24"/>
      <w:szCs w:val="20"/>
    </w:rPr>
  </w:style>
  <w:style w:type="paragraph" w:styleId="52">
    <w:name w:val="No Spacing"/>
    <w:basedOn w:val="53"/>
    <w:qFormat/>
    <w:uiPriority w:val="1"/>
    <w:pPr>
      <w:spacing w:line="300" w:lineRule="exact"/>
      <w:jc w:val="center"/>
    </w:pPr>
    <w:rPr>
      <w:szCs w:val="21"/>
    </w:rPr>
  </w:style>
  <w:style w:type="paragraph" w:customStyle="1" w:styleId="53">
    <w:name w:val="无间隔1"/>
    <w:qFormat/>
    <w:uiPriority w:val="1"/>
    <w:pPr>
      <w:widowControl w:val="0"/>
      <w:jc w:val="center"/>
    </w:pPr>
    <w:rPr>
      <w:rFonts w:ascii="Times New Roman" w:hAnsi="Times New Roman" w:eastAsia="宋体" w:cs="Times New Roman"/>
      <w:kern w:val="2"/>
      <w:sz w:val="21"/>
      <w:szCs w:val="22"/>
      <w:lang w:val="en-US" w:eastAsia="zh-CN" w:bidi="ar-SA"/>
    </w:rPr>
  </w:style>
  <w:style w:type="character" w:customStyle="1" w:styleId="54">
    <w:name w:val="font5155501"/>
    <w:qFormat/>
    <w:uiPriority w:val="0"/>
    <w:rPr>
      <w:rFonts w:hint="default" w:ascii="Times New Roman" w:hAnsi="Times New Roman" w:cs="Times New Roman"/>
      <w:color w:val="000000"/>
      <w:sz w:val="22"/>
      <w:szCs w:val="22"/>
      <w:u w:val="none"/>
    </w:rPr>
  </w:style>
  <w:style w:type="character" w:customStyle="1" w:styleId="55">
    <w:name w:val="font51"/>
    <w:qFormat/>
    <w:uiPriority w:val="0"/>
    <w:rPr>
      <w:rFonts w:hint="default" w:ascii="Times New Roman" w:hAnsi="Times New Roman" w:cs="Times New Roman"/>
      <w:color w:val="000000"/>
      <w:sz w:val="22"/>
      <w:szCs w:val="22"/>
      <w:u w:val="none"/>
      <w:vertAlign w:val="superscript"/>
    </w:rPr>
  </w:style>
  <w:style w:type="paragraph" w:customStyle="1" w:styleId="56">
    <w:name w:val="_Style 2"/>
    <w:qFormat/>
    <w:uiPriority w:val="1"/>
    <w:pPr>
      <w:widowControl w:val="0"/>
      <w:jc w:val="center"/>
    </w:pPr>
    <w:rPr>
      <w:rFonts w:ascii="Times New Roman" w:hAnsi="Times New Roman" w:eastAsia="宋体" w:cs="Times New Roman"/>
      <w:kern w:val="2"/>
      <w:sz w:val="21"/>
      <w:szCs w:val="22"/>
      <w:lang w:val="en-US" w:eastAsia="zh-CN" w:bidi="ar-SA"/>
    </w:rPr>
  </w:style>
  <w:style w:type="paragraph" w:customStyle="1" w:styleId="57">
    <w:name w:val="纯文本4"/>
    <w:basedOn w:val="1"/>
    <w:qFormat/>
    <w:uiPriority w:val="0"/>
    <w:pPr>
      <w:adjustRightInd w:val="0"/>
      <w:jc w:val="left"/>
    </w:pPr>
    <w:rPr>
      <w:rFonts w:ascii="宋体" w:hAnsi="Courier New"/>
      <w:sz w:val="24"/>
    </w:rPr>
  </w:style>
  <w:style w:type="paragraph" w:customStyle="1" w:styleId="58">
    <w:name w:val="文章正文"/>
    <w:basedOn w:val="59"/>
    <w:autoRedefine/>
    <w:qFormat/>
    <w:uiPriority w:val="0"/>
    <w:pPr>
      <w:autoSpaceDE w:val="0"/>
      <w:autoSpaceDN w:val="0"/>
      <w:spacing w:line="360" w:lineRule="auto"/>
      <w:ind w:firstLine="720" w:firstLineChars="200"/>
      <w:jc w:val="left"/>
    </w:pPr>
    <w:rPr>
      <w:kern w:val="0"/>
      <w:sz w:val="24"/>
    </w:rPr>
  </w:style>
  <w:style w:type="paragraph" w:customStyle="1" w:styleId="59">
    <w:name w:val="文章表格"/>
    <w:basedOn w:val="1"/>
    <w:autoRedefine/>
    <w:qFormat/>
    <w:uiPriority w:val="0"/>
    <w:pPr>
      <w:adjustRightInd w:val="0"/>
      <w:snapToGrid w:val="0"/>
      <w:jc w:val="center"/>
    </w:pPr>
    <w:rPr>
      <w:rFonts w:ascii="Times New Roman" w:hAnsi="Times New Roman" w:eastAsia="宋体" w:cs="Times New Roman"/>
      <w:szCs w:val="21"/>
    </w:rPr>
  </w:style>
  <w:style w:type="paragraph" w:customStyle="1" w:styleId="60">
    <w:name w:val="B表头"/>
    <w:basedOn w:val="1"/>
    <w:qFormat/>
    <w:uiPriority w:val="0"/>
    <w:pPr>
      <w:spacing w:before="50" w:beforeLines="50"/>
      <w:jc w:val="center"/>
    </w:pPr>
    <w:rPr>
      <w:rFonts w:ascii="Times New Roman" w:hAnsi="Times New Roman" w:eastAsia="宋体" w:cs="Times New Roman"/>
      <w:b/>
      <w:kern w:val="0"/>
      <w:sz w:val="24"/>
      <w:szCs w:val="24"/>
    </w:rPr>
  </w:style>
  <w:style w:type="paragraph" w:customStyle="1" w:styleId="61">
    <w:name w:val="B表内"/>
    <w:basedOn w:val="50"/>
    <w:qFormat/>
    <w:uiPriority w:val="0"/>
    <w:pPr>
      <w:wordWrap w:val="0"/>
      <w:spacing w:line="240" w:lineRule="auto"/>
      <w:ind w:firstLine="0" w:firstLineChars="0"/>
      <w:jc w:val="center"/>
      <w:textAlignment w:val="center"/>
    </w:pPr>
    <w:rPr>
      <w:rFonts w:cs="宋体"/>
      <w:sz w:val="21"/>
      <w:szCs w:val="20"/>
    </w:rPr>
  </w:style>
  <w:style w:type="table" w:customStyle="1" w:styleId="62">
    <w:name w:val="表格标准格式"/>
    <w:basedOn w:val="29"/>
    <w:qFormat/>
    <w:uiPriority w:val="99"/>
    <w:pPr>
      <w:jc w:val="center"/>
    </w:pPr>
    <w:rPr>
      <w:rFonts w:ascii="Times New Roman" w:hAnsi="Times New Roman" w:eastAsia="宋体"/>
    </w:rPr>
    <w:tblPr>
      <w:tblBorders>
        <w:top w:val="single" w:color="auto" w:sz="12" w:space="0"/>
        <w:bottom w:val="single" w:color="auto" w:sz="12" w:space="0"/>
        <w:insideH w:val="single" w:color="auto" w:sz="6" w:space="0"/>
        <w:insideV w:val="single" w:color="auto" w:sz="6" w:space="0"/>
      </w:tblBorders>
    </w:tblPr>
    <w:tcPr>
      <w:vAlign w:val="center"/>
    </w:tcPr>
  </w:style>
  <w:style w:type="paragraph" w:customStyle="1" w:styleId="63">
    <w:name w:val="中文报告书样式"/>
    <w:qFormat/>
    <w:uiPriority w:val="0"/>
    <w:pPr>
      <w:widowControl w:val="0"/>
      <w:adjustRightInd w:val="0"/>
      <w:spacing w:line="480" w:lineRule="atLeast"/>
      <w:ind w:firstLine="482"/>
      <w:jc w:val="both"/>
      <w:textAlignment w:val="baseline"/>
    </w:pPr>
    <w:rPr>
      <w:rFonts w:ascii="Times New Roman" w:hAnsi="Times New Roman" w:eastAsia="宋体" w:cs="Times New Roman"/>
      <w:kern w:val="24"/>
      <w:sz w:val="24"/>
      <w:lang w:val="en-US" w:eastAsia="zh-CN" w:bidi="ar-SA"/>
    </w:rPr>
  </w:style>
  <w:style w:type="paragraph" w:customStyle="1" w:styleId="64">
    <w:name w:val="无间隔3"/>
    <w:next w:val="1"/>
    <w:qFormat/>
    <w:uiPriority w:val="1"/>
    <w:pPr>
      <w:widowControl w:val="0"/>
      <w:jc w:val="center"/>
    </w:pPr>
    <w:rPr>
      <w:rFonts w:ascii="Times New Roman" w:hAnsi="Times New Roman" w:eastAsia="宋体" w:cs="Times New Roman"/>
      <w:kern w:val="2"/>
      <w:sz w:val="21"/>
      <w:szCs w:val="22"/>
      <w:lang w:val="en-US" w:eastAsia="zh-CN" w:bidi="ar-SA"/>
    </w:rPr>
  </w:style>
  <w:style w:type="paragraph" w:customStyle="1" w:styleId="65">
    <w:name w:val="正文_8"/>
    <w:qFormat/>
    <w:uiPriority w:val="0"/>
    <w:pPr>
      <w:widowControl w:val="0"/>
      <w:jc w:val="both"/>
    </w:pPr>
    <w:rPr>
      <w:rFonts w:ascii="Calibri" w:hAnsi="Calibri" w:eastAsia="宋体" w:cs="Times New Roman"/>
      <w:kern w:val="2"/>
      <w:sz w:val="21"/>
      <w:lang w:val="en-US" w:eastAsia="zh-CN" w:bidi="ar-SA"/>
    </w:rPr>
  </w:style>
  <w:style w:type="table" w:customStyle="1" w:styleId="66">
    <w:name w:val="Table Normal"/>
    <w:unhideWhenUsed/>
    <w:qFormat/>
    <w:uiPriority w:val="0"/>
    <w:tblPr>
      <w:tblCellMar>
        <w:top w:w="0" w:type="dxa"/>
        <w:left w:w="0" w:type="dxa"/>
        <w:bottom w:w="0" w:type="dxa"/>
        <w:right w:w="0" w:type="dxa"/>
      </w:tblCellMar>
    </w:tblPr>
  </w:style>
  <w:style w:type="paragraph" w:styleId="67">
    <w:name w:val="List Paragraph"/>
    <w:basedOn w:val="1"/>
    <w:qFormat/>
    <w:uiPriority w:val="34"/>
    <w:pPr>
      <w:ind w:firstLine="420" w:firstLineChars="200"/>
    </w:pPr>
    <w:rPr>
      <w:lang w:val="en-GB" w:eastAsia="zh-TW"/>
    </w:rPr>
  </w:style>
</w:styles>
</file>

<file path=word/_rels/document.xml.rels><?xml version="1.0" encoding="UTF-8" standalone="yes"?>
<Relationships xmlns="http://schemas.openxmlformats.org/package/2006/relationships"><Relationship Id="rId9" Type="http://schemas.openxmlformats.org/officeDocument/2006/relationships/image" Target="media/image1.png"/><Relationship Id="rId8" Type="http://schemas.openxmlformats.org/officeDocument/2006/relationships/theme" Target="theme/theme1.xml"/><Relationship Id="rId7" Type="http://schemas.openxmlformats.org/officeDocument/2006/relationships/footer" Target="footer4.xml"/><Relationship Id="rId6" Type="http://schemas.openxmlformats.org/officeDocument/2006/relationships/footer" Target="footer3.xml"/><Relationship Id="rId57" Type="http://schemas.openxmlformats.org/officeDocument/2006/relationships/fontTable" Target="fontTable.xml"/><Relationship Id="rId56" Type="http://schemas.openxmlformats.org/officeDocument/2006/relationships/numbering" Target="numbering.xml"/><Relationship Id="rId55" Type="http://schemas.openxmlformats.org/officeDocument/2006/relationships/customXml" Target="../customXml/item1.xml"/><Relationship Id="rId54" Type="http://schemas.openxmlformats.org/officeDocument/2006/relationships/image" Target="media/image39.jpeg"/><Relationship Id="rId53" Type="http://schemas.openxmlformats.org/officeDocument/2006/relationships/image" Target="media/image38.jpeg"/><Relationship Id="rId52" Type="http://schemas.openxmlformats.org/officeDocument/2006/relationships/image" Target="media/image37.jpeg"/><Relationship Id="rId51" Type="http://schemas.openxmlformats.org/officeDocument/2006/relationships/image" Target="media/image36.jpeg"/><Relationship Id="rId50" Type="http://schemas.openxmlformats.org/officeDocument/2006/relationships/image" Target="media/image35.png"/><Relationship Id="rId5" Type="http://schemas.openxmlformats.org/officeDocument/2006/relationships/footer" Target="footer2.xml"/><Relationship Id="rId49" Type="http://schemas.openxmlformats.org/officeDocument/2006/relationships/image" Target="media/image34.png"/><Relationship Id="rId48" Type="http://schemas.openxmlformats.org/officeDocument/2006/relationships/image" Target="media/image33.png"/><Relationship Id="rId47" Type="http://schemas.openxmlformats.org/officeDocument/2006/relationships/image" Target="media/image32.png"/><Relationship Id="rId46" Type="http://schemas.openxmlformats.org/officeDocument/2006/relationships/image" Target="media/image31.png"/><Relationship Id="rId45" Type="http://schemas.openxmlformats.org/officeDocument/2006/relationships/image" Target="media/image30.jpeg"/><Relationship Id="rId44" Type="http://schemas.openxmlformats.org/officeDocument/2006/relationships/image" Target="media/image29.png"/><Relationship Id="rId43" Type="http://schemas.openxmlformats.org/officeDocument/2006/relationships/image" Target="media/image28.jpeg"/><Relationship Id="rId42" Type="http://schemas.openxmlformats.org/officeDocument/2006/relationships/image" Target="media/image27.jpeg"/><Relationship Id="rId41" Type="http://schemas.openxmlformats.org/officeDocument/2006/relationships/image" Target="media/image26.jpeg"/><Relationship Id="rId40" Type="http://schemas.openxmlformats.org/officeDocument/2006/relationships/image" Target="media/image25.jpeg"/><Relationship Id="rId4" Type="http://schemas.openxmlformats.org/officeDocument/2006/relationships/footer" Target="footer1.xml"/><Relationship Id="rId39" Type="http://schemas.openxmlformats.org/officeDocument/2006/relationships/image" Target="media/image24.jpeg"/><Relationship Id="rId38" Type="http://schemas.openxmlformats.org/officeDocument/2006/relationships/image" Target="media/image23.jpeg"/><Relationship Id="rId37" Type="http://schemas.openxmlformats.org/officeDocument/2006/relationships/image" Target="media/image22.png"/><Relationship Id="rId36" Type="http://schemas.openxmlformats.org/officeDocument/2006/relationships/image" Target="media/image21.png"/><Relationship Id="rId35" Type="http://schemas.openxmlformats.org/officeDocument/2006/relationships/image" Target="media/image20.png"/><Relationship Id="rId34" Type="http://schemas.openxmlformats.org/officeDocument/2006/relationships/image" Target="media/image19.png"/><Relationship Id="rId33" Type="http://schemas.openxmlformats.org/officeDocument/2006/relationships/image" Target="media/image18.png"/><Relationship Id="rId32" Type="http://schemas.openxmlformats.org/officeDocument/2006/relationships/image" Target="media/image17.jpeg"/><Relationship Id="rId31" Type="http://schemas.openxmlformats.org/officeDocument/2006/relationships/image" Target="media/image16.png"/><Relationship Id="rId30" Type="http://schemas.openxmlformats.org/officeDocument/2006/relationships/image" Target="media/image15.png"/><Relationship Id="rId3" Type="http://schemas.openxmlformats.org/officeDocument/2006/relationships/header" Target="header1.xml"/><Relationship Id="rId29" Type="http://schemas.openxmlformats.org/officeDocument/2006/relationships/image" Target="media/image14.png"/><Relationship Id="rId28" Type="http://schemas.openxmlformats.org/officeDocument/2006/relationships/image" Target="media/image13.png"/><Relationship Id="rId27" Type="http://schemas.openxmlformats.org/officeDocument/2006/relationships/image" Target="media/image12.png"/><Relationship Id="rId26" Type="http://schemas.openxmlformats.org/officeDocument/2006/relationships/image" Target="media/image11.png"/><Relationship Id="rId25" Type="http://schemas.openxmlformats.org/officeDocument/2006/relationships/image" Target="media/image10.wmf"/><Relationship Id="rId24" Type="http://schemas.openxmlformats.org/officeDocument/2006/relationships/oleObject" Target="embeddings/oleObject7.bin"/><Relationship Id="rId23" Type="http://schemas.openxmlformats.org/officeDocument/2006/relationships/oleObject" Target="embeddings/oleObject6.bin"/><Relationship Id="rId22" Type="http://schemas.openxmlformats.org/officeDocument/2006/relationships/image" Target="media/image9.wmf"/><Relationship Id="rId21" Type="http://schemas.openxmlformats.org/officeDocument/2006/relationships/oleObject" Target="embeddings/oleObject5.bin"/><Relationship Id="rId20" Type="http://schemas.openxmlformats.org/officeDocument/2006/relationships/image" Target="media/image8.wmf"/><Relationship Id="rId2" Type="http://schemas.openxmlformats.org/officeDocument/2006/relationships/settings" Target="settings.xml"/><Relationship Id="rId19" Type="http://schemas.openxmlformats.org/officeDocument/2006/relationships/oleObject" Target="embeddings/oleObject4.bin"/><Relationship Id="rId18" Type="http://schemas.openxmlformats.org/officeDocument/2006/relationships/image" Target="media/image7.wmf"/><Relationship Id="rId17" Type="http://schemas.openxmlformats.org/officeDocument/2006/relationships/oleObject" Target="embeddings/oleObject3.bin"/><Relationship Id="rId16" Type="http://schemas.openxmlformats.org/officeDocument/2006/relationships/oleObject" Target="embeddings/oleObject2.bin"/><Relationship Id="rId15" Type="http://schemas.openxmlformats.org/officeDocument/2006/relationships/image" Target="media/image6.wmf"/><Relationship Id="rId14" Type="http://schemas.openxmlformats.org/officeDocument/2006/relationships/oleObject" Target="embeddings/oleObject1.bin"/><Relationship Id="rId13" Type="http://schemas.openxmlformats.org/officeDocument/2006/relationships/image" Target="media/image5.png"/><Relationship Id="rId12" Type="http://schemas.openxmlformats.org/officeDocument/2006/relationships/image" Target="media/image4.png"/><Relationship Id="rId11" Type="http://schemas.openxmlformats.org/officeDocument/2006/relationships/image" Target="media/image3.png"/><Relationship Id="rId10" Type="http://schemas.openxmlformats.org/officeDocument/2006/relationships/image" Target="media/image2.pn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112</Pages>
  <Words>14741</Words>
  <Characters>15648</Characters>
  <Lines>0</Lines>
  <Paragraphs>0</Paragraphs>
  <TotalTime>4</TotalTime>
  <ScaleCrop>false</ScaleCrop>
  <LinksUpToDate>false</LinksUpToDate>
  <CharactersWithSpaces>15717</CharactersWithSpaces>
  <Application>WPS Office_12.1.0.24034_F1E327BC-269C-435d-A152-05C5408002CA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2024-05-08T00:33:00Z</dcterms:created>
  <dc:creator>Administrator</dc:creator>
  <cp:lastModifiedBy>XIV</cp:lastModifiedBy>
  <dcterms:modified xsi:type="dcterms:W3CDTF">2026-01-05T07:16:07Z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2052-12.1.0.24034</vt:lpwstr>
  </property>
  <property fmtid="{D5CDD505-2E9C-101B-9397-08002B2CF9AE}" pid="3" name="ICV">
    <vt:lpwstr>13AA74516B5E415CBA34A25DCB912229_12</vt:lpwstr>
  </property>
  <property fmtid="{D5CDD505-2E9C-101B-9397-08002B2CF9AE}" pid="4" name="KSOTemplateDocerSaveRecord">
    <vt:lpwstr>eyJoZGlkIjoiYjc1NWUxMDI4NjA2MzE1OGM2ZWIzMmZjMDJjOTlmZDIiLCJ1c2VySWQiOiIyNDAwNzMwMzcifQ==</vt:lpwstr>
  </property>
</Properties>
</file>