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关于《方城县人民政府关于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方城县招商引资政策文件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清理结果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风险评估报告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评估事由：为确保县政府办公室拟发布的《方城县人民政府关于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方城县招商引资政策文件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（以下简称《通知》）内容合法合规、程序正当、目标明确、要求具体，能够有效指导并顺利推动全县行政规范性文件（以下简称规范性文件）清理工作，防范潜在的法律、执行和社会风险，特进行本风险评估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一、总体评价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本报告对方城县人民政府于2025年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月发布的《通知》进行了系统性风险评估。此次清理集中废止了九项跨度自2014年至2023年的招商引资相关政策文件，是落实省级规范招商引资要求、响应全省“一盘棋”招商新机制的关键举措。评估认为，风险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总体</w:t>
      </w:r>
      <w:r>
        <w:rPr>
          <w:rFonts w:hint="eastAsia" w:ascii="仿宋_GB2312" w:hAnsi="仿宋_GB2312" w:eastAsia="仿宋_GB2312" w:cs="仿宋_GB2312"/>
          <w:sz w:val="32"/>
          <w:szCs w:val="32"/>
        </w:rPr>
        <w:t>可控。为确保政策平稳过渡，实现“破旧”与“立新”的有效衔接，本报告提出了具体的风险应对与政策优化建议。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二、主要风险点评估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1.企业既有权益保障风险：</w:t>
      </w:r>
      <w:r>
        <w:rPr>
          <w:rFonts w:hint="eastAsia" w:ascii="仿宋_GB2312" w:hAnsi="仿宋_GB2312" w:eastAsia="仿宋_GB2312" w:cs="仿宋_GB2312"/>
          <w:sz w:val="32"/>
          <w:szCs w:val="32"/>
        </w:rPr>
        <w:t>已依据旧政策享受奖励、补贴或签订合同的企业，其合法权益如何过渡与保障。清理通知未明确新旧政策衔接的具体过渡办法和追溯原则。若处理不当，可能引发企业投诉、行政复议甚至行政诉讼，损害政府公信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：立即启动“权益保障专项核查”，制定并公布清晰的《企业既有权益保障与过渡方案》。具体而言，由县政府牵头，组织发改、财政、司法、招商等部门成立联合工作组，对依据已废止文件签约、正在享受政策或已获批复但未兑现的全部项目进行“拉网式”排查、登记造册。方案需明确区分不同情形（如已履约完毕、正在履约、已批复未启动等），并采用“尊重历史、分类处置、平稳过渡”原则，对合法合规合同赋予“老项目、老办法”的保障承诺，通过签订补充协议或出具行政确认书等形式固化企业预期，坚决杜绝“新官不理旧账”。此举能有效防范法律诉讼，稳固政府诚信基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ab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基层执行依据真空风险：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新政策体系出台前，基层单位在项目洽谈、企业服务中面临“无据可依”的困境。旧政策废止后，新指导政策尚未同步公布，存在管理真空期。可能导致招商工作短暂停滞、项目推进迟缓或不同部门解释不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：紧急出台《过渡期招商引资工作指导指引》并建立“分级决策快速通道”。在省级新规和县级新政策出台前，为避免基层工作停滞，应立即制定一份简明、可操作的过渡期指引。该指引应明确过渡期内项目接洽、初步承诺的原则与边界，并同时启动“绿色通道”机制：对一般性咨询，由招商部门统一口径答复；对重大在谈项目或紧急服务需求，启动由分管县领导主持，招商、司法、相关产业部门参与的联席会议，进行“一事一议、快速决策”，形成会议纪要作为临时执行依据。这既能避免“一刀切”式停滞，又能确保风险可控、责任可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投资者观望情绪风险：</w:t>
      </w:r>
      <w:r>
        <w:rPr>
          <w:rFonts w:hint="eastAsia" w:ascii="仿宋_GB2312" w:hAnsi="仿宋_GB2312" w:eastAsia="仿宋_GB2312" w:cs="仿宋_GB2312"/>
          <w:sz w:val="32"/>
          <w:szCs w:val="32"/>
        </w:rPr>
        <w:t>潜在投资者因政策不明朗而推迟或搁置投资决策。市场对政策“空窗期”的持续时间和新政策取向存在疑虑。直接影响短期内招商引资的规模和效率，与“促进招商引资高质量发展”的初衷短期背离。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：发起“新政展望”主动沟通行动，变“空窗期”为“预热期”。建议由县主要领导出面，组织一场面向重点在谈企业、商协会和本地龙头企业的“优化营商环境暨招商引资新政吹风会”。会议核心不是解释“废止了什么”，而是清晰展望“即将建立什么”，主动释放新政策将更加注重“产业链协同、创新生态赋能、高质量发展激励”的积极信号。同时，通过政府官网、公众号设立“招商引资政策优化专栏”，定期发布工作进展，将投资者的“疑虑期”转化为对新政策体系的“期待期”，稳定和引导市场预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区域竞争力短期削弱风险：</w:t>
      </w:r>
      <w:r>
        <w:rPr>
          <w:rFonts w:hint="eastAsia" w:ascii="仿宋_GB2312" w:hAnsi="仿宋_GB2312" w:eastAsia="仿宋_GB2312" w:cs="仿宋_GB2312"/>
          <w:sz w:val="32"/>
          <w:szCs w:val="32"/>
        </w:rPr>
        <w:t>相较于政策稳定或优惠力度更大的周边地区，方城县短期吸引力可能下降。被废止文件中包含直接奖励办法，新政策若转向间接赋能（如基金、场景），吸引力转换需要过程。在争夺同质化项目时可能处于不利地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：从“政策比拼”转向“精准服务与特色优势”的差异化竞争。在过渡期及未来新政策中，方城县应扬长避短，重点包装和推介不可复制的本土优势。例如，集中宣传本地独特的产业配套基础（如某特色产业链的完整性）、要素保障优势（如标准化厂房存量、人力资源特色）或即将出台的、更具前瞻性的“一企一策”精准服务机制。将招商话术从“我们给多少奖励”转变为“我们能为您的特定发展需求提供什么定制化解决方案”，从而在周边地区的同质化政策竞争中脱颖而出，吸引真正看重长期发展环境的优质项目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部门理解与执行偏差风险：</w:t>
      </w:r>
      <w:r>
        <w:rPr>
          <w:rFonts w:hint="eastAsia" w:ascii="仿宋_GB2312" w:hAnsi="仿宋_GB2312" w:eastAsia="仿宋_GB2312" w:cs="仿宋_GB2312"/>
          <w:sz w:val="32"/>
          <w:szCs w:val="32"/>
        </w:rPr>
        <w:t>各职能部门对清理精神理解不一，执行尺度不同。文件清理涉及招商、产业、财政等多个领域，协同要求高。可能导致政策执行效果打折扣，产生新的内部协调成本。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：建立“政策清理精神”联合解读与常态化会商机制。由县政府办公室或发改部门牵头，立即组织召开一次覆盖所有相关职能部门的专题培训会，不仅传达清理文件，更要深入解读省级（豫发改体改〔2025〕640号）文件的核心要义与战略意图，确保各部门统一思想。同时，建立“招商引资政策落实月度联席会议”制度，将涉及多部门的招商项目问题摆在台面上协同解决，并将协同效率纳入相关考核，从机制上杜绝“政出多门、相互掣肘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招商队伍能力适应风险：</w:t>
      </w:r>
      <w:r>
        <w:rPr>
          <w:rFonts w:hint="eastAsia" w:ascii="仿宋_GB2312" w:hAnsi="仿宋_GB2312" w:eastAsia="仿宋_GB2312" w:cs="仿宋_GB2312"/>
          <w:sz w:val="32"/>
          <w:szCs w:val="32"/>
        </w:rPr>
        <w:t>从执行旧有的“土地、奖励”政策转向运用“基金、链条、场景”等新工具，对招商人员专业能力提出挑战。新时期招商模式对专业化要求高，人员能力转型需要时间和培训。影响新政策未来落地效果和招商精准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：启动“招商新锐”能力重塑计划，打造专业化、市场化团队。面对从“优惠政策推销员”到“产业发展合伙人”的角色转变，必须对招商队伍进行系统性赋能。建议与专业机构或高校合作，立即设计并实施一套涵盖产业分析、基金运作、财务尽调、谈判技巧和场景招商等内容的强化培训课程。更关键的是，要探索改革招商激励机制，尝试引入“市场化薪酬+项目落地绩效”的激励模式，并考虑聘请具有产业背景或投行经验的专业人才，以点带面，快速提升团队整体专业战斗力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7.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舆情与社会稳定风险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:</w:t>
      </w:r>
      <w:r>
        <w:rPr>
          <w:rFonts w:hint="eastAsia" w:ascii="仿宋_GB2312" w:hAnsi="仿宋_GB2312" w:eastAsia="仿宋_GB2312" w:cs="仿宋_GB2312"/>
          <w:sz w:val="32"/>
          <w:szCs w:val="32"/>
        </w:rPr>
        <w:t>误读与负面舆情风险：政策清理被片面解读为“政策倒退”或“政府违约”，引发不良舆情。公众和媒体对政策清理的复杂背景了解有限，易产生简单化解读。但一旦发生，传播快，对“投资河南”品牌形象有负面影响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建议：制定“全媒体舆情引导预案”，主动设置议程，掌握叙事主导权。宣传部门应会同发改、招商部门，预先准备一套完整的舆情应对材料包，包括政策解读通稿、答记者问口径、权威专家解读文章等。第一时间通过官方权威渠道（如县政府网站、融媒体中心）发布信息，核心信息应强调此次清理是“对标一流、优化升级”的主动作为，是为了“建立更公平、透明、可持续的更好政策”。同时，密切监测网络舆情，对出现的误解及时以权威、亲切的方式进行澄清和引导，将叙事框架牢牢锁定在“优化营商环境、促进高质量发展”的正面主题上，防范声誉风险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</w:rPr>
        <w:t>三、综合风险等级与应对建议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综合风险等级：中等（可控）</w:t>
      </w:r>
      <w:r>
        <w:rPr>
          <w:rFonts w:hint="eastAsia" w:ascii="仿宋_GB2312" w:hAnsi="仿宋_GB2312" w:eastAsia="仿宋_GB2312" w:cs="仿宋_GB2312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</w:rPr>
        <w:t>本次清理工作的风险本质上是转型中的阵痛和过渡期的管理风险，而非方向性错误。所有风险点均可通过前瞻性的管理、透明的沟通和系统的配套工作予以有效化解，整体处于可控范围。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为将风险降至最低，确保清理工作达到预期效果，特提出以下应对建议：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1.发布配套解读与过渡声明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建议立即以政府问答、政策吹风会等形式，发布《清理通知》的官方解读。核心是明确“两个不变”：对已合法签约的企业，其合同权益保障不变；全县优化营商环境、服务企业发展的决心和力度不变。设立并公布政策咨询热线，统一答复口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建立临时决策机制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在省级新规和县级新政策出台前，建议成立由县主要领导牵头的“重大招商项目临时审议小组”，对紧急、重大的在谈项目所涉政策诉求进行“一事一议”，确保招商工作不断线。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加速制定新时期招商引资指导政策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依据河南省“1+3+4”体系和新发展理念，尽快研究出台《方城县新时期推动招商引资高质量发展实施办法》。从“单一奖励”转向“生态赋能”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强化产业投资基金、场景应用支持、生产性服务业配套、产业链协同等现代招商工具。从“普惠招商”转向“精准链式招商：围绕本县主导产业绘制“招商图谱”，开展靶向招商。明确县级与乡镇的权责划分，融入全省“首报首谈”等机制，避免内耗。开展全员能力提升培训：组织招商、开发区等部门人员，专题培训产业链分析、资本运作、基金招商、场景创新等新知识、新工具，为执行新政策储备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2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.建立政策动态评估与风险监测机制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借鉴先进地区经验，设定新出台政策的有效期（如2-3年），并建立常态化评估清理程序。可探索引入信息化手段，监测政策执行中的企业反馈和潜在风险。推行“风险嵌入式”文件制定流程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未来所有重大涉企政策出台前，强制进行包括合法性、合理性、可行性、可控性在内的风险评估，形成风险评估报告作为决策必备要件，从源头上预防政策风险。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四、结论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经评估，《方城县人民政府关于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方城县招商引资政策文件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清理结果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的通知</w:t>
      </w:r>
      <w:r>
        <w:rPr>
          <w:rFonts w:hint="eastAsia" w:ascii="仿宋_GB2312" w:hAnsi="仿宋_GB2312" w:eastAsia="仿宋_GB2312" w:cs="仿宋_GB2312"/>
          <w:sz w:val="32"/>
          <w:szCs w:val="32"/>
        </w:rPr>
        <w:t>》的制定与发布具有必要性和正当性，整体风险处于可控范围。建议在后续定稿和印发前，针对识别出的风险点进行补充完善，并制定周密的实施方案和保障措施，以确保此次全面清理工作能够依法、有序、高效完成，达到预期目标，提升方城县行政规范性文件管理的整体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Symbol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urier New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Ubuntu">
    <w:panose1 w:val="020B0504030602030204"/>
    <w:charset w:val="00"/>
    <w:family w:val="auto"/>
    <w:pitch w:val="default"/>
    <w:sig w:usb0="E00002FF" w:usb1="5000205B" w:usb2="00000000" w:usb3="00000000" w:csb0="2000009F" w:csb1="56010000"/>
  </w:font>
  <w:font w:name="var(--dsw-font-xxxs-strong-11)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-head)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var(--dsw-font-markdown-table)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5067E3"/>
    <w:rsid w:val="2E681DB2"/>
    <w:rsid w:val="305067E3"/>
    <w:rsid w:val="BF9CCBBE"/>
    <w:rsid w:val="EBFFD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Office_11.8.2.1130_F1E327BC-269C-435d-A152-05C5408002CA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2025-12-26T11:23:00Z</dcterms:created>
  <dc:creator>琳琳</dc:creator>
  <cp:lastModifiedBy>fc</cp:lastModifiedBy>
  <dcterms:modified xsi:type="dcterms:W3CDTF">2025-12-30T10:48:13Z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2052-11.8.2.1130</vt:lpwstr>
  </property>
  <property fmtid="{D5CDD505-2E9C-101B-9397-08002B2CF9AE}" pid="3" name="ICV">
    <vt:lpwstr>C3566B3660794F4898385369095180E8</vt:lpwstr>
  </property>
  <property fmtid="{D5CDD505-2E9C-101B-9397-08002B2CF9AE}" pid="4" name="KSOTemplateDocerSaveRecord">
    <vt:lpwstr>eyJoZGlkIjoiOTk0MmUyZmQ3MTVjYzQ1YWIwMGZlNTgyYTNhMWU4YmUiLCJ1c2VySWQiOiIzMTk4MTkzNjMifQ==</vt:lpwstr>
  </property>
</Properties>
</file>