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关于《方城县互联网租赁自行车运营管理办法（暂行）》的决策草案说明</w:t>
      </w:r>
    </w:p>
    <w:p w14:paraId="304E0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56DFA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 决策背景与必要性</w:t>
      </w:r>
    </w:p>
    <w:p w14:paraId="793A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年来，随着互联网技术和共享经济的快速发展，互联网租赁自行车（以下简称“共享单车”）作为新型绿色出行方式，在我县迅速普及，为市民短距离出行提供了便利。但同时也暴露出诸多问题：车辆乱停乱放现象严重，影响市容交通秩序；运营企业主体责任落实不到位，“重投放、轻管理”问题突出；行业准入门槛不清，服务质量参差不齐；用户权益保障机制不完善，押金安全存在隐患；政府部门监管职责分散，协同治理机制尚未形成。这些问题既影响了城市形象和公共安全，也不利于行业健康可持续发展。</w:t>
      </w:r>
    </w:p>
    <w:p w14:paraId="38338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有效规范共享单车运营秩序，明确政府、企业、用户各方权责，建立科学长效的管理机制，保障人民群众出行安全与合法权益，依据国家及省市相关法律法规和政策精神，结合我县实际，制定《方城县互联网租赁自行车运营管理办法（暂行）》（以下简称《办法》）已十分必要且紧迫。</w:t>
      </w:r>
    </w:p>
    <w:p w14:paraId="726B1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决策依据与起草过程</w:t>
      </w:r>
    </w:p>
    <w:p w14:paraId="41E62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（一）主要政策法规依据</w:t>
      </w:r>
    </w:p>
    <w:p w14:paraId="2C9A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国家层面：</w:t>
      </w:r>
      <w:r>
        <w:rPr>
          <w:rFonts w:hint="eastAsia" w:ascii="仿宋" w:hAnsi="仿宋" w:eastAsia="仿宋" w:cs="仿宋"/>
          <w:sz w:val="32"/>
          <w:szCs w:val="32"/>
        </w:rPr>
        <w:t>《中华人民共和国道路交通安全法》《中华人民共和国电子商务法》《中华人民共和国消费者权益保护法》《关于鼓励和规范互联网租赁自行车发展的指导意见》（交运发〔2017〕109号）等。</w:t>
      </w:r>
    </w:p>
    <w:p w14:paraId="6F834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66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AD7F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省级层面：</w:t>
      </w:r>
      <w:r>
        <w:rPr>
          <w:rFonts w:hint="eastAsia" w:ascii="仿宋" w:hAnsi="仿宋" w:eastAsia="仿宋" w:cs="仿宋"/>
          <w:sz w:val="32"/>
          <w:szCs w:val="32"/>
        </w:rPr>
        <w:t>《河南省城市市容和环境卫生管理条例实施办法》《河南省道路交通安全条例》等。</w:t>
      </w:r>
    </w:p>
    <w:p w14:paraId="66914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市级层面：</w:t>
      </w:r>
      <w:r>
        <w:rPr>
          <w:rFonts w:hint="eastAsia" w:ascii="仿宋" w:hAnsi="仿宋" w:eastAsia="仿宋" w:cs="仿宋"/>
          <w:sz w:val="32"/>
          <w:szCs w:val="32"/>
        </w:rPr>
        <w:t>《南阳市文明行为促进条例》等。</w:t>
      </w:r>
    </w:p>
    <w:p w14:paraId="139F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（二）起草工作过程</w:t>
      </w:r>
    </w:p>
    <w:p w14:paraId="0B28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《办法》制定严格遵循《重大行政决策程序暂行条例》《河南省重大行政决策程序规定》要求，履行了以下程序：</w:t>
      </w:r>
    </w:p>
    <w:p w14:paraId="488EF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立项启动（2025年4月）：</w:t>
      </w:r>
      <w:r>
        <w:rPr>
          <w:rFonts w:hint="eastAsia" w:ascii="仿宋" w:hAnsi="仿宋" w:eastAsia="仿宋" w:cs="仿宋"/>
          <w:sz w:val="32"/>
          <w:szCs w:val="32"/>
        </w:rPr>
        <w:t> 由县城市管理局（县城管局）作为牵头单位，结合我县管理实际，提出《办法》制定建议，报县政府批准后启动起草工作。</w:t>
      </w:r>
    </w:p>
    <w:p w14:paraId="079A4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调查研究与初稿起草（2025年4-5月）：</w:t>
      </w:r>
      <w:r>
        <w:rPr>
          <w:rFonts w:hint="eastAsia" w:ascii="仿宋" w:hAnsi="仿宋" w:eastAsia="仿宋" w:cs="仿宋"/>
          <w:sz w:val="32"/>
          <w:szCs w:val="32"/>
        </w:rPr>
        <w:t> 成立由县城管局、司法局、交通运输局、公安局、市场监管局等部门组成的起草工作组。通过实地调研、分析案例、研究外地经验等方式，于5月中旬形成《办法》初稿。</w:t>
      </w:r>
    </w:p>
    <w:p w14:paraId="5A8F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公开征求意见（2025年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月）：</w:t>
      </w:r>
      <w:r>
        <w:rPr>
          <w:rFonts w:hint="eastAsia" w:ascii="仿宋" w:hAnsi="仿宋" w:eastAsia="仿宋" w:cs="仿宋"/>
          <w:sz w:val="32"/>
          <w:szCs w:val="32"/>
        </w:rPr>
        <w:t> 通过县政府门户网站、座谈会等形式，面向社会公众、相关企业、法律专家等公开征求意见，采纳吸收合理化建议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 w14:paraId="45575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专家论证（2025年6月）：</w:t>
      </w:r>
      <w:r>
        <w:rPr>
          <w:rFonts w:hint="eastAsia" w:ascii="仿宋" w:hAnsi="仿宋" w:eastAsia="仿宋" w:cs="仿宋"/>
          <w:sz w:val="32"/>
          <w:szCs w:val="32"/>
        </w:rPr>
        <w:t> 组织法学、交通管理、城市规划等领域专家召开论证会，对《办法》的合法性、合理性、可行性和风险性进行评估论证，形成专家意见。</w:t>
      </w:r>
    </w:p>
    <w:p w14:paraId="6133C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风险评估（2025年6月）：</w:t>
      </w:r>
      <w:r>
        <w:rPr>
          <w:rFonts w:hint="eastAsia" w:ascii="仿宋" w:hAnsi="仿宋" w:eastAsia="仿宋" w:cs="仿宋"/>
          <w:sz w:val="32"/>
          <w:szCs w:val="32"/>
        </w:rPr>
        <w:t> 组织开展了社会稳定风险评估，形成了《风险评估报告》，结论为“低风险”。</w:t>
      </w:r>
    </w:p>
    <w:p w14:paraId="6A388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18B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846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合法性审查（2025年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月）：</w:t>
      </w:r>
      <w:r>
        <w:rPr>
          <w:rFonts w:hint="eastAsia" w:ascii="仿宋" w:hAnsi="仿宋" w:eastAsia="仿宋" w:cs="仿宋"/>
          <w:sz w:val="32"/>
          <w:szCs w:val="32"/>
        </w:rPr>
        <w:t> 县司法局对《办法》草案进行了全面合法性审查，出具了审查意见，认为《办法》内容合法、程序合规。</w:t>
      </w:r>
    </w:p>
    <w:p w14:paraId="0C85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部门协调与修改完善（2025年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月）：</w:t>
      </w:r>
      <w:r>
        <w:rPr>
          <w:rFonts w:hint="eastAsia" w:ascii="仿宋" w:hAnsi="仿宋" w:eastAsia="仿宋" w:cs="仿宋"/>
          <w:sz w:val="32"/>
          <w:szCs w:val="32"/>
        </w:rPr>
        <w:t> 根据各方意见及审查结果，起草工作组对《办法》草案进行了多轮修改完善，并经县政府分管领导组织相关部门专题会议协调审议。</w:t>
      </w:r>
    </w:p>
    <w:p w14:paraId="2C0E3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形成决策草案（2025年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月）：</w:t>
      </w:r>
      <w:r>
        <w:rPr>
          <w:rFonts w:hint="eastAsia" w:ascii="仿宋" w:hAnsi="仿宋" w:eastAsia="仿宋" w:cs="仿宋"/>
          <w:sz w:val="32"/>
          <w:szCs w:val="32"/>
        </w:rPr>
        <w:t> 经反复修改，形成本《办法》决策草案，提交县政府常务会议审议。</w:t>
      </w:r>
    </w:p>
    <w:p w14:paraId="3DD88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决策主要内容与核心制度</w:t>
      </w:r>
    </w:p>
    <w:p w14:paraId="54F9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《办法》共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章二十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条，主要内容包括：</w:t>
      </w:r>
    </w:p>
    <w:p w14:paraId="0EAB4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（一）明确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总则、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管理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和责任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（第一、二章）</w:t>
      </w:r>
    </w:p>
    <w:p w14:paraId="1D021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确立了“总量控制、企业主责、规范有序、多方共治”的管理原则。明确了城市管理、公安、交通、市场监管等部门的具体职责，旨在形成监管合力，避免职责交叉或监管空白。</w:t>
      </w:r>
    </w:p>
    <w:p w14:paraId="546EC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（二）规范运营企业准入与经营行为（第三章）</w:t>
      </w:r>
    </w:p>
    <w:p w14:paraId="6E98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准入要求：</w:t>
      </w:r>
      <w:r>
        <w:rPr>
          <w:rFonts w:hint="eastAsia" w:ascii="仿宋" w:hAnsi="仿宋" w:eastAsia="仿宋" w:cs="仿宋"/>
          <w:sz w:val="32"/>
          <w:szCs w:val="32"/>
        </w:rPr>
        <w:t> 规定了企业应具备线上线下服务能力，车辆须符合国家标准并依法登记上牌（电动自行车），企业应向监管部门进行信息备案。</w:t>
      </w:r>
    </w:p>
    <w:p w14:paraId="26B1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主体责任清单：</w:t>
      </w:r>
      <w:r>
        <w:rPr>
          <w:rFonts w:hint="eastAsia" w:ascii="仿宋" w:hAnsi="仿宋" w:eastAsia="仿宋" w:cs="仿宋"/>
          <w:sz w:val="32"/>
          <w:szCs w:val="32"/>
        </w:rPr>
        <w:t> 明确了运营企业在用户实名注册、签订协议、购买保险、明码标价、资金管理、用户年龄限制、投诉处理、信息安全等方面的法定义务。</w:t>
      </w:r>
    </w:p>
    <w:p w14:paraId="1DF0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停放管理技术手段：</w:t>
      </w:r>
      <w:r>
        <w:rPr>
          <w:rFonts w:hint="eastAsia" w:ascii="仿宋" w:hAnsi="仿宋" w:eastAsia="仿宋" w:cs="仿宋"/>
          <w:sz w:val="32"/>
          <w:szCs w:val="32"/>
        </w:rPr>
        <w:t> 要求企业必须运用电子围栏等科技手段，实施精准停放管理，履行线下秩序维护责任。</w:t>
      </w:r>
    </w:p>
    <w:p w14:paraId="1B25C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鼓励性措施：</w:t>
      </w:r>
      <w:r>
        <w:rPr>
          <w:rFonts w:hint="eastAsia" w:ascii="仿宋" w:hAnsi="仿宋" w:eastAsia="仿宋" w:cs="仿宋"/>
          <w:sz w:val="32"/>
          <w:szCs w:val="32"/>
        </w:rPr>
        <w:t> 鼓励免押金模式，鼓励购买各类保险，降低用户风险。</w:t>
      </w:r>
    </w:p>
    <w:p w14:paraId="680C9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（三）建立健全考核评价与市场退出机制（第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章）</w:t>
      </w:r>
    </w:p>
    <w:p w14:paraId="077C9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考核评价：</w:t>
      </w:r>
      <w:r>
        <w:rPr>
          <w:rFonts w:hint="eastAsia" w:ascii="仿宋" w:hAnsi="仿宋" w:eastAsia="仿宋" w:cs="仿宋"/>
          <w:sz w:val="32"/>
          <w:szCs w:val="32"/>
        </w:rPr>
        <w:t> 建立由城管部门牵头的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共享单车</w:t>
      </w:r>
      <w:r>
        <w:rPr>
          <w:rFonts w:hint="eastAsia" w:ascii="仿宋" w:hAnsi="仿宋" w:eastAsia="仿宋" w:cs="仿宋"/>
          <w:sz w:val="32"/>
          <w:szCs w:val="32"/>
        </w:rPr>
        <w:t>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，定期公开考核结果。</w:t>
      </w:r>
    </w:p>
    <w:p w14:paraId="42F1B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动态调控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 将考核结果与企业投放规模直接挂钩，实施激励与约束。</w:t>
      </w:r>
    </w:p>
    <w:p w14:paraId="6AE6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有序退出：</w:t>
      </w:r>
      <w:r>
        <w:rPr>
          <w:rFonts w:hint="eastAsia" w:ascii="仿宋" w:hAnsi="仿宋" w:eastAsia="仿宋" w:cs="仿宋"/>
          <w:sz w:val="32"/>
          <w:szCs w:val="32"/>
        </w:rPr>
        <w:t> 规定了企业正常退出（提前申请、妥善处理善后）和强制退出的条件和程序，保障市场平稳过渡和用户权益。</w:t>
      </w:r>
    </w:p>
    <w:p w14:paraId="4B000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（五）强化法律责任与监督管理（第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章）</w:t>
      </w:r>
    </w:p>
    <w:p w14:paraId="00A3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明确了违反本办法相关规定所应承担的法律责任。</w:t>
      </w:r>
    </w:p>
    <w:p w14:paraId="3F21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（六）附则（第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章）</w:t>
      </w:r>
    </w:p>
    <w:p w14:paraId="614DC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明确了办法的解释机关、施行日期。</w:t>
      </w:r>
    </w:p>
    <w:p w14:paraId="49938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 主要争议焦点与协调情况</w:t>
      </w:r>
    </w:p>
    <w:p w14:paraId="342CF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在起草和征求意见过程中，主要围绕以下焦点进行了充分讨论和协调：</w:t>
      </w:r>
    </w:p>
    <w:p w14:paraId="0DADB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关于投放总量控制：</w:t>
      </w:r>
      <w:r>
        <w:rPr>
          <w:rFonts w:hint="eastAsia" w:ascii="仿宋" w:hAnsi="仿宋" w:eastAsia="仿宋" w:cs="仿宋"/>
          <w:sz w:val="32"/>
          <w:szCs w:val="32"/>
        </w:rPr>
        <w:t> 部分企业担心限制过严影响发展。经协调，明确总量控制是动态的，将根据城市承载能力、出行需求、企业服务质量等科学核定并适时调整，重点在于优化存量、提升质量。</w:t>
      </w:r>
    </w:p>
    <w:p w14:paraId="04071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关于电子围栏技术标准与成本：</w:t>
      </w:r>
      <w:r>
        <w:rPr>
          <w:rFonts w:hint="eastAsia" w:ascii="仿宋" w:hAnsi="仿宋" w:eastAsia="仿宋" w:cs="仿宋"/>
          <w:sz w:val="32"/>
          <w:szCs w:val="32"/>
        </w:rPr>
        <w:t> 部分中小企业对技术投入成本有顾虑。经研究，强调技术手段是规范管理的基础，要求必须达到精准停放的管理效果，同时鼓励技术方案多元化，鼓励行业协会或第三方平台提供通用技术解决方案以降低成本。</w:t>
      </w:r>
    </w:p>
    <w:p w14:paraId="59653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关于用户资金安全保障：</w:t>
      </w:r>
      <w:r>
        <w:rPr>
          <w:rFonts w:hint="eastAsia" w:ascii="仿宋" w:hAnsi="仿宋" w:eastAsia="仿宋" w:cs="仿宋"/>
          <w:sz w:val="32"/>
          <w:szCs w:val="32"/>
        </w:rPr>
        <w:t> 社会普遍关注押金、预付金安全问题。《办法》明确要求建立专用账户、第三方存管等制度，具体操作细则将由金融监管、市场监管等部门联合制定，确保资金安全。</w:t>
      </w:r>
    </w:p>
    <w:p w14:paraId="71FEC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关于执法与处罚的权限衔接： </w:t>
      </w:r>
      <w:r>
        <w:rPr>
          <w:rFonts w:hint="eastAsia" w:ascii="仿宋" w:hAnsi="仿宋" w:eastAsia="仿宋" w:cs="仿宋"/>
          <w:sz w:val="32"/>
          <w:szCs w:val="32"/>
        </w:rPr>
        <w:t>进一步梳理了城管、公安等部门依据现有法律法规进行执法的权限边界，确保《办法》与上位法有效衔接，执法有据。</w:t>
      </w:r>
    </w:p>
    <w:p w14:paraId="79C6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 预期效果与影响</w:t>
      </w:r>
    </w:p>
    <w:p w14:paraId="00F2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《办法》的出台实施，预期将达到以下效果：</w:t>
      </w:r>
    </w:p>
    <w:p w14:paraId="5D9CE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规范市场秩序： </w:t>
      </w:r>
      <w:r>
        <w:rPr>
          <w:rFonts w:hint="eastAsia" w:ascii="仿宋" w:hAnsi="仿宋" w:eastAsia="仿宋" w:cs="仿宋"/>
          <w:sz w:val="32"/>
          <w:szCs w:val="32"/>
        </w:rPr>
        <w:t>建立清晰的市场准入、运营、退出规则，营造公平竞争环境。</w:t>
      </w:r>
    </w:p>
    <w:p w14:paraId="2E60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提升管理水平：</w:t>
      </w:r>
      <w:r>
        <w:rPr>
          <w:rFonts w:hint="eastAsia" w:ascii="仿宋" w:hAnsi="仿宋" w:eastAsia="仿宋" w:cs="仿宋"/>
          <w:sz w:val="32"/>
          <w:szCs w:val="32"/>
        </w:rPr>
        <w:t> 压实企业主体责任，推动其从“重投放”转向“精运营、优服务”。</w:t>
      </w:r>
    </w:p>
    <w:p w14:paraId="4607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改善城市环境： </w:t>
      </w:r>
      <w:r>
        <w:rPr>
          <w:rFonts w:hint="eastAsia" w:ascii="仿宋" w:hAnsi="仿宋" w:eastAsia="仿宋" w:cs="仿宋"/>
          <w:sz w:val="32"/>
          <w:szCs w:val="32"/>
        </w:rPr>
        <w:t>有效缓解车辆乱停乱放问题，维护整洁有序的市容市貌。</w:t>
      </w:r>
    </w:p>
    <w:p w14:paraId="1844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保障用户权益：</w:t>
      </w:r>
      <w:r>
        <w:rPr>
          <w:rFonts w:hint="eastAsia" w:ascii="仿宋" w:hAnsi="仿宋" w:eastAsia="仿宋" w:cs="仿宋"/>
          <w:sz w:val="32"/>
          <w:szCs w:val="32"/>
        </w:rPr>
        <w:t> 通过实名制、保险、资金监管等措施，切实保护消费者合法权益。</w:t>
      </w:r>
    </w:p>
    <w:p w14:paraId="1934B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促进绿色发展：</w:t>
      </w:r>
      <w:r>
        <w:rPr>
          <w:rFonts w:hint="eastAsia" w:ascii="仿宋" w:hAnsi="仿宋" w:eastAsia="仿宋" w:cs="仿宋"/>
          <w:sz w:val="32"/>
          <w:szCs w:val="32"/>
        </w:rPr>
        <w:t> 引导共享单车与公共交通更好融合，助力绿色出行体系建设。</w:t>
      </w:r>
    </w:p>
    <w:p w14:paraId="5842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 建议</w:t>
      </w:r>
    </w:p>
    <w:p w14:paraId="1D2DA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方城县互联网租赁自行车运营管理办法（暂行）（决策草案）》已履行必要的公众参与、专家论证、风险评估、合法性审查等程序，内容较为成熟，风险评估总体可控。建议提请县政府常务会议审议通过，并以县政府规范性文件形式印发实施。</w:t>
      </w:r>
    </w:p>
    <w:p w14:paraId="16CB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B57EAE-0089-419C-9CA2-CC20322CE3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894690-70D6-4446-B340-5D5AEE0384E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8418ED8-78FE-4190-9570-7AC7553BFB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69E17E1-2383-464C-9BD4-6D09E94011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C3102"/>
    <w:rsid w:val="0E1C3102"/>
    <w:rsid w:val="6673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277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2025-12-29T02:30:00Z</dcterms:created>
  <dc:creator>厚德载物</dc:creator>
  <cp:lastModifiedBy>厚德载物</cp:lastModifiedBy>
  <dcterms:modified xsi:type="dcterms:W3CDTF">2025-12-29T23:36:19Z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E3CC81C6264347F082A34E0F13E53160_11</vt:lpwstr>
  </property>
  <property fmtid="{D5CDD505-2E9C-101B-9397-08002B2CF9AE}" pid="4" name="KSOTemplateDocerSaveRecord">
    <vt:lpwstr>eyJoZGlkIjoiYTZlNTY3OWY4NzM0MDkxOGNiZmRkZDYyMDE4NjE2Y2QiLCJ1c2VySWQiOiI3MTA1NDE3NDQifQ==</vt:lpwstr>
  </property>
</Properties>
</file>