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86B27">
      <w:pPr>
        <w:jc w:val="center"/>
        <w:rPr>
          <w:rFonts w:hint="eastAsia" w:ascii="宋体" w:hAnsi="宋体" w:eastAsia="宋体" w:cs="宋体"/>
          <w:b/>
          <w:bCs/>
          <w:sz w:val="44"/>
          <w:szCs w:val="44"/>
        </w:rPr>
      </w:pPr>
      <w:r>
        <w:rPr>
          <w:rFonts w:hint="eastAsia" w:ascii="宋体" w:hAnsi="宋体" w:eastAsia="宋体" w:cs="宋体"/>
          <w:b/>
          <w:bCs/>
          <w:sz w:val="44"/>
          <w:szCs w:val="44"/>
        </w:rPr>
        <w:t>南阳市人民政府</w:t>
      </w:r>
    </w:p>
    <w:p w14:paraId="369FDF4A">
      <w:pPr>
        <w:jc w:val="center"/>
        <w:rPr>
          <w:rFonts w:hint="eastAsia" w:ascii="宋体" w:hAnsi="宋体" w:eastAsia="宋体" w:cs="宋体"/>
          <w:b/>
          <w:bCs/>
          <w:sz w:val="44"/>
          <w:szCs w:val="44"/>
        </w:rPr>
      </w:pPr>
      <w:r>
        <w:rPr>
          <w:rFonts w:hint="eastAsia" w:ascii="宋体" w:hAnsi="宋体" w:eastAsia="宋体" w:cs="宋体"/>
          <w:b/>
          <w:bCs/>
          <w:sz w:val="44"/>
          <w:szCs w:val="44"/>
        </w:rPr>
        <w:t>关于优化调整赋予乡镇（街道）行政处罚权的通知</w:t>
      </w:r>
    </w:p>
    <w:p w14:paraId="13944129">
      <w:pPr>
        <w:rPr>
          <w:rFonts w:hint="eastAsia"/>
        </w:rPr>
      </w:pPr>
    </w:p>
    <w:p w14:paraId="2D0502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各县（市、区）人民政府，市人民政府各部门：</w:t>
      </w:r>
    </w:p>
    <w:p w14:paraId="650544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和二十届三中、四中全会关于完善基层综合执法体制机制的决策部署，根据《河南省人民政府关于优化调整赋予乡镇（街道）行政处罚权的通知》（豫政〔2025〕15号）要求，结合我市实际，现就优化调整赋予卧龙区、宛城区、邓州市、方城县、镇平县、唐河县、西峡县、浙川县、内乡县、桐柏县、南召县、社旗县、新野县乡镇（街道）行政处罚权有关事项通知如下。</w:t>
      </w:r>
    </w:p>
    <w:p w14:paraId="477AC3B3">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明确赋权事项、执法权限范围及衔接规定</w:t>
      </w:r>
    </w:p>
    <w:p w14:paraId="309B610E">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（一）承接事项清单</w:t>
      </w:r>
    </w:p>
    <w:p w14:paraId="70C774A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根据《河南省赋予乡镇（街道）行政处罚权指导目录（2025年）》（以下简称《指导目录》），结合工作实际编制《南阳市交由乡镇（街道）行使的行政处罚权事项清单（2025年）》（以下简称《事项清单》），具体如下：</w:t>
      </w:r>
    </w:p>
    <w:p w14:paraId="401B51E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1.交通运输方面的13项行政处罚权;</w:t>
      </w:r>
    </w:p>
    <w:p w14:paraId="32BA44D8">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2.水利方面的4项行政处罚权；</w:t>
      </w:r>
    </w:p>
    <w:p w14:paraId="40999B5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3.农业农村方面的2项行政处罚权；</w:t>
      </w:r>
    </w:p>
    <w:p w14:paraId="36CDC37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4.消防救援方面的15项行政处罚权。</w:t>
      </w:r>
    </w:p>
    <w:p w14:paraId="3F36B3AC">
      <w:pPr>
        <w:numPr>
          <w:ilvl w:val="0"/>
          <w:numId w:val="0"/>
        </w:numPr>
        <w:rPr>
          <w:rFonts w:hint="eastAsia" w:ascii="仿宋_GB2312" w:hAnsi="仿宋_GB2312" w:eastAsia="仿宋_GB2312" w:cs="仿宋_GB2312"/>
          <w:sz w:val="32"/>
          <w:szCs w:val="32"/>
        </w:rPr>
      </w:pPr>
    </w:p>
    <w:p w14:paraId="140D584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其中《指导目录》中第13项“对在村道公路建筑控制区内修建建筑物、构筑物或者擅自架设、埋设管线、电缆等设施的行政处罚”不列入方城县乡镇（街道）的承接范围。</w:t>
      </w:r>
    </w:p>
    <w:p w14:paraId="71AF8FE8">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（二）执法权限范围</w:t>
      </w:r>
    </w:p>
    <w:p w14:paraId="10D6A270">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街道）依法实施与上述行政处罚权相关的行政检查权、行政强制权。乡镇（街道）以乡镇政府（街道办事处）名义行使承接的行政处罚权，原行政执法部门在已承接该行政处罚权的乡镇（街道）区域内不再行使。</w:t>
      </w:r>
    </w:p>
    <w:p w14:paraId="38FAA4D1">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（三）新旧清单街接</w:t>
      </w:r>
    </w:p>
    <w:p w14:paraId="6EB99B82">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阳市人民政府关于开展乡镇（街道）综合行政执法工作的通知》（宛政〔2023〕10号）中，未纳入本次《事项清单》的事项，自本通知实施之日起乡镇（街道）不再行使，相关行政处罚权由原行政执法部门行使。本次优化调整过程中，原实施机关已立案调查</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未办结的案件，由原实施机关继续办理完结，确保执法工作的连续性。</w:t>
      </w:r>
    </w:p>
    <w:p w14:paraId="13408241">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二、规范执法主体与执法程序</w:t>
      </w:r>
    </w:p>
    <w:p w14:paraId="78F6C326">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（一）明确行政执法主体</w:t>
      </w:r>
    </w:p>
    <w:p w14:paraId="2B3D97A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乡镇（街道）是本辖区内承接行政处罚权的法定行政执法主体，具有独立的行政执法主体资格。具体执法工作由其所属的综合行政执法机构，以乡镇（街道）的名义依法实施。</w:t>
      </w:r>
    </w:p>
    <w:p w14:paraId="1196A9A5">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（二）严格规范执法程序</w:t>
      </w:r>
    </w:p>
    <w:p w14:paraId="1FE6F429">
      <w:pPr>
        <w:numPr>
          <w:ilvl w:val="0"/>
          <w:numId w:val="0"/>
        </w:numPr>
        <w:ind w:firstLine="640" w:firstLineChars="200"/>
        <w:rPr>
          <w:rFonts w:hint="eastAsia" w:ascii="仿宋_GB2312" w:hAnsi="仿宋_GB2312" w:eastAsia="仿宋_GB2312" w:cs="仿宋_GB2312"/>
          <w:sz w:val="32"/>
          <w:szCs w:val="32"/>
        </w:rPr>
      </w:pPr>
    </w:p>
    <w:p w14:paraId="1C835EF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乡镇（街道）必须严格依法行政，规范履行执法案件登记、受理、立案、调查取证、审核、决定、送达、执行、结案等程序。统一使用《河南省行政处罚文书格式范本》，确保执法流程和文书制作标准化、规范化。全面落实行政执法责任制，严格执行行政执法公示制度、执法全过程记录制度、重大执法决定法制审核制度。</w:t>
      </w:r>
      <w:r>
        <w:rPr>
          <w:rFonts w:hint="eastAsia" w:ascii="仿宋_GB2312" w:hAnsi="仿宋_GB2312" w:eastAsia="仿宋_GB2312" w:cs="仿宋_GB2312"/>
          <w:sz w:val="32"/>
          <w:szCs w:val="32"/>
          <w:lang w:val="en-US" w:eastAsia="zh-CN"/>
        </w:rPr>
        <w:t xml:space="preserve"> </w:t>
      </w:r>
    </w:p>
    <w:p w14:paraId="159E698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县（市、区）各相关行政执法部门应加强与乡镇（街道）综合行政执法的业务衔接，对乡镇（街道）移送的案件线索，应在法定权限内及时受理查处，并将处理结果书面反馈移送单位。</w:t>
      </w:r>
    </w:p>
    <w:p w14:paraId="2B96DEB5">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三、强化组织保障与监督指导</w:t>
      </w:r>
    </w:p>
    <w:p w14:paraId="49E14B18">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（一）健全动态评估机制</w:t>
      </w:r>
    </w:p>
    <w:p w14:paraId="49F2042A">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各县（市、区）政府要建立健全评估与动态调整机制，定期组织对承接事项运行情况、实施效果、基层承接能力等进行评估，将评估结果作为动态调整的重要依据。</w:t>
      </w:r>
    </w:p>
    <w:p w14:paraId="7C3CC08B">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（二）完善协调保障机制</w:t>
      </w:r>
    </w:p>
    <w:p w14:paraId="62FF9864">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政府要健全工作协调机制，清晰界定乡镇（街道）与原行政执法部门之间的权责边界，重点保障综合行政执法队伍所需的编制配置、专业人员、执法装备及专项经费。司法行政、编制管理、财政、人社等相关部门要加大政策支持和工作督导力度，保障人员、装备、经费、场地同步到位。</w:t>
      </w:r>
    </w:p>
    <w:p w14:paraId="11ADDAFA">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（三）强化业务指导支撑</w:t>
      </w:r>
    </w:p>
    <w:p w14:paraId="6B8BEC5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行政执法部门要安排专门力量跟踪指导乡镇（街道）相关领域行政执法案件的办理，为乡镇（街道）制定规范、实用、易操作的执法工作指引，提供专业技术支持，常态化开展业务培训。要通过联合执法、案例指导、专项培训、执法监督等方式强化业务支撑，制定标准化执法操作指南，建立常态化执法协作机制。</w:t>
      </w:r>
    </w:p>
    <w:p w14:paraId="3FEE8B60">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（四）提升执法能力建设</w:t>
      </w:r>
    </w:p>
    <w:p w14:paraId="35B59F6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乡镇（街道）要加强执法能力建设，充实综合行政执法队伍力量并保持稳定，提升执法人员法治意识和职业素养，定期开展执法人员专业能力培训，确保所有行政处罚行为均在法定权限和程序框架内规范实施。</w:t>
      </w:r>
    </w:p>
    <w:p w14:paraId="2F311135">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（五）加强执法监督指导</w:t>
      </w:r>
    </w:p>
    <w:p w14:paraId="7312727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司法行政部门要强化执法监督效能，定期组织执法质量评查和岗位练兵；县级编制管理部门要同步更新赋权事项与履职清单的匹配性调整。市司法局要会同市委编办等有关部门，加强对赋予乡镇（街道）行政处罚权工作的跟踪指导，对实施过程中出现的重要情况和问题要及时请示、报告。</w:t>
      </w:r>
    </w:p>
    <w:p w14:paraId="65AFBC93">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四、实施时间</w:t>
      </w:r>
      <w:bookmarkStart w:id="0" w:name="_GoBack"/>
      <w:bookmarkEnd w:id="0"/>
    </w:p>
    <w:p w14:paraId="2B739EA8">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本通知自2026年1月1日起施行，《南阳市人民政府关于开展乡镇（街道）综合行政执法工作的通知》（宛政〔2023〕10号）同时废止。</w:t>
      </w:r>
    </w:p>
    <w:p w14:paraId="2BFB6FD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附件：南阳市交由乡镇（街道）行使的行政处罚权事项清单（2025年）</w:t>
      </w:r>
    </w:p>
    <w:p w14:paraId="3753EA90">
      <w:pPr>
        <w:numPr>
          <w:ilvl w:val="0"/>
          <w:numId w:val="0"/>
        </w:numPr>
        <w:ind w:firstLine="640" w:firstLineChars="200"/>
        <w:rPr>
          <w:rFonts w:hint="eastAsia" w:ascii="仿宋_GB2312" w:hAnsi="仿宋_GB2312" w:eastAsia="仿宋_GB2312" w:cs="仿宋_GB2312"/>
          <w:sz w:val="32"/>
          <w:szCs w:val="32"/>
        </w:rPr>
      </w:pPr>
    </w:p>
    <w:p w14:paraId="14A0679A">
      <w:pPr>
        <w:numPr>
          <w:ilvl w:val="0"/>
          <w:numId w:val="0"/>
        </w:numPr>
        <w:ind w:firstLine="640" w:firstLineChars="200"/>
        <w:rPr>
          <w:rFonts w:hint="eastAsia" w:ascii="仿宋_GB2312" w:hAnsi="仿宋_GB2312" w:eastAsia="仿宋_GB2312" w:cs="仿宋_GB2312"/>
          <w:sz w:val="32"/>
          <w:szCs w:val="32"/>
        </w:rPr>
      </w:pPr>
    </w:p>
    <w:p w14:paraId="59995CB4">
      <w:pPr>
        <w:numPr>
          <w:ilvl w:val="0"/>
          <w:numId w:val="0"/>
        </w:numPr>
        <w:ind w:firstLine="640" w:firstLineChars="200"/>
        <w:rPr>
          <w:rFonts w:hint="eastAsia" w:ascii="仿宋_GB2312" w:hAnsi="仿宋_GB2312" w:eastAsia="仿宋_GB2312" w:cs="仿宋_GB2312"/>
          <w:sz w:val="32"/>
          <w:szCs w:val="32"/>
        </w:rPr>
      </w:pPr>
    </w:p>
    <w:p w14:paraId="311409C1">
      <w:pPr>
        <w:numPr>
          <w:ilvl w:val="0"/>
          <w:numId w:val="0"/>
        </w:numPr>
        <w:ind w:firstLine="640" w:firstLineChars="200"/>
        <w:rPr>
          <w:rFonts w:hint="eastAsia" w:ascii="仿宋_GB2312" w:hAnsi="仿宋_GB2312" w:eastAsia="仿宋_GB2312" w:cs="仿宋_GB2312"/>
          <w:sz w:val="32"/>
          <w:szCs w:val="32"/>
        </w:rPr>
      </w:pPr>
    </w:p>
    <w:p w14:paraId="71A0BFB1">
      <w:pPr>
        <w:numPr>
          <w:ilvl w:val="0"/>
          <w:numId w:val="0"/>
        </w:numPr>
        <w:ind w:firstLine="640" w:firstLineChars="200"/>
        <w:rPr>
          <w:rFonts w:hint="eastAsia" w:ascii="仿宋_GB2312" w:hAnsi="仿宋_GB2312" w:eastAsia="仿宋_GB2312" w:cs="仿宋_GB2312"/>
          <w:sz w:val="32"/>
          <w:szCs w:val="32"/>
        </w:rPr>
      </w:pPr>
    </w:p>
    <w:p w14:paraId="1A63FB72">
      <w:pPr>
        <w:numPr>
          <w:ilvl w:val="0"/>
          <w:numId w:val="0"/>
        </w:numPr>
        <w:ind w:firstLine="640" w:firstLineChars="200"/>
        <w:rPr>
          <w:rFonts w:hint="eastAsia" w:ascii="仿宋_GB2312" w:hAnsi="仿宋_GB2312" w:eastAsia="仿宋_GB2312" w:cs="仿宋_GB2312"/>
          <w:sz w:val="32"/>
          <w:szCs w:val="32"/>
        </w:rPr>
      </w:pPr>
    </w:p>
    <w:p w14:paraId="2CB7DB0E">
      <w:pPr>
        <w:numPr>
          <w:ilvl w:val="0"/>
          <w:numId w:val="0"/>
        </w:numPr>
        <w:ind w:firstLine="640" w:firstLineChars="200"/>
        <w:rPr>
          <w:rFonts w:hint="eastAsia" w:ascii="仿宋_GB2312" w:hAnsi="仿宋_GB2312" w:eastAsia="仿宋_GB2312" w:cs="仿宋_GB2312"/>
          <w:sz w:val="32"/>
          <w:szCs w:val="32"/>
        </w:rPr>
      </w:pPr>
    </w:p>
    <w:p w14:paraId="1233D3A3">
      <w:pPr>
        <w:numPr>
          <w:ilvl w:val="0"/>
          <w:numId w:val="0"/>
        </w:numPr>
        <w:ind w:firstLine="640" w:firstLineChars="200"/>
        <w:rPr>
          <w:rFonts w:hint="eastAsia" w:ascii="仿宋_GB2312" w:hAnsi="仿宋_GB2312" w:eastAsia="仿宋_GB2312" w:cs="仿宋_GB2312"/>
          <w:sz w:val="32"/>
          <w:szCs w:val="32"/>
        </w:rPr>
      </w:pPr>
    </w:p>
    <w:p w14:paraId="7C50AF38">
      <w:pPr>
        <w:numPr>
          <w:ilvl w:val="0"/>
          <w:numId w:val="0"/>
        </w:numPr>
        <w:ind w:firstLine="640" w:firstLineChars="200"/>
        <w:rPr>
          <w:rFonts w:hint="eastAsia" w:ascii="仿宋_GB2312" w:hAnsi="仿宋_GB2312" w:eastAsia="仿宋_GB2312" w:cs="仿宋_GB2312"/>
          <w:sz w:val="32"/>
          <w:szCs w:val="32"/>
        </w:rPr>
      </w:pPr>
    </w:p>
    <w:p w14:paraId="079D5CF9">
      <w:pPr>
        <w:numPr>
          <w:ilvl w:val="0"/>
          <w:numId w:val="0"/>
        </w:numPr>
        <w:ind w:firstLine="640" w:firstLineChars="200"/>
        <w:rPr>
          <w:rFonts w:hint="eastAsia" w:ascii="仿宋_GB2312" w:hAnsi="仿宋_GB2312" w:eastAsia="仿宋_GB2312" w:cs="仿宋_GB2312"/>
          <w:sz w:val="32"/>
          <w:szCs w:val="32"/>
        </w:rPr>
      </w:pPr>
    </w:p>
    <w:p w14:paraId="580AF015">
      <w:pPr>
        <w:numPr>
          <w:ilvl w:val="0"/>
          <w:numId w:val="0"/>
        </w:numPr>
        <w:ind w:firstLine="640" w:firstLineChars="200"/>
        <w:rPr>
          <w:rFonts w:hint="eastAsia" w:ascii="仿宋_GB2312" w:hAnsi="仿宋_GB2312" w:eastAsia="仿宋_GB2312" w:cs="仿宋_GB2312"/>
          <w:sz w:val="32"/>
          <w:szCs w:val="32"/>
        </w:rPr>
      </w:pPr>
    </w:p>
    <w:p w14:paraId="34F27A71">
      <w:pPr>
        <w:numPr>
          <w:ilvl w:val="0"/>
          <w:numId w:val="0"/>
        </w:numPr>
        <w:ind w:firstLine="640" w:firstLineChars="200"/>
        <w:rPr>
          <w:rFonts w:hint="eastAsia" w:ascii="仿宋_GB2312" w:hAnsi="仿宋_GB2312" w:eastAsia="仿宋_GB2312" w:cs="仿宋_GB2312"/>
          <w:sz w:val="32"/>
          <w:szCs w:val="32"/>
        </w:rPr>
      </w:pPr>
    </w:p>
    <w:p w14:paraId="6BEF10CD">
      <w:pPr>
        <w:numPr>
          <w:ilvl w:val="0"/>
          <w:numId w:val="0"/>
        </w:numPr>
        <w:ind w:firstLine="640" w:firstLineChars="200"/>
        <w:rPr>
          <w:rFonts w:hint="eastAsia" w:ascii="仿宋_GB2312" w:hAnsi="仿宋_GB2312" w:eastAsia="仿宋_GB2312" w:cs="仿宋_GB2312"/>
          <w:sz w:val="32"/>
          <w:szCs w:val="32"/>
        </w:rPr>
      </w:pPr>
    </w:p>
    <w:p w14:paraId="22D813CD">
      <w:pPr>
        <w:numPr>
          <w:ilvl w:val="0"/>
          <w:numId w:val="0"/>
        </w:numPr>
        <w:ind w:firstLine="640" w:firstLineChars="200"/>
        <w:rPr>
          <w:rFonts w:hint="eastAsia" w:ascii="仿宋_GB2312" w:hAnsi="仿宋_GB2312" w:eastAsia="仿宋_GB2312" w:cs="仿宋_GB2312"/>
          <w:sz w:val="32"/>
          <w:szCs w:val="32"/>
        </w:rPr>
      </w:pPr>
    </w:p>
    <w:p w14:paraId="668A4D14">
      <w:pPr>
        <w:numPr>
          <w:ilvl w:val="0"/>
          <w:numId w:val="0"/>
        </w:numPr>
        <w:ind w:firstLine="640" w:firstLineChars="200"/>
        <w:rPr>
          <w:rFonts w:hint="eastAsia" w:ascii="仿宋_GB2312" w:hAnsi="仿宋_GB2312" w:eastAsia="仿宋_GB2312" w:cs="仿宋_GB2312"/>
          <w:sz w:val="32"/>
          <w:szCs w:val="32"/>
        </w:rPr>
      </w:pPr>
    </w:p>
    <w:p w14:paraId="389865EB">
      <w:pPr>
        <w:numPr>
          <w:ilvl w:val="0"/>
          <w:numId w:val="0"/>
        </w:numPr>
        <w:ind w:firstLine="640" w:firstLineChars="200"/>
        <w:rPr>
          <w:rFonts w:hint="eastAsia" w:ascii="仿宋_GB2312" w:hAnsi="仿宋_GB2312" w:eastAsia="仿宋_GB2312" w:cs="仿宋_GB2312"/>
          <w:sz w:val="32"/>
          <w:szCs w:val="32"/>
        </w:rPr>
      </w:pPr>
    </w:p>
    <w:p w14:paraId="28A5D6C9">
      <w:pPr>
        <w:numPr>
          <w:ilvl w:val="0"/>
          <w:numId w:val="0"/>
        </w:numPr>
        <w:ind w:firstLine="640" w:firstLineChars="200"/>
        <w:rPr>
          <w:rFonts w:hint="eastAsia" w:ascii="仿宋_GB2312" w:hAnsi="仿宋_GB2312" w:eastAsia="仿宋_GB2312" w:cs="仿宋_GB2312"/>
          <w:sz w:val="32"/>
          <w:szCs w:val="32"/>
        </w:rPr>
      </w:pPr>
    </w:p>
    <w:p w14:paraId="070EC813">
      <w:pPr>
        <w:numPr>
          <w:ilvl w:val="0"/>
          <w:numId w:val="0"/>
        </w:numPr>
        <w:ind w:firstLine="640" w:firstLineChars="200"/>
        <w:rPr>
          <w:rFonts w:hint="eastAsia" w:ascii="仿宋_GB2312" w:hAnsi="仿宋_GB2312" w:eastAsia="仿宋_GB2312" w:cs="仿宋_GB2312"/>
          <w:sz w:val="32"/>
          <w:szCs w:val="32"/>
        </w:rPr>
      </w:pPr>
    </w:p>
    <w:p w14:paraId="1E30A6A8">
      <w:pPr>
        <w:numPr>
          <w:ilvl w:val="0"/>
          <w:numId w:val="0"/>
        </w:numPr>
        <w:ind w:firstLine="640" w:firstLineChars="200"/>
        <w:rPr>
          <w:rFonts w:hint="eastAsia" w:ascii="仿宋_GB2312" w:hAnsi="仿宋_GB2312" w:eastAsia="仿宋_GB2312" w:cs="仿宋_GB2312"/>
          <w:sz w:val="32"/>
          <w:szCs w:val="32"/>
        </w:rPr>
      </w:pPr>
    </w:p>
    <w:p w14:paraId="2AE07376">
      <w:pPr>
        <w:numPr>
          <w:ilvl w:val="0"/>
          <w:numId w:val="0"/>
        </w:numPr>
        <w:rPr>
          <w:rFonts w:hint="eastAsia" w:ascii="仿宋_GB2312" w:hAnsi="仿宋_GB2312" w:eastAsia="仿宋_GB2312" w:cs="仿宋_GB2312"/>
          <w:sz w:val="32"/>
          <w:szCs w:val="32"/>
        </w:rPr>
      </w:pPr>
    </w:p>
    <w:p w14:paraId="151B70DC">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14:paraId="4A58BD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南阳市赋予乡镇（街道）行政处罚权</w:t>
      </w:r>
    </w:p>
    <w:p w14:paraId="4AFDEEF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事项清单</w:t>
      </w:r>
    </w:p>
    <w:p w14:paraId="70B2A5C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2025年</w:t>
      </w:r>
      <w:r>
        <w:rPr>
          <w:rFonts w:hint="eastAsia" w:ascii="方正小标宋简体" w:hAnsi="方正小标宋简体" w:eastAsia="方正小标宋简体" w:cs="方正小标宋简体"/>
          <w:b w:val="0"/>
          <w:bCs w:val="0"/>
          <w:color w:val="auto"/>
          <w:sz w:val="44"/>
          <w:szCs w:val="44"/>
          <w:lang w:eastAsia="zh-CN"/>
        </w:rPr>
        <w:t>）</w:t>
      </w:r>
    </w:p>
    <w:tbl>
      <w:tblPr>
        <w:tblStyle w:val="2"/>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2767"/>
        <w:gridCol w:w="1200"/>
        <w:gridCol w:w="3116"/>
        <w:gridCol w:w="1262"/>
      </w:tblGrid>
      <w:tr w14:paraId="39C6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blHeader/>
          <w:jc w:val="center"/>
        </w:trPr>
        <w:tc>
          <w:tcPr>
            <w:tcW w:w="711" w:type="dxa"/>
            <w:noWrap w:val="0"/>
            <w:vAlign w:val="center"/>
          </w:tcPr>
          <w:p w14:paraId="418767E7">
            <w:pPr>
              <w:spacing w:line="240" w:lineRule="atLeas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序号</w:t>
            </w:r>
          </w:p>
        </w:tc>
        <w:tc>
          <w:tcPr>
            <w:tcW w:w="2767" w:type="dxa"/>
            <w:noWrap w:val="0"/>
            <w:vAlign w:val="center"/>
          </w:tcPr>
          <w:p w14:paraId="51587C96">
            <w:pPr>
              <w:widowControl/>
              <w:spacing w:line="240" w:lineRule="atLeast"/>
              <w:jc w:val="center"/>
              <w:textAlignment w:val="center"/>
              <w:rPr>
                <w:rFonts w:hint="eastAsia" w:ascii="Times New Roman" w:hAnsi="Times New Roman" w:eastAsia="黑体" w:cs="Times New Roman"/>
                <w:color w:val="000000"/>
                <w:szCs w:val="21"/>
                <w:lang w:eastAsia="zh-CN"/>
              </w:rPr>
            </w:pPr>
            <w:r>
              <w:rPr>
                <w:rFonts w:hint="eastAsia" w:ascii="Times New Roman" w:hAnsi="Times New Roman" w:eastAsia="黑体" w:cs="Times New Roman"/>
                <w:color w:val="000000"/>
                <w:szCs w:val="21"/>
                <w:lang w:eastAsia="zh-CN"/>
              </w:rPr>
              <w:t>事项名称</w:t>
            </w:r>
          </w:p>
        </w:tc>
        <w:tc>
          <w:tcPr>
            <w:tcW w:w="1200" w:type="dxa"/>
            <w:noWrap w:val="0"/>
            <w:vAlign w:val="center"/>
          </w:tcPr>
          <w:p w14:paraId="61F6CAFA">
            <w:pPr>
              <w:widowControl/>
              <w:spacing w:line="240" w:lineRule="atLeas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执法领域</w:t>
            </w:r>
          </w:p>
        </w:tc>
        <w:tc>
          <w:tcPr>
            <w:tcW w:w="3116" w:type="dxa"/>
            <w:noWrap w:val="0"/>
            <w:vAlign w:val="center"/>
          </w:tcPr>
          <w:p w14:paraId="218D7B56">
            <w:pPr>
              <w:widowControl/>
              <w:spacing w:line="240" w:lineRule="atLeas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实施依据</w:t>
            </w:r>
          </w:p>
        </w:tc>
        <w:tc>
          <w:tcPr>
            <w:tcW w:w="1262" w:type="dxa"/>
            <w:noWrap w:val="0"/>
            <w:vAlign w:val="center"/>
          </w:tcPr>
          <w:p w14:paraId="7315E602">
            <w:pPr>
              <w:widowControl/>
              <w:spacing w:line="240" w:lineRule="atLeas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行使范围</w:t>
            </w:r>
          </w:p>
        </w:tc>
      </w:tr>
      <w:tr w14:paraId="04CB7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711" w:type="dxa"/>
            <w:noWrap w:val="0"/>
            <w:vAlign w:val="center"/>
          </w:tcPr>
          <w:p w14:paraId="1040191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 w:val="22"/>
                <w:szCs w:val="22"/>
                <w:lang w:bidi="ar"/>
              </w:rPr>
              <w:t>1</w:t>
            </w:r>
          </w:p>
        </w:tc>
        <w:tc>
          <w:tcPr>
            <w:tcW w:w="2767" w:type="dxa"/>
            <w:noWrap w:val="0"/>
            <w:vAlign w:val="center"/>
          </w:tcPr>
          <w:p w14:paraId="022D9DF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spacing w:val="-6"/>
                <w:kern w:val="0"/>
                <w:szCs w:val="21"/>
                <w:lang w:bidi="ar"/>
              </w:rPr>
              <w:t>对擅自占用、</w:t>
            </w:r>
            <w:r>
              <w:rPr>
                <w:rFonts w:hint="default" w:ascii="Times New Roman" w:hAnsi="Times New Roman" w:eastAsia="宋体" w:cs="Times New Roman"/>
                <w:color w:val="000000"/>
                <w:kern w:val="0"/>
                <w:szCs w:val="21"/>
                <w:lang w:bidi="ar"/>
              </w:rPr>
              <w:t>挖掘公路的行政处罚</w:t>
            </w:r>
          </w:p>
        </w:tc>
        <w:tc>
          <w:tcPr>
            <w:tcW w:w="1200" w:type="dxa"/>
            <w:noWrap w:val="0"/>
            <w:vAlign w:val="center"/>
          </w:tcPr>
          <w:p w14:paraId="2F2EDF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749038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Cs w:val="21"/>
                <w:lang w:eastAsia="zh-CN"/>
              </w:rPr>
            </w:pP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第四十四条第一款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第七十六条第一项</w:t>
            </w:r>
          </w:p>
        </w:tc>
        <w:tc>
          <w:tcPr>
            <w:tcW w:w="1262" w:type="dxa"/>
            <w:noWrap w:val="0"/>
            <w:vAlign w:val="center"/>
          </w:tcPr>
          <w:p w14:paraId="29C4D7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17D28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711" w:type="dxa"/>
            <w:noWrap w:val="0"/>
            <w:vAlign w:val="center"/>
          </w:tcPr>
          <w:p w14:paraId="79ABF1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 w:val="22"/>
                <w:szCs w:val="22"/>
                <w:lang w:bidi="ar"/>
              </w:rPr>
              <w:t>2</w:t>
            </w:r>
          </w:p>
        </w:tc>
        <w:tc>
          <w:tcPr>
            <w:tcW w:w="2767" w:type="dxa"/>
            <w:noWrap w:val="0"/>
            <w:vAlign w:val="center"/>
          </w:tcPr>
          <w:p w14:paraId="1440B45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对铁轮车、履带车和其他可能损害路面的机具擅自在公路上行驶的行政处罚</w:t>
            </w:r>
          </w:p>
        </w:tc>
        <w:tc>
          <w:tcPr>
            <w:tcW w:w="1200" w:type="dxa"/>
            <w:noWrap w:val="0"/>
            <w:vAlign w:val="center"/>
          </w:tcPr>
          <w:p w14:paraId="303E07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2484A11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第四十八条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第七十六条第四项</w:t>
            </w:r>
          </w:p>
        </w:tc>
        <w:tc>
          <w:tcPr>
            <w:tcW w:w="1262" w:type="dxa"/>
            <w:noWrap w:val="0"/>
            <w:vAlign w:val="center"/>
          </w:tcPr>
          <w:p w14:paraId="3901B8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338C4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711" w:type="dxa"/>
            <w:noWrap w:val="0"/>
            <w:vAlign w:val="center"/>
          </w:tcPr>
          <w:p w14:paraId="4A7401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 w:val="22"/>
                <w:szCs w:val="22"/>
                <w:lang w:bidi="ar"/>
              </w:rPr>
              <w:t>3</w:t>
            </w:r>
          </w:p>
        </w:tc>
        <w:tc>
          <w:tcPr>
            <w:tcW w:w="2767" w:type="dxa"/>
            <w:noWrap w:val="0"/>
            <w:vAlign w:val="center"/>
          </w:tcPr>
          <w:p w14:paraId="43AF3C7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对损坏、移动、涂改公路附属设施或者损坏、挪动建筑控</w:t>
            </w:r>
            <w:r>
              <w:rPr>
                <w:rFonts w:hint="default" w:ascii="Times New Roman" w:hAnsi="Times New Roman" w:eastAsia="宋体" w:cs="Times New Roman"/>
                <w:color w:val="000000"/>
                <w:spacing w:val="-8"/>
                <w:kern w:val="0"/>
                <w:szCs w:val="21"/>
                <w:lang w:bidi="ar"/>
              </w:rPr>
              <w:t>制区的标桩</w:t>
            </w:r>
            <w:r>
              <w:rPr>
                <w:rFonts w:hint="default" w:ascii="Times New Roman" w:hAnsi="Times New Roman" w:eastAsia="宋体" w:cs="Times New Roman"/>
                <w:color w:val="000000"/>
                <w:kern w:val="0"/>
                <w:szCs w:val="21"/>
                <w:lang w:bidi="ar"/>
              </w:rPr>
              <w:t>、界桩，可能危及公路安全的行政处罚</w:t>
            </w:r>
          </w:p>
        </w:tc>
        <w:tc>
          <w:tcPr>
            <w:tcW w:w="1200" w:type="dxa"/>
            <w:noWrap w:val="0"/>
            <w:vAlign w:val="center"/>
          </w:tcPr>
          <w:p w14:paraId="4659E7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7A04E9D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kern w:val="0"/>
                <w:sz w:val="10"/>
                <w:szCs w:val="10"/>
                <w:lang w:bidi="ar"/>
              </w:rPr>
            </w:pPr>
          </w:p>
          <w:p w14:paraId="535B74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rPr>
              <w:t>《</w:t>
            </w: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第五十二条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第五十六条第三款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第七十六条第六项</w:t>
            </w:r>
          </w:p>
        </w:tc>
        <w:tc>
          <w:tcPr>
            <w:tcW w:w="1262" w:type="dxa"/>
            <w:noWrap w:val="0"/>
            <w:vAlign w:val="center"/>
          </w:tcPr>
          <w:p w14:paraId="08AEBD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4392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3" w:hRule="atLeast"/>
          <w:jc w:val="center"/>
        </w:trPr>
        <w:tc>
          <w:tcPr>
            <w:tcW w:w="711" w:type="dxa"/>
            <w:noWrap w:val="0"/>
            <w:vAlign w:val="center"/>
          </w:tcPr>
          <w:p w14:paraId="3D00E9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 w:val="22"/>
                <w:szCs w:val="22"/>
                <w:lang w:bidi="ar"/>
              </w:rPr>
              <w:t>4</w:t>
            </w:r>
          </w:p>
        </w:tc>
        <w:tc>
          <w:tcPr>
            <w:tcW w:w="2767" w:type="dxa"/>
            <w:noWrap w:val="0"/>
            <w:vAlign w:val="center"/>
          </w:tcPr>
          <w:p w14:paraId="4FA1BF7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对在公路上及公路用地范围内摆摊设点、堆放物品、倾倒垃圾、设置障碍、挖沟引水、利用公路边沟排放污物或者进行其他损坏、污染公路和影响公路畅通的活动的行政处罚</w:t>
            </w:r>
          </w:p>
        </w:tc>
        <w:tc>
          <w:tcPr>
            <w:tcW w:w="1200" w:type="dxa"/>
            <w:noWrap w:val="0"/>
            <w:vAlign w:val="center"/>
          </w:tcPr>
          <w:p w14:paraId="42B27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3B9E42D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color w:val="000000"/>
                <w:kern w:val="0"/>
                <w:szCs w:val="21"/>
                <w:lang w:eastAsia="zh-CN" w:bidi="ar"/>
              </w:rPr>
            </w:pP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第四十六条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第七十七条</w:t>
            </w:r>
          </w:p>
          <w:p w14:paraId="2248CB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kern w:val="0"/>
                <w:szCs w:val="21"/>
                <w:lang w:bidi="ar"/>
              </w:rPr>
              <w:t>《河南省农村公路条例》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第四十一条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第五十五条</w:t>
            </w:r>
          </w:p>
        </w:tc>
        <w:tc>
          <w:tcPr>
            <w:tcW w:w="1262" w:type="dxa"/>
            <w:noWrap w:val="0"/>
            <w:vAlign w:val="center"/>
          </w:tcPr>
          <w:p w14:paraId="0D68B3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村道</w:t>
            </w:r>
          </w:p>
        </w:tc>
      </w:tr>
      <w:tr w14:paraId="26C0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jc w:val="center"/>
        </w:trPr>
        <w:tc>
          <w:tcPr>
            <w:tcW w:w="711" w:type="dxa"/>
            <w:noWrap w:val="0"/>
            <w:vAlign w:val="center"/>
          </w:tcPr>
          <w:p w14:paraId="258E48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5</w:t>
            </w:r>
          </w:p>
        </w:tc>
        <w:tc>
          <w:tcPr>
            <w:tcW w:w="2767" w:type="dxa"/>
            <w:noWrap w:val="0"/>
            <w:vAlign w:val="center"/>
          </w:tcPr>
          <w:p w14:paraId="5CF25ED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对造成公路损坏未报告的行政处罚</w:t>
            </w:r>
          </w:p>
        </w:tc>
        <w:tc>
          <w:tcPr>
            <w:tcW w:w="1200" w:type="dxa"/>
            <w:noWrap w:val="0"/>
            <w:vAlign w:val="center"/>
          </w:tcPr>
          <w:p w14:paraId="505B78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top"/>
          </w:tcPr>
          <w:p w14:paraId="1BBA28C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第五十三条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第七十八条</w:t>
            </w:r>
          </w:p>
        </w:tc>
        <w:tc>
          <w:tcPr>
            <w:tcW w:w="1262" w:type="dxa"/>
            <w:noWrap w:val="0"/>
            <w:vAlign w:val="center"/>
          </w:tcPr>
          <w:p w14:paraId="174CCA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46FF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11" w:type="dxa"/>
            <w:noWrap w:val="0"/>
            <w:vAlign w:val="center"/>
          </w:tcPr>
          <w:p w14:paraId="08BE0F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6</w:t>
            </w:r>
          </w:p>
        </w:tc>
        <w:tc>
          <w:tcPr>
            <w:tcW w:w="2767" w:type="dxa"/>
            <w:noWrap w:val="0"/>
            <w:vAlign w:val="center"/>
          </w:tcPr>
          <w:p w14:paraId="3A08BF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对未经批准在公路上增设平面交叉道口的行政处罚</w:t>
            </w:r>
          </w:p>
        </w:tc>
        <w:tc>
          <w:tcPr>
            <w:tcW w:w="1200" w:type="dxa"/>
            <w:noWrap w:val="0"/>
            <w:vAlign w:val="center"/>
          </w:tcPr>
          <w:p w14:paraId="646744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1204DC0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第五十五条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第八十条</w:t>
            </w:r>
          </w:p>
        </w:tc>
        <w:tc>
          <w:tcPr>
            <w:tcW w:w="1262" w:type="dxa"/>
            <w:noWrap w:val="0"/>
            <w:vAlign w:val="center"/>
          </w:tcPr>
          <w:p w14:paraId="24F10E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4CD3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noWrap w:val="0"/>
            <w:vAlign w:val="center"/>
          </w:tcPr>
          <w:p w14:paraId="042B57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w:t>
            </w:r>
          </w:p>
        </w:tc>
        <w:tc>
          <w:tcPr>
            <w:tcW w:w="2767" w:type="dxa"/>
            <w:noWrap w:val="0"/>
            <w:vAlign w:val="center"/>
          </w:tcPr>
          <w:p w14:paraId="27B44B0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对在公路建筑控制区内修建建筑物、地面构筑物或者擅自埋设管线、电缆等设施的行政处罚</w:t>
            </w:r>
          </w:p>
        </w:tc>
        <w:tc>
          <w:tcPr>
            <w:tcW w:w="1200" w:type="dxa"/>
            <w:noWrap w:val="0"/>
            <w:vAlign w:val="center"/>
          </w:tcPr>
          <w:p w14:paraId="7A4DBF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36B0A7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《中华人民共和国公路法》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第五十六条第一款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第八十一条</w:t>
            </w:r>
          </w:p>
        </w:tc>
        <w:tc>
          <w:tcPr>
            <w:tcW w:w="1262" w:type="dxa"/>
            <w:noWrap w:val="0"/>
            <w:vAlign w:val="center"/>
          </w:tcPr>
          <w:p w14:paraId="528A88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bidi="ar"/>
              </w:rPr>
              <w:t>乡道</w:t>
            </w:r>
          </w:p>
        </w:tc>
      </w:tr>
      <w:tr w14:paraId="5A687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noWrap w:val="0"/>
            <w:vAlign w:val="center"/>
          </w:tcPr>
          <w:p w14:paraId="39894D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8</w:t>
            </w:r>
          </w:p>
        </w:tc>
        <w:tc>
          <w:tcPr>
            <w:tcW w:w="2767" w:type="dxa"/>
            <w:noWrap w:val="0"/>
            <w:vAlign w:val="center"/>
          </w:tcPr>
          <w:p w14:paraId="390B45C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对在公路建筑控制区外修建的建筑物、地面构筑物以及其他设施遮挡公路标志或者妨碍安全视距的行政处罚</w:t>
            </w:r>
          </w:p>
        </w:tc>
        <w:tc>
          <w:tcPr>
            <w:tcW w:w="1200" w:type="dxa"/>
            <w:noWrap w:val="0"/>
            <w:vAlign w:val="center"/>
          </w:tcPr>
          <w:p w14:paraId="09B82A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2EA5FCE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《公路安全保护条例》（</w:t>
            </w:r>
            <w:r>
              <w:rPr>
                <w:rFonts w:hint="eastAsia" w:ascii="Times New Roman" w:hAnsi="Times New Roman" w:eastAsia="宋体" w:cs="Times New Roman"/>
                <w:color w:val="000000"/>
                <w:kern w:val="0"/>
                <w:szCs w:val="21"/>
                <w:lang w:eastAsia="zh-CN" w:bidi="ar"/>
              </w:rPr>
              <w:t>国务院令第</w:t>
            </w:r>
            <w:r>
              <w:rPr>
                <w:rFonts w:hint="eastAsia" w:ascii="Times New Roman" w:hAnsi="Times New Roman" w:eastAsia="宋体" w:cs="Times New Roman"/>
                <w:color w:val="000000"/>
                <w:kern w:val="0"/>
                <w:szCs w:val="21"/>
                <w:lang w:val="en-US" w:eastAsia="zh-CN" w:bidi="ar"/>
              </w:rPr>
              <w:t>593号</w:t>
            </w:r>
            <w:r>
              <w:rPr>
                <w:rFonts w:hint="default"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第十三条第二款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spacing w:val="-4"/>
                <w:kern w:val="0"/>
                <w:szCs w:val="21"/>
                <w:lang w:bidi="ar"/>
              </w:rPr>
              <w:t>第五十六条第二项</w:t>
            </w:r>
          </w:p>
        </w:tc>
        <w:tc>
          <w:tcPr>
            <w:tcW w:w="1262" w:type="dxa"/>
            <w:noWrap w:val="0"/>
            <w:vAlign w:val="center"/>
          </w:tcPr>
          <w:p w14:paraId="433C48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0DEA4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711" w:type="dxa"/>
            <w:noWrap w:val="0"/>
            <w:vAlign w:val="center"/>
          </w:tcPr>
          <w:p w14:paraId="7166540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9</w:t>
            </w:r>
          </w:p>
        </w:tc>
        <w:tc>
          <w:tcPr>
            <w:tcW w:w="2767" w:type="dxa"/>
            <w:noWrap w:val="0"/>
            <w:vAlign w:val="center"/>
          </w:tcPr>
          <w:p w14:paraId="68E06CF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对涉路工程设施影响公路完好、安全和畅通的行政处罚</w:t>
            </w:r>
          </w:p>
        </w:tc>
        <w:tc>
          <w:tcPr>
            <w:tcW w:w="1200" w:type="dxa"/>
            <w:noWrap w:val="0"/>
            <w:vAlign w:val="center"/>
          </w:tcPr>
          <w:p w14:paraId="1645D8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5FEB81F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《公路安全保护条例》（国务院令第593号）</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第二十九条第三款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第六十条第二项</w:t>
            </w:r>
          </w:p>
        </w:tc>
        <w:tc>
          <w:tcPr>
            <w:tcW w:w="1262" w:type="dxa"/>
            <w:noWrap w:val="0"/>
            <w:vAlign w:val="center"/>
          </w:tcPr>
          <w:p w14:paraId="33D9DE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eastAsia="宋体" w:cs="Times New Roman"/>
                <w:color w:val="000000"/>
                <w:kern w:val="0"/>
                <w:szCs w:val="21"/>
                <w:lang w:bidi="ar"/>
              </w:rPr>
              <w:t>乡道</w:t>
            </w:r>
          </w:p>
        </w:tc>
      </w:tr>
      <w:tr w14:paraId="02C2A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711" w:type="dxa"/>
            <w:noWrap w:val="0"/>
            <w:tcMar>
              <w:left w:w="28" w:type="dxa"/>
              <w:right w:w="28" w:type="dxa"/>
            </w:tcMar>
            <w:vAlign w:val="center"/>
          </w:tcPr>
          <w:p w14:paraId="1549D3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10</w:t>
            </w:r>
          </w:p>
        </w:tc>
        <w:tc>
          <w:tcPr>
            <w:tcW w:w="2767" w:type="dxa"/>
            <w:noWrap w:val="0"/>
            <w:vAlign w:val="center"/>
          </w:tcPr>
          <w:p w14:paraId="36ED045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对擅自占用、挖掘村道的行政处罚</w:t>
            </w:r>
          </w:p>
        </w:tc>
        <w:tc>
          <w:tcPr>
            <w:tcW w:w="1200" w:type="dxa"/>
            <w:noWrap w:val="0"/>
            <w:vAlign w:val="center"/>
          </w:tcPr>
          <w:p w14:paraId="24EAB2B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5964637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《河南省农村公路条例》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第三十九条第一款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第五十三条第一项</w:t>
            </w:r>
          </w:p>
        </w:tc>
        <w:tc>
          <w:tcPr>
            <w:tcW w:w="1262" w:type="dxa"/>
            <w:noWrap w:val="0"/>
            <w:vAlign w:val="center"/>
          </w:tcPr>
          <w:p w14:paraId="10809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val="en-US" w:eastAsia="zh-CN" w:bidi="ar"/>
              </w:rPr>
              <w:t xml:space="preserve"> </w:t>
            </w:r>
          </w:p>
        </w:tc>
      </w:tr>
      <w:tr w14:paraId="14FB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7" w:hRule="atLeast"/>
          <w:jc w:val="center"/>
        </w:trPr>
        <w:tc>
          <w:tcPr>
            <w:tcW w:w="711" w:type="dxa"/>
            <w:noWrap w:val="0"/>
            <w:tcMar>
              <w:left w:w="28" w:type="dxa"/>
              <w:right w:w="28" w:type="dxa"/>
            </w:tcMar>
            <w:vAlign w:val="center"/>
          </w:tcPr>
          <w:p w14:paraId="62788C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11</w:t>
            </w:r>
          </w:p>
        </w:tc>
        <w:tc>
          <w:tcPr>
            <w:tcW w:w="2767" w:type="dxa"/>
            <w:noWrap w:val="0"/>
            <w:vAlign w:val="center"/>
          </w:tcPr>
          <w:p w14:paraId="2F5EB34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对铁轮车、履带车和其他可能损害公路路面的机具或者车辆擅自在村道上行驶的行政处罚</w:t>
            </w:r>
          </w:p>
        </w:tc>
        <w:tc>
          <w:tcPr>
            <w:tcW w:w="1200" w:type="dxa"/>
            <w:noWrap w:val="0"/>
            <w:vAlign w:val="center"/>
          </w:tcPr>
          <w:p w14:paraId="10AB27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7EFF03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《河南省农村公路条例》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第四十五条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第五十三条第四项</w:t>
            </w:r>
          </w:p>
        </w:tc>
        <w:tc>
          <w:tcPr>
            <w:tcW w:w="1262" w:type="dxa"/>
            <w:noWrap w:val="0"/>
            <w:vAlign w:val="center"/>
          </w:tcPr>
          <w:p w14:paraId="328B0E6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4F11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711" w:type="dxa"/>
            <w:noWrap w:val="0"/>
            <w:tcMar>
              <w:left w:w="28" w:type="dxa"/>
              <w:right w:w="28" w:type="dxa"/>
            </w:tcMar>
            <w:vAlign w:val="center"/>
          </w:tcPr>
          <w:p w14:paraId="459256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w:t>
            </w:r>
          </w:p>
        </w:tc>
        <w:tc>
          <w:tcPr>
            <w:tcW w:w="2767" w:type="dxa"/>
            <w:noWrap w:val="0"/>
            <w:vAlign w:val="center"/>
          </w:tcPr>
          <w:p w14:paraId="7F40AF3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对损坏或者擅自移动、涂改村道附属设施和标志的行政处罚</w:t>
            </w:r>
          </w:p>
        </w:tc>
        <w:tc>
          <w:tcPr>
            <w:tcW w:w="1200" w:type="dxa"/>
            <w:noWrap w:val="0"/>
            <w:vAlign w:val="center"/>
          </w:tcPr>
          <w:p w14:paraId="285D1D0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5E27AB2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《河南省农村公路条例》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第四十六条第一款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第五十三条第六项</w:t>
            </w:r>
          </w:p>
        </w:tc>
        <w:tc>
          <w:tcPr>
            <w:tcW w:w="1262" w:type="dxa"/>
            <w:noWrap w:val="0"/>
            <w:vAlign w:val="center"/>
          </w:tcPr>
          <w:p w14:paraId="388103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val="en-US" w:eastAsia="zh-CN" w:bidi="ar"/>
              </w:rPr>
              <w:t xml:space="preserve"> </w:t>
            </w:r>
          </w:p>
        </w:tc>
      </w:tr>
      <w:tr w14:paraId="2CB79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jc w:val="center"/>
        </w:trPr>
        <w:tc>
          <w:tcPr>
            <w:tcW w:w="711" w:type="dxa"/>
            <w:noWrap w:val="0"/>
            <w:tcMar>
              <w:left w:w="28" w:type="dxa"/>
              <w:right w:w="28" w:type="dxa"/>
            </w:tcMar>
            <w:vAlign w:val="center"/>
          </w:tcPr>
          <w:p w14:paraId="66CE1E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13</w:t>
            </w:r>
          </w:p>
        </w:tc>
        <w:tc>
          <w:tcPr>
            <w:tcW w:w="2767" w:type="dxa"/>
            <w:noWrap w:val="0"/>
            <w:vAlign w:val="center"/>
          </w:tcPr>
          <w:p w14:paraId="614C20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kern w:val="0"/>
                <w:szCs w:val="21"/>
                <w:lang w:eastAsia="zh-CN" w:bidi="ar"/>
              </w:rPr>
            </w:pPr>
            <w:r>
              <w:rPr>
                <w:rFonts w:hint="default" w:ascii="Times New Roman" w:hAnsi="Times New Roman" w:eastAsia="宋体" w:cs="Times New Roman"/>
                <w:color w:val="000000"/>
                <w:kern w:val="0"/>
                <w:szCs w:val="21"/>
                <w:lang w:bidi="ar"/>
              </w:rPr>
              <w:t>对在村道公路建筑控制区内修建建筑物、构筑物或者擅自架设、埋设管线、电缆等设施的行政处罚</w:t>
            </w:r>
          </w:p>
        </w:tc>
        <w:tc>
          <w:tcPr>
            <w:tcW w:w="1200" w:type="dxa"/>
            <w:noWrap w:val="0"/>
            <w:vAlign w:val="center"/>
          </w:tcPr>
          <w:p w14:paraId="33D3FF8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交通运输</w:t>
            </w:r>
          </w:p>
        </w:tc>
        <w:tc>
          <w:tcPr>
            <w:tcW w:w="3116" w:type="dxa"/>
            <w:noWrap w:val="0"/>
            <w:vAlign w:val="center"/>
          </w:tcPr>
          <w:p w14:paraId="573CFEE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《河南省农村公路条例》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第四十三条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第五十四条第一款</w:t>
            </w:r>
          </w:p>
        </w:tc>
        <w:tc>
          <w:tcPr>
            <w:tcW w:w="1262" w:type="dxa"/>
            <w:noWrap w:val="0"/>
            <w:vAlign w:val="center"/>
          </w:tcPr>
          <w:p w14:paraId="0E95B1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val="en-US" w:eastAsia="zh-CN" w:bidi="ar"/>
              </w:rPr>
              <w:t xml:space="preserve"> </w:t>
            </w:r>
          </w:p>
        </w:tc>
      </w:tr>
      <w:tr w14:paraId="10927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711" w:type="dxa"/>
            <w:noWrap w:val="0"/>
            <w:tcMar>
              <w:left w:w="28" w:type="dxa"/>
              <w:right w:w="28" w:type="dxa"/>
            </w:tcMar>
            <w:vAlign w:val="center"/>
          </w:tcPr>
          <w:p w14:paraId="31ED7A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14</w:t>
            </w:r>
          </w:p>
        </w:tc>
        <w:tc>
          <w:tcPr>
            <w:tcW w:w="2767" w:type="dxa"/>
            <w:noWrap w:val="0"/>
            <w:vAlign w:val="center"/>
          </w:tcPr>
          <w:p w14:paraId="640A083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对在农村集中供水管道上直接装泵抽水的行政处罚</w:t>
            </w:r>
          </w:p>
        </w:tc>
        <w:tc>
          <w:tcPr>
            <w:tcW w:w="1200" w:type="dxa"/>
            <w:noWrap w:val="0"/>
            <w:vAlign w:val="center"/>
          </w:tcPr>
          <w:p w14:paraId="6A4165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水利</w:t>
            </w:r>
          </w:p>
        </w:tc>
        <w:tc>
          <w:tcPr>
            <w:tcW w:w="3116" w:type="dxa"/>
            <w:noWrap w:val="0"/>
            <w:vAlign w:val="center"/>
          </w:tcPr>
          <w:p w14:paraId="01395B3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spacing w:val="-8"/>
                <w:kern w:val="0"/>
                <w:szCs w:val="21"/>
                <w:lang w:bidi="ar"/>
              </w:rPr>
              <w:t>《河南省农村供水管理办法》（省政府</w:t>
            </w:r>
            <w:r>
              <w:rPr>
                <w:rFonts w:hint="eastAsia" w:ascii="Times New Roman" w:hAnsi="Times New Roman" w:eastAsia="宋体" w:cs="Times New Roman"/>
                <w:color w:val="000000"/>
                <w:spacing w:val="-8"/>
                <w:kern w:val="0"/>
                <w:szCs w:val="21"/>
                <w:lang w:eastAsia="zh-CN" w:bidi="ar"/>
              </w:rPr>
              <w:t>令第</w:t>
            </w:r>
            <w:r>
              <w:rPr>
                <w:rFonts w:hint="eastAsia" w:ascii="Times New Roman" w:hAnsi="Times New Roman" w:eastAsia="宋体" w:cs="Times New Roman"/>
                <w:color w:val="000000"/>
                <w:spacing w:val="-8"/>
                <w:kern w:val="0"/>
                <w:szCs w:val="21"/>
                <w:lang w:val="en-US" w:eastAsia="zh-CN" w:bidi="ar"/>
              </w:rPr>
              <w:t>223号</w:t>
            </w:r>
            <w:r>
              <w:rPr>
                <w:rFonts w:hint="default" w:ascii="Times New Roman" w:hAnsi="Times New Roman" w:eastAsia="宋体" w:cs="Times New Roman"/>
                <w:color w:val="000000"/>
                <w:spacing w:val="-8"/>
                <w:kern w:val="0"/>
                <w:szCs w:val="21"/>
                <w:lang w:bidi="ar"/>
              </w:rPr>
              <w:t>）</w:t>
            </w:r>
            <w:r>
              <w:rPr>
                <w:rFonts w:hint="eastAsia" w:ascii="Times New Roman" w:hAnsi="Times New Roman" w:eastAsia="宋体" w:cs="Times New Roman"/>
                <w:color w:val="000000"/>
                <w:spacing w:val="-8"/>
                <w:kern w:val="0"/>
                <w:szCs w:val="21"/>
                <w:lang w:eastAsia="zh-CN" w:bidi="ar"/>
              </w:rPr>
              <w:t>：</w:t>
            </w:r>
            <w:r>
              <w:rPr>
                <w:rFonts w:hint="default" w:ascii="Times New Roman" w:hAnsi="Times New Roman" w:eastAsia="宋体" w:cs="Times New Roman"/>
                <w:color w:val="000000"/>
                <w:kern w:val="0"/>
                <w:szCs w:val="21"/>
                <w:lang w:bidi="ar"/>
              </w:rPr>
              <w:t>第十七条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第三十七条第一项</w:t>
            </w:r>
          </w:p>
        </w:tc>
        <w:tc>
          <w:tcPr>
            <w:tcW w:w="1262" w:type="dxa"/>
            <w:noWrap w:val="0"/>
            <w:vAlign w:val="center"/>
          </w:tcPr>
          <w:p w14:paraId="6656B50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2688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711" w:type="dxa"/>
            <w:noWrap w:val="0"/>
            <w:tcMar>
              <w:left w:w="28" w:type="dxa"/>
              <w:right w:w="28" w:type="dxa"/>
            </w:tcMar>
            <w:vAlign w:val="center"/>
          </w:tcPr>
          <w:p w14:paraId="6D1C97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15</w:t>
            </w:r>
          </w:p>
        </w:tc>
        <w:tc>
          <w:tcPr>
            <w:tcW w:w="2767" w:type="dxa"/>
            <w:noWrap w:val="0"/>
            <w:vAlign w:val="center"/>
          </w:tcPr>
          <w:p w14:paraId="52D9D07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对生产或者使用有毒、有害物质的单位将其生产、使用的用水管网与农村供水管网系统直接连接的行政处罚</w:t>
            </w:r>
          </w:p>
        </w:tc>
        <w:tc>
          <w:tcPr>
            <w:tcW w:w="1200" w:type="dxa"/>
            <w:noWrap w:val="0"/>
            <w:vAlign w:val="center"/>
          </w:tcPr>
          <w:p w14:paraId="420724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水利</w:t>
            </w:r>
          </w:p>
        </w:tc>
        <w:tc>
          <w:tcPr>
            <w:tcW w:w="3116" w:type="dxa"/>
            <w:noWrap w:val="0"/>
            <w:vAlign w:val="center"/>
          </w:tcPr>
          <w:p w14:paraId="36A859A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《河南省农村供水管理办法》（省政府令第223号）</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第十七条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第三十七条第二项</w:t>
            </w:r>
          </w:p>
        </w:tc>
        <w:tc>
          <w:tcPr>
            <w:tcW w:w="1262" w:type="dxa"/>
            <w:noWrap w:val="0"/>
            <w:vAlign w:val="center"/>
          </w:tcPr>
          <w:p w14:paraId="1D8405E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526F8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711" w:type="dxa"/>
            <w:noWrap w:val="0"/>
            <w:tcMar>
              <w:left w:w="28" w:type="dxa"/>
              <w:right w:w="28" w:type="dxa"/>
            </w:tcMar>
            <w:vAlign w:val="center"/>
          </w:tcPr>
          <w:p w14:paraId="33F340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16</w:t>
            </w:r>
          </w:p>
        </w:tc>
        <w:tc>
          <w:tcPr>
            <w:tcW w:w="2767" w:type="dxa"/>
            <w:noWrap w:val="0"/>
            <w:vAlign w:val="center"/>
          </w:tcPr>
          <w:p w14:paraId="2665857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对移动、喷涂、覆盖、损坏农村供</w:t>
            </w:r>
            <w:r>
              <w:rPr>
                <w:rFonts w:hint="default" w:ascii="Times New Roman" w:hAnsi="Times New Roman" w:eastAsia="宋体" w:cs="Times New Roman"/>
                <w:color w:val="000000"/>
                <w:spacing w:val="-8"/>
                <w:kern w:val="0"/>
                <w:szCs w:val="21"/>
                <w:lang w:bidi="ar"/>
              </w:rPr>
              <w:t>水工程界桩、</w:t>
            </w:r>
            <w:r>
              <w:rPr>
                <w:rFonts w:hint="default" w:ascii="Times New Roman" w:hAnsi="Times New Roman" w:eastAsia="宋体" w:cs="Times New Roman"/>
                <w:color w:val="000000"/>
                <w:kern w:val="0"/>
                <w:szCs w:val="21"/>
                <w:lang w:bidi="ar"/>
              </w:rPr>
              <w:t>公告牌等标识的行政处罚</w:t>
            </w:r>
          </w:p>
        </w:tc>
        <w:tc>
          <w:tcPr>
            <w:tcW w:w="1200" w:type="dxa"/>
            <w:noWrap w:val="0"/>
            <w:vAlign w:val="center"/>
          </w:tcPr>
          <w:p w14:paraId="0362BF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水利</w:t>
            </w:r>
          </w:p>
        </w:tc>
        <w:tc>
          <w:tcPr>
            <w:tcW w:w="3116" w:type="dxa"/>
            <w:noWrap w:val="0"/>
            <w:vAlign w:val="center"/>
          </w:tcPr>
          <w:p w14:paraId="65B5FC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《河南省农村供水管理办法》（省政府令第223号）</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第十五条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第三十七条第三项</w:t>
            </w:r>
          </w:p>
        </w:tc>
        <w:tc>
          <w:tcPr>
            <w:tcW w:w="1262" w:type="dxa"/>
            <w:noWrap w:val="0"/>
            <w:vAlign w:val="center"/>
          </w:tcPr>
          <w:p w14:paraId="15F540A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7716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jc w:val="center"/>
        </w:trPr>
        <w:tc>
          <w:tcPr>
            <w:tcW w:w="711" w:type="dxa"/>
            <w:noWrap w:val="0"/>
            <w:tcMar>
              <w:left w:w="28" w:type="dxa"/>
              <w:right w:w="28" w:type="dxa"/>
            </w:tcMar>
            <w:vAlign w:val="center"/>
          </w:tcPr>
          <w:p w14:paraId="45B13F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highlight w:val="none"/>
              </w:rPr>
            </w:pPr>
            <w:r>
              <w:rPr>
                <w:rFonts w:hint="default" w:ascii="Times New Roman" w:hAnsi="Times New Roman" w:cs="Times New Roman"/>
                <w:color w:val="000000"/>
                <w:kern w:val="0"/>
                <w:sz w:val="22"/>
                <w:szCs w:val="22"/>
                <w:highlight w:val="none"/>
                <w:lang w:bidi="ar"/>
              </w:rPr>
              <w:t>17</w:t>
            </w:r>
          </w:p>
        </w:tc>
        <w:tc>
          <w:tcPr>
            <w:tcW w:w="2767" w:type="dxa"/>
            <w:noWrap w:val="0"/>
            <w:vAlign w:val="center"/>
          </w:tcPr>
          <w:p w14:paraId="7A6C85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对在小型水库内进行毒鱼、炸鱼、电鱼等危害水库安全运行活动的行政处罚</w:t>
            </w:r>
          </w:p>
        </w:tc>
        <w:tc>
          <w:tcPr>
            <w:tcW w:w="1200" w:type="dxa"/>
            <w:noWrap w:val="0"/>
            <w:vAlign w:val="center"/>
          </w:tcPr>
          <w:p w14:paraId="20959B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水利</w:t>
            </w:r>
          </w:p>
        </w:tc>
        <w:tc>
          <w:tcPr>
            <w:tcW w:w="3116" w:type="dxa"/>
            <w:noWrap w:val="0"/>
            <w:vAlign w:val="center"/>
          </w:tcPr>
          <w:p w14:paraId="14978B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Cs w:val="21"/>
                <w:highlight w:val="none"/>
                <w:lang w:eastAsia="zh-CN"/>
              </w:rPr>
            </w:pPr>
            <w:r>
              <w:rPr>
                <w:rFonts w:hint="default" w:ascii="Times New Roman" w:hAnsi="Times New Roman" w:eastAsia="宋体" w:cs="Times New Roman"/>
                <w:color w:val="000000"/>
                <w:kern w:val="0"/>
                <w:szCs w:val="21"/>
                <w:highlight w:val="none"/>
                <w:lang w:bidi="ar"/>
              </w:rPr>
              <w:t>《河南省小型水库管理办法》（</w:t>
            </w:r>
            <w:r>
              <w:rPr>
                <w:rFonts w:hint="eastAsia" w:ascii="Times New Roman" w:hAnsi="Times New Roman" w:eastAsia="宋体" w:cs="Times New Roman"/>
                <w:color w:val="000000"/>
                <w:kern w:val="0"/>
                <w:szCs w:val="21"/>
                <w:highlight w:val="none"/>
                <w:lang w:eastAsia="zh-CN" w:bidi="ar"/>
              </w:rPr>
              <w:t>省政府令第</w:t>
            </w:r>
            <w:r>
              <w:rPr>
                <w:rFonts w:hint="eastAsia" w:ascii="Times New Roman" w:hAnsi="Times New Roman" w:eastAsia="宋体" w:cs="Times New Roman"/>
                <w:color w:val="000000"/>
                <w:kern w:val="0"/>
                <w:szCs w:val="21"/>
                <w:highlight w:val="none"/>
                <w:lang w:val="en-US" w:eastAsia="zh-CN" w:bidi="ar"/>
              </w:rPr>
              <w:t>171号</w:t>
            </w:r>
            <w:r>
              <w:rPr>
                <w:rFonts w:hint="default"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eastAsia="zh-CN" w:bidi="ar"/>
              </w:rPr>
              <w:t>：第</w:t>
            </w:r>
            <w:r>
              <w:rPr>
                <w:rFonts w:hint="default" w:ascii="Times New Roman" w:hAnsi="Times New Roman" w:eastAsia="宋体" w:cs="Times New Roman"/>
                <w:color w:val="000000"/>
                <w:kern w:val="0"/>
                <w:szCs w:val="21"/>
                <w:highlight w:val="none"/>
                <w:lang w:bidi="ar"/>
              </w:rPr>
              <w:t>十二条第六项</w:t>
            </w:r>
            <w:r>
              <w:rPr>
                <w:rFonts w:hint="eastAsia" w:ascii="Times New Roman" w:hAnsi="Times New Roman" w:eastAsia="宋体" w:cs="Times New Roman"/>
                <w:color w:val="000000"/>
                <w:kern w:val="0"/>
                <w:szCs w:val="21"/>
                <w:highlight w:val="none"/>
                <w:lang w:eastAsia="zh-CN" w:bidi="ar"/>
              </w:rPr>
              <w:t>、</w:t>
            </w:r>
            <w:r>
              <w:rPr>
                <w:rFonts w:hint="default" w:ascii="Times New Roman" w:hAnsi="Times New Roman" w:eastAsia="宋体" w:cs="Times New Roman"/>
                <w:color w:val="000000"/>
                <w:kern w:val="0"/>
                <w:szCs w:val="21"/>
                <w:highlight w:val="none"/>
                <w:lang w:bidi="ar"/>
              </w:rPr>
              <w:t>第二十一条第六项</w:t>
            </w:r>
          </w:p>
        </w:tc>
        <w:tc>
          <w:tcPr>
            <w:tcW w:w="1262" w:type="dxa"/>
            <w:noWrap w:val="0"/>
            <w:vAlign w:val="center"/>
          </w:tcPr>
          <w:p w14:paraId="4516560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color w:val="000000"/>
                <w:kern w:val="0"/>
                <w:szCs w:val="21"/>
                <w:highlight w:val="none"/>
                <w:lang w:eastAsia="zh-CN" w:bidi="ar"/>
              </w:rPr>
            </w:pPr>
          </w:p>
        </w:tc>
      </w:tr>
      <w:tr w14:paraId="2C0B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711" w:type="dxa"/>
            <w:noWrap w:val="0"/>
            <w:tcMar>
              <w:left w:w="28" w:type="dxa"/>
              <w:right w:w="28" w:type="dxa"/>
            </w:tcMar>
            <w:vAlign w:val="center"/>
          </w:tcPr>
          <w:p w14:paraId="16D5F6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18</w:t>
            </w:r>
          </w:p>
        </w:tc>
        <w:tc>
          <w:tcPr>
            <w:tcW w:w="2767" w:type="dxa"/>
            <w:noWrap w:val="0"/>
            <w:vAlign w:val="center"/>
          </w:tcPr>
          <w:p w14:paraId="51A3F98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对农村村民未经批准或者采取欺骗手段骗取批准，非法占用土地建住宅的行政处罚</w:t>
            </w:r>
          </w:p>
        </w:tc>
        <w:tc>
          <w:tcPr>
            <w:tcW w:w="1200" w:type="dxa"/>
            <w:noWrap w:val="0"/>
            <w:vAlign w:val="center"/>
          </w:tcPr>
          <w:p w14:paraId="446CD0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农业农村</w:t>
            </w:r>
          </w:p>
        </w:tc>
        <w:tc>
          <w:tcPr>
            <w:tcW w:w="3116" w:type="dxa"/>
            <w:noWrap w:val="0"/>
            <w:vAlign w:val="center"/>
          </w:tcPr>
          <w:p w14:paraId="713B4AB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《中华人民共和国土地管理法》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第六十二条第四款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第七十八条第一款</w:t>
            </w:r>
          </w:p>
        </w:tc>
        <w:tc>
          <w:tcPr>
            <w:tcW w:w="1262" w:type="dxa"/>
            <w:noWrap w:val="0"/>
            <w:vAlign w:val="center"/>
          </w:tcPr>
          <w:p w14:paraId="6895D0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val="en-US" w:eastAsia="zh-CN" w:bidi="ar"/>
              </w:rPr>
              <w:t xml:space="preserve"> </w:t>
            </w:r>
          </w:p>
        </w:tc>
      </w:tr>
      <w:tr w14:paraId="564D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711" w:type="dxa"/>
            <w:noWrap w:val="0"/>
            <w:tcMar>
              <w:left w:w="28" w:type="dxa"/>
              <w:right w:w="28" w:type="dxa"/>
            </w:tcMar>
            <w:vAlign w:val="center"/>
          </w:tcPr>
          <w:p w14:paraId="21FD1A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19</w:t>
            </w:r>
          </w:p>
        </w:tc>
        <w:tc>
          <w:tcPr>
            <w:tcW w:w="2767" w:type="dxa"/>
            <w:noWrap w:val="0"/>
            <w:vAlign w:val="center"/>
          </w:tcPr>
          <w:p w14:paraId="0259504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对露天焚烧秸秆的行政处罚</w:t>
            </w:r>
          </w:p>
        </w:tc>
        <w:tc>
          <w:tcPr>
            <w:tcW w:w="1200" w:type="dxa"/>
            <w:noWrap w:val="0"/>
            <w:vAlign w:val="center"/>
          </w:tcPr>
          <w:p w14:paraId="04E037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农业农村</w:t>
            </w:r>
          </w:p>
        </w:tc>
        <w:tc>
          <w:tcPr>
            <w:tcW w:w="3116" w:type="dxa"/>
            <w:noWrap w:val="0"/>
            <w:vAlign w:val="center"/>
          </w:tcPr>
          <w:p w14:paraId="77E3881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spacing w:val="-6"/>
                <w:kern w:val="0"/>
                <w:szCs w:val="21"/>
                <w:lang w:bidi="ar"/>
              </w:rPr>
              <w:t>《河南省大气污染防治条例》</w:t>
            </w:r>
            <w:r>
              <w:rPr>
                <w:rFonts w:hint="eastAsia" w:ascii="Times New Roman" w:hAnsi="Times New Roman" w:eastAsia="宋体" w:cs="Times New Roman"/>
                <w:color w:val="000000"/>
                <w:spacing w:val="-6"/>
                <w:kern w:val="0"/>
                <w:szCs w:val="21"/>
                <w:lang w:eastAsia="zh-CN" w:bidi="ar"/>
              </w:rPr>
              <w:t>：</w:t>
            </w:r>
            <w:r>
              <w:rPr>
                <w:rFonts w:hint="default" w:ascii="Times New Roman" w:hAnsi="Times New Roman" w:eastAsia="宋体" w:cs="Times New Roman"/>
                <w:color w:val="000000"/>
                <w:kern w:val="0"/>
                <w:szCs w:val="21"/>
                <w:lang w:bidi="ar"/>
              </w:rPr>
              <w:t>第五十四条第二款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第八十条</w:t>
            </w:r>
          </w:p>
        </w:tc>
        <w:tc>
          <w:tcPr>
            <w:tcW w:w="1262" w:type="dxa"/>
            <w:noWrap w:val="0"/>
            <w:vAlign w:val="center"/>
          </w:tcPr>
          <w:p w14:paraId="09B183C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5920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711" w:type="dxa"/>
            <w:noWrap w:val="0"/>
            <w:tcMar>
              <w:left w:w="28" w:type="dxa"/>
              <w:right w:w="28" w:type="dxa"/>
            </w:tcMar>
            <w:vAlign w:val="center"/>
          </w:tcPr>
          <w:p w14:paraId="406C59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20</w:t>
            </w:r>
          </w:p>
        </w:tc>
        <w:tc>
          <w:tcPr>
            <w:tcW w:w="2767" w:type="dxa"/>
            <w:noWrap w:val="0"/>
            <w:vAlign w:val="center"/>
          </w:tcPr>
          <w:p w14:paraId="7001077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对消防设施、器材或者消防安全</w:t>
            </w:r>
            <w:r>
              <w:rPr>
                <w:rFonts w:hint="default" w:ascii="Times New Roman" w:hAnsi="Times New Roman" w:eastAsia="宋体" w:cs="Times New Roman"/>
                <w:color w:val="000000"/>
                <w:spacing w:val="-8"/>
                <w:kern w:val="0"/>
                <w:szCs w:val="21"/>
                <w:lang w:bidi="ar"/>
              </w:rPr>
              <w:t>标志的配置、</w:t>
            </w:r>
            <w:r>
              <w:rPr>
                <w:rFonts w:hint="default" w:ascii="Times New Roman" w:hAnsi="Times New Roman" w:eastAsia="宋体" w:cs="Times New Roman"/>
                <w:color w:val="000000"/>
                <w:kern w:val="0"/>
                <w:szCs w:val="21"/>
                <w:lang w:bidi="ar"/>
              </w:rPr>
              <w:t>设置不符合国家标准、行业标准，或者未保持完好有效的行政处罚</w:t>
            </w:r>
          </w:p>
        </w:tc>
        <w:tc>
          <w:tcPr>
            <w:tcW w:w="1200" w:type="dxa"/>
            <w:noWrap w:val="0"/>
            <w:vAlign w:val="center"/>
          </w:tcPr>
          <w:p w14:paraId="6EC86C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6CC375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kern w:val="0"/>
                <w:szCs w:val="21"/>
                <w:lang w:bidi="ar"/>
              </w:rPr>
              <w:t>《中华人民共和国消防法》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第十六条第一款第二项</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第六十条第一款第一项</w:t>
            </w:r>
            <w:r>
              <w:rPr>
                <w:rFonts w:hint="eastAsia" w:ascii="Times New Roman" w:hAnsi="Times New Roman" w:eastAsia="宋体" w:cs="Times New Roman"/>
                <w:color w:val="000000"/>
                <w:kern w:val="0"/>
                <w:szCs w:val="21"/>
                <w:lang w:eastAsia="zh-CN" w:bidi="ar"/>
              </w:rPr>
              <w:t>、第六十七条</w:t>
            </w:r>
          </w:p>
        </w:tc>
        <w:tc>
          <w:tcPr>
            <w:tcW w:w="1262" w:type="dxa"/>
            <w:vMerge w:val="restart"/>
            <w:noWrap w:val="0"/>
            <w:vAlign w:val="center"/>
          </w:tcPr>
          <w:p w14:paraId="588D2309">
            <w:pPr>
              <w:keepNext w:val="0"/>
              <w:keepLines w:val="0"/>
              <w:pageBreakBefore w:val="0"/>
              <w:widowControl/>
              <w:kinsoku/>
              <w:wordWrap/>
              <w:overflowPunct w:val="0"/>
              <w:topLinePunct w:val="0"/>
              <w:autoSpaceDE/>
              <w:autoSpaceDN/>
              <w:bidi w:val="0"/>
              <w:adjustRightInd/>
              <w:snapToGrid/>
              <w:spacing w:line="400" w:lineRule="exact"/>
              <w:jc w:val="both"/>
              <w:textAlignment w:val="center"/>
              <w:rPr>
                <w:rFonts w:hint="default" w:ascii="Times New Roman" w:hAnsi="Times New Roman" w:cs="Times New Roman"/>
                <w:snapToGrid/>
                <w:color w:val="000000"/>
                <w:kern w:val="0"/>
                <w:sz w:val="21"/>
                <w:szCs w:val="21"/>
                <w:lang w:bidi="ar"/>
              </w:rPr>
            </w:pPr>
            <w:r>
              <w:rPr>
                <w:rFonts w:hint="default" w:ascii="Times New Roman" w:hAnsi="Times New Roman" w:cs="Times New Roman"/>
                <w:snapToGrid/>
                <w:color w:val="000000"/>
                <w:kern w:val="0"/>
                <w:sz w:val="21"/>
                <w:szCs w:val="21"/>
                <w:lang w:bidi="ar"/>
              </w:rPr>
              <w:t>一、居民住宅小区、商业服务网点。</w:t>
            </w:r>
          </w:p>
          <w:p w14:paraId="4B1EC4CF">
            <w:pPr>
              <w:keepNext w:val="0"/>
              <w:keepLines w:val="0"/>
              <w:pageBreakBefore w:val="0"/>
              <w:widowControl/>
              <w:kinsoku/>
              <w:wordWrap/>
              <w:overflowPunct w:val="0"/>
              <w:topLinePunct w:val="0"/>
              <w:autoSpaceDE/>
              <w:autoSpaceDN/>
              <w:bidi w:val="0"/>
              <w:adjustRightInd/>
              <w:snapToGrid/>
              <w:spacing w:line="400" w:lineRule="exact"/>
              <w:jc w:val="both"/>
              <w:textAlignment w:val="center"/>
              <w:rPr>
                <w:rFonts w:hint="default" w:ascii="Times New Roman" w:hAnsi="Times New Roman" w:cs="Times New Roman"/>
                <w:snapToGrid/>
                <w:color w:val="000000"/>
                <w:kern w:val="0"/>
                <w:sz w:val="21"/>
                <w:szCs w:val="21"/>
                <w:lang w:bidi="ar"/>
              </w:rPr>
            </w:pPr>
            <w:r>
              <w:rPr>
                <w:rFonts w:hint="default" w:ascii="Times New Roman" w:hAnsi="Times New Roman" w:cs="Times New Roman"/>
                <w:snapToGrid/>
                <w:color w:val="000000"/>
                <w:kern w:val="0"/>
                <w:sz w:val="21"/>
                <w:szCs w:val="21"/>
                <w:lang w:bidi="ar"/>
              </w:rPr>
              <w:t>二、建筑面积在1000平方米以下（不含本数）的下列场所：</w:t>
            </w:r>
          </w:p>
          <w:p w14:paraId="6AF1F08B">
            <w:pPr>
              <w:keepNext w:val="0"/>
              <w:keepLines w:val="0"/>
              <w:pageBreakBefore w:val="0"/>
              <w:widowControl/>
              <w:kinsoku/>
              <w:wordWrap/>
              <w:overflowPunct w:val="0"/>
              <w:topLinePunct w:val="0"/>
              <w:autoSpaceDE/>
              <w:autoSpaceDN/>
              <w:bidi w:val="0"/>
              <w:adjustRightInd/>
              <w:snapToGrid/>
              <w:spacing w:line="400" w:lineRule="exact"/>
              <w:jc w:val="both"/>
              <w:textAlignment w:val="center"/>
              <w:rPr>
                <w:rFonts w:hint="eastAsia" w:ascii="Times New Roman" w:hAnsi="Times New Roman" w:eastAsia="宋体" w:cs="Times New Roman"/>
                <w:snapToGrid/>
                <w:color w:val="000000"/>
                <w:kern w:val="0"/>
                <w:sz w:val="21"/>
                <w:szCs w:val="21"/>
                <w:lang w:eastAsia="zh-CN" w:bidi="ar"/>
              </w:rPr>
            </w:pPr>
            <w:r>
              <w:rPr>
                <w:rFonts w:hint="eastAsia" w:ascii="Times New Roman" w:hAnsi="Times New Roman" w:eastAsia="宋体" w:cs="Times New Roman"/>
                <w:snapToGrid/>
                <w:color w:val="000000"/>
                <w:kern w:val="0"/>
                <w:sz w:val="21"/>
                <w:szCs w:val="21"/>
                <w:lang w:eastAsia="zh-CN" w:bidi="ar"/>
              </w:rPr>
              <w:t>1.</w:t>
            </w:r>
            <w:r>
              <w:rPr>
                <w:rFonts w:hint="default" w:ascii="Times New Roman" w:hAnsi="Times New Roman" w:cs="Times New Roman"/>
                <w:snapToGrid/>
                <w:color w:val="000000"/>
                <w:kern w:val="0"/>
                <w:sz w:val="21"/>
                <w:szCs w:val="21"/>
                <w:lang w:bidi="ar"/>
              </w:rPr>
              <w:t>“多合一”场所</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2</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出租屋、群租房</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3</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商店、集贸市场</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旅馆、饭店（含农家乐）</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4</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洗浴、足浴、茶社、美容美发、健身、汗蒸等营业性休闲场所</w:t>
            </w:r>
            <w:r>
              <w:rPr>
                <w:rFonts w:hint="eastAsia" w:ascii="Times New Roman" w:hAnsi="Times New Roman" w:eastAsia="宋体" w:cs="Times New Roman"/>
                <w:snapToGrid/>
                <w:color w:val="000000"/>
                <w:kern w:val="0"/>
                <w:sz w:val="21"/>
                <w:szCs w:val="21"/>
                <w:lang w:eastAsia="zh-CN" w:bidi="ar"/>
              </w:rPr>
              <w:t>；</w:t>
            </w:r>
          </w:p>
          <w:p w14:paraId="769FAE1B">
            <w:pPr>
              <w:keepNext w:val="0"/>
              <w:keepLines w:val="0"/>
              <w:pageBreakBefore w:val="0"/>
              <w:widowControl/>
              <w:kinsoku/>
              <w:wordWrap/>
              <w:overflowPunct w:val="0"/>
              <w:topLinePunct w:val="0"/>
              <w:autoSpaceDE/>
              <w:autoSpaceDN/>
              <w:bidi w:val="0"/>
              <w:adjustRightInd/>
              <w:snapToGrid/>
              <w:spacing w:line="400" w:lineRule="exact"/>
              <w:jc w:val="both"/>
              <w:textAlignment w:val="center"/>
              <w:rPr>
                <w:rFonts w:hint="default" w:ascii="Times New Roman" w:hAnsi="Times New Roman" w:cs="Times New Roman"/>
                <w:snapToGrid/>
                <w:color w:val="000000"/>
                <w:kern w:val="0"/>
                <w:sz w:val="21"/>
                <w:szCs w:val="21"/>
                <w:lang w:bidi="ar"/>
              </w:rPr>
            </w:pPr>
            <w:r>
              <w:rPr>
                <w:rFonts w:hint="eastAsia" w:ascii="Times New Roman" w:hAnsi="Times New Roman" w:eastAsia="宋体" w:cs="Times New Roman"/>
                <w:snapToGrid/>
                <w:color w:val="000000"/>
                <w:kern w:val="0"/>
                <w:sz w:val="21"/>
                <w:szCs w:val="21"/>
                <w:lang w:eastAsia="zh-CN" w:bidi="ar"/>
              </w:rPr>
              <w:t>5.</w:t>
            </w:r>
            <w:r>
              <w:rPr>
                <w:rFonts w:hint="default" w:ascii="Times New Roman" w:hAnsi="Times New Roman" w:cs="Times New Roman"/>
                <w:snapToGrid/>
                <w:color w:val="000000"/>
                <w:kern w:val="0"/>
                <w:sz w:val="21"/>
                <w:szCs w:val="21"/>
                <w:lang w:bidi="ar"/>
              </w:rPr>
              <w:t>养老院、敬老院、医疗保健机构、中小学校、托教机构、幼儿园、托儿所</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6</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生产、加工、储存非易燃易爆品的工厂、作坊、仓库、堆场等场所</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7</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公共书屋、文体活动室等文体服务场所</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8</w:t>
            </w:r>
            <w:r>
              <w:rPr>
                <w:rFonts w:hint="eastAsia" w:ascii="Times New Roman" w:hAnsi="Times New Roman" w:eastAsia="宋体" w:cs="Times New Roman"/>
                <w:snapToGrid/>
                <w:color w:val="000000"/>
                <w:kern w:val="0"/>
                <w:sz w:val="21"/>
                <w:szCs w:val="21"/>
                <w:lang w:eastAsia="zh-CN" w:bidi="ar"/>
              </w:rPr>
              <w:t>.</w:t>
            </w:r>
            <w:r>
              <w:rPr>
                <w:rFonts w:hint="default" w:ascii="Times New Roman" w:hAnsi="Times New Roman" w:cs="Times New Roman"/>
                <w:snapToGrid/>
                <w:color w:val="000000"/>
                <w:kern w:val="0"/>
                <w:sz w:val="21"/>
                <w:szCs w:val="21"/>
                <w:lang w:bidi="ar"/>
              </w:rPr>
              <w:t>与上述场所规模相当、性质相近且火灾风险较低的其它场所。</w:t>
            </w:r>
          </w:p>
          <w:p w14:paraId="1DA8F731">
            <w:pPr>
              <w:keepNext w:val="0"/>
              <w:keepLines w:val="0"/>
              <w:pageBreakBefore w:val="0"/>
              <w:widowControl/>
              <w:kinsoku/>
              <w:wordWrap/>
              <w:overflowPunct w:val="0"/>
              <w:topLinePunct w:val="0"/>
              <w:autoSpaceDE/>
              <w:autoSpaceDN/>
              <w:bidi w:val="0"/>
              <w:adjustRightInd/>
              <w:snapToGrid/>
              <w:spacing w:line="400" w:lineRule="exact"/>
              <w:jc w:val="both"/>
              <w:textAlignment w:val="center"/>
              <w:rPr>
                <w:rFonts w:hint="default" w:ascii="Times New Roman" w:hAnsi="Times New Roman" w:cs="Times New Roman"/>
                <w:color w:val="000000"/>
                <w:kern w:val="0"/>
                <w:szCs w:val="21"/>
                <w:lang w:bidi="ar"/>
              </w:rPr>
            </w:pPr>
            <w:r>
              <w:rPr>
                <w:rFonts w:hint="default" w:ascii="Times New Roman" w:hAnsi="Times New Roman" w:cs="Times New Roman"/>
                <w:snapToGrid/>
                <w:color w:val="000000"/>
                <w:kern w:val="0"/>
                <w:sz w:val="21"/>
                <w:szCs w:val="21"/>
                <w:lang w:bidi="ar"/>
              </w:rPr>
              <w:t>三、以上场所被认定为一、二级消防安全重点单位的，行政处罚权由消防救援部门行使。</w:t>
            </w:r>
          </w:p>
        </w:tc>
      </w:tr>
      <w:tr w14:paraId="4576F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711" w:type="dxa"/>
            <w:noWrap w:val="0"/>
            <w:tcMar>
              <w:left w:w="28" w:type="dxa"/>
              <w:right w:w="28" w:type="dxa"/>
            </w:tcMar>
            <w:vAlign w:val="center"/>
          </w:tcPr>
          <w:p w14:paraId="0C7541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 w:val="22"/>
                <w:szCs w:val="22"/>
                <w:lang w:bidi="ar"/>
              </w:rPr>
              <w:t>21</w:t>
            </w:r>
          </w:p>
        </w:tc>
        <w:tc>
          <w:tcPr>
            <w:tcW w:w="2767" w:type="dxa"/>
            <w:noWrap w:val="0"/>
            <w:vAlign w:val="center"/>
          </w:tcPr>
          <w:p w14:paraId="075C6BD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对损坏、挪用或者擅自拆除、停用消防设施、器材的行政处罚</w:t>
            </w:r>
          </w:p>
        </w:tc>
        <w:tc>
          <w:tcPr>
            <w:tcW w:w="1200" w:type="dxa"/>
            <w:noWrap w:val="0"/>
            <w:vAlign w:val="center"/>
          </w:tcPr>
          <w:p w14:paraId="4EF2E3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35C4AA9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《中华人民共和国消防法》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第二十八条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spacing w:val="-6"/>
                <w:kern w:val="0"/>
                <w:szCs w:val="21"/>
                <w:lang w:bidi="ar"/>
              </w:rPr>
              <w:t>第六十条第一款第二项</w:t>
            </w:r>
            <w:r>
              <w:rPr>
                <w:rFonts w:hint="eastAsia" w:ascii="Times New Roman" w:hAnsi="Times New Roman" w:eastAsia="宋体" w:cs="Times New Roman"/>
                <w:color w:val="000000"/>
                <w:spacing w:val="-6"/>
                <w:kern w:val="0"/>
                <w:szCs w:val="21"/>
                <w:lang w:eastAsia="zh-CN" w:bidi="ar"/>
              </w:rPr>
              <w:t>、第六十条</w:t>
            </w:r>
            <w:r>
              <w:rPr>
                <w:rFonts w:hint="default" w:ascii="Times New Roman" w:hAnsi="Times New Roman" w:eastAsia="宋体" w:cs="Times New Roman"/>
                <w:color w:val="000000"/>
                <w:spacing w:val="-6"/>
                <w:kern w:val="0"/>
                <w:szCs w:val="21"/>
                <w:lang w:bidi="ar"/>
              </w:rPr>
              <w:t>第二款</w:t>
            </w:r>
          </w:p>
        </w:tc>
        <w:tc>
          <w:tcPr>
            <w:tcW w:w="1262" w:type="dxa"/>
            <w:vMerge w:val="continue"/>
            <w:noWrap w:val="0"/>
            <w:vAlign w:val="center"/>
          </w:tcPr>
          <w:p w14:paraId="71E12F5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3EAB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711" w:type="dxa"/>
            <w:noWrap w:val="0"/>
            <w:tcMar>
              <w:left w:w="28" w:type="dxa"/>
              <w:right w:w="28" w:type="dxa"/>
            </w:tcMar>
            <w:vAlign w:val="center"/>
          </w:tcPr>
          <w:p w14:paraId="7DA16C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color w:val="000000"/>
                <w:kern w:val="0"/>
                <w:sz w:val="22"/>
                <w:szCs w:val="22"/>
                <w:lang w:val="en-US" w:eastAsia="zh-CN" w:bidi="ar"/>
              </w:rPr>
            </w:pPr>
            <w:r>
              <w:rPr>
                <w:rFonts w:hint="eastAsia" w:ascii="Times New Roman" w:hAnsi="Times New Roman" w:cs="Times New Roman"/>
                <w:color w:val="000000"/>
                <w:kern w:val="0"/>
                <w:sz w:val="22"/>
                <w:szCs w:val="22"/>
                <w:lang w:val="en-US" w:eastAsia="zh-CN" w:bidi="ar"/>
              </w:rPr>
              <w:t>22</w:t>
            </w:r>
          </w:p>
        </w:tc>
        <w:tc>
          <w:tcPr>
            <w:tcW w:w="2767" w:type="dxa"/>
            <w:noWrap w:val="0"/>
            <w:vAlign w:val="center"/>
          </w:tcPr>
          <w:p w14:paraId="657324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对占用、堵塞、封闭疏散通道、安全出口或者有其他妨碍安全疏散行为的行政处罚</w:t>
            </w:r>
          </w:p>
        </w:tc>
        <w:tc>
          <w:tcPr>
            <w:tcW w:w="1200" w:type="dxa"/>
            <w:noWrap w:val="0"/>
            <w:vAlign w:val="center"/>
          </w:tcPr>
          <w:p w14:paraId="2143EFA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消防救援</w:t>
            </w:r>
          </w:p>
        </w:tc>
        <w:tc>
          <w:tcPr>
            <w:tcW w:w="3116" w:type="dxa"/>
            <w:noWrap w:val="0"/>
            <w:vAlign w:val="center"/>
          </w:tcPr>
          <w:p w14:paraId="2C5E72D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中华人民共和国消防法</w:t>
            </w: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第十六条第一款第四项、第二十八条、第六十条第一款第三项、第六十条第二款、第六十七条</w:t>
            </w:r>
          </w:p>
        </w:tc>
        <w:tc>
          <w:tcPr>
            <w:tcW w:w="1262" w:type="dxa"/>
            <w:vMerge w:val="continue"/>
            <w:noWrap w:val="0"/>
            <w:vAlign w:val="center"/>
          </w:tcPr>
          <w:p w14:paraId="1996A00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3EC8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jc w:val="center"/>
        </w:trPr>
        <w:tc>
          <w:tcPr>
            <w:tcW w:w="711" w:type="dxa"/>
            <w:noWrap w:val="0"/>
            <w:tcMar>
              <w:left w:w="28" w:type="dxa"/>
              <w:right w:w="28" w:type="dxa"/>
            </w:tcMar>
            <w:vAlign w:val="center"/>
          </w:tcPr>
          <w:p w14:paraId="10F776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kern w:val="0"/>
                <w:sz w:val="22"/>
                <w:szCs w:val="22"/>
                <w:lang w:val="en-US" w:eastAsia="zh-CN" w:bidi="ar"/>
              </w:rPr>
              <w:t>23</w:t>
            </w:r>
          </w:p>
        </w:tc>
        <w:tc>
          <w:tcPr>
            <w:tcW w:w="2767" w:type="dxa"/>
            <w:noWrap w:val="0"/>
            <w:vAlign w:val="center"/>
          </w:tcPr>
          <w:p w14:paraId="473ECDC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对占用、堵塞、封闭消防车通道，妨碍消防车通行的行政处罚</w:t>
            </w:r>
          </w:p>
        </w:tc>
        <w:tc>
          <w:tcPr>
            <w:tcW w:w="1200" w:type="dxa"/>
            <w:noWrap w:val="0"/>
            <w:vAlign w:val="center"/>
          </w:tcPr>
          <w:p w14:paraId="2F8746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59B589A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《中华人民共和国消防法》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第十六条第一款第四项</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第二十八条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spacing w:val="-6"/>
                <w:kern w:val="0"/>
                <w:szCs w:val="21"/>
                <w:lang w:bidi="ar"/>
              </w:rPr>
              <w:t>第六十条第一款第五项</w:t>
            </w:r>
            <w:r>
              <w:rPr>
                <w:rFonts w:hint="eastAsia" w:ascii="Times New Roman" w:hAnsi="Times New Roman" w:eastAsia="宋体" w:cs="Times New Roman"/>
                <w:color w:val="000000"/>
                <w:spacing w:val="-6"/>
                <w:kern w:val="0"/>
                <w:szCs w:val="21"/>
                <w:lang w:eastAsia="zh-CN" w:bidi="ar"/>
              </w:rPr>
              <w:t>、第六十条</w:t>
            </w:r>
            <w:r>
              <w:rPr>
                <w:rFonts w:hint="default" w:ascii="Times New Roman" w:hAnsi="Times New Roman" w:eastAsia="宋体" w:cs="Times New Roman"/>
                <w:color w:val="000000"/>
                <w:spacing w:val="-6"/>
                <w:kern w:val="0"/>
                <w:szCs w:val="21"/>
                <w:lang w:bidi="ar"/>
              </w:rPr>
              <w:t>第二款</w:t>
            </w:r>
            <w:r>
              <w:rPr>
                <w:rFonts w:hint="eastAsia" w:ascii="Times New Roman" w:hAnsi="Times New Roman" w:eastAsia="宋体" w:cs="Times New Roman"/>
                <w:color w:val="000000"/>
                <w:spacing w:val="-6"/>
                <w:kern w:val="0"/>
                <w:szCs w:val="21"/>
                <w:lang w:eastAsia="zh-CN" w:bidi="ar"/>
              </w:rPr>
              <w:t>、</w:t>
            </w:r>
            <w:r>
              <w:rPr>
                <w:rFonts w:hint="default" w:ascii="Times New Roman" w:hAnsi="Times New Roman" w:eastAsia="宋体" w:cs="Times New Roman"/>
                <w:color w:val="000000"/>
                <w:kern w:val="0"/>
                <w:szCs w:val="21"/>
                <w:lang w:bidi="ar"/>
              </w:rPr>
              <w:t>第六十七条</w:t>
            </w:r>
          </w:p>
        </w:tc>
        <w:tc>
          <w:tcPr>
            <w:tcW w:w="1262" w:type="dxa"/>
            <w:vMerge w:val="continue"/>
            <w:noWrap w:val="0"/>
            <w:vAlign w:val="center"/>
          </w:tcPr>
          <w:p w14:paraId="5A8B3A6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40864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jc w:val="center"/>
        </w:trPr>
        <w:tc>
          <w:tcPr>
            <w:tcW w:w="711" w:type="dxa"/>
            <w:noWrap w:val="0"/>
            <w:tcMar>
              <w:left w:w="28" w:type="dxa"/>
              <w:right w:w="28" w:type="dxa"/>
            </w:tcMar>
            <w:vAlign w:val="center"/>
          </w:tcPr>
          <w:p w14:paraId="529AE3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24</w:t>
            </w:r>
          </w:p>
        </w:tc>
        <w:tc>
          <w:tcPr>
            <w:tcW w:w="2767" w:type="dxa"/>
            <w:noWrap w:val="0"/>
            <w:vAlign w:val="center"/>
          </w:tcPr>
          <w:p w14:paraId="63D46E2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对人员密集场所在门窗上设置影响逃生和灭火救援的障碍物的行政处罚</w:t>
            </w:r>
          </w:p>
        </w:tc>
        <w:tc>
          <w:tcPr>
            <w:tcW w:w="1200" w:type="dxa"/>
            <w:noWrap w:val="0"/>
            <w:vAlign w:val="center"/>
          </w:tcPr>
          <w:p w14:paraId="620569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消防救援</w:t>
            </w:r>
          </w:p>
        </w:tc>
        <w:tc>
          <w:tcPr>
            <w:tcW w:w="3116" w:type="dxa"/>
            <w:noWrap w:val="0"/>
            <w:vAlign w:val="center"/>
          </w:tcPr>
          <w:p w14:paraId="32AD5CC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中华人民共和国消防法</w:t>
            </w: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第二十八条、第六十条第一款第六项</w:t>
            </w:r>
          </w:p>
        </w:tc>
        <w:tc>
          <w:tcPr>
            <w:tcW w:w="1262" w:type="dxa"/>
            <w:vMerge w:val="continue"/>
            <w:noWrap w:val="0"/>
            <w:vAlign w:val="center"/>
          </w:tcPr>
          <w:p w14:paraId="4D73A03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54F9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11" w:type="dxa"/>
            <w:noWrap w:val="0"/>
            <w:tcMar>
              <w:left w:w="28" w:type="dxa"/>
              <w:right w:w="28" w:type="dxa"/>
            </w:tcMar>
            <w:vAlign w:val="center"/>
          </w:tcPr>
          <w:p w14:paraId="182F2B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szCs w:val="21"/>
                <w:highlight w:val="none"/>
                <w:lang w:eastAsia="zh-CN"/>
              </w:rPr>
            </w:pPr>
            <w:r>
              <w:rPr>
                <w:rFonts w:hint="default" w:ascii="Times New Roman" w:hAnsi="Times New Roman" w:cs="Times New Roman"/>
                <w:color w:val="000000"/>
                <w:kern w:val="0"/>
                <w:sz w:val="22"/>
                <w:szCs w:val="22"/>
                <w:highlight w:val="none"/>
                <w:lang w:bidi="ar"/>
              </w:rPr>
              <w:t>2</w:t>
            </w:r>
            <w:r>
              <w:rPr>
                <w:rFonts w:hint="eastAsia" w:ascii="Times New Roman" w:hAnsi="Times New Roman" w:eastAsia="宋体" w:cs="Times New Roman"/>
                <w:color w:val="000000"/>
                <w:kern w:val="0"/>
                <w:sz w:val="22"/>
                <w:szCs w:val="22"/>
                <w:highlight w:val="none"/>
                <w:lang w:val="en-US" w:eastAsia="zh-CN" w:bidi="ar"/>
              </w:rPr>
              <w:t>5</w:t>
            </w:r>
          </w:p>
        </w:tc>
        <w:tc>
          <w:tcPr>
            <w:tcW w:w="2767" w:type="dxa"/>
            <w:noWrap w:val="0"/>
            <w:vAlign w:val="center"/>
          </w:tcPr>
          <w:p w14:paraId="6E22357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对生产、储存、经营易燃易爆危险品的场所与居住场所设置在同一建筑物内，或者未与居住场所保持安全距离的行政处罚</w:t>
            </w:r>
          </w:p>
        </w:tc>
        <w:tc>
          <w:tcPr>
            <w:tcW w:w="1200" w:type="dxa"/>
            <w:noWrap w:val="0"/>
            <w:vAlign w:val="center"/>
          </w:tcPr>
          <w:p w14:paraId="4E75C5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消防救援</w:t>
            </w:r>
          </w:p>
        </w:tc>
        <w:tc>
          <w:tcPr>
            <w:tcW w:w="3116" w:type="dxa"/>
            <w:noWrap w:val="0"/>
            <w:vAlign w:val="center"/>
          </w:tcPr>
          <w:p w14:paraId="299E4D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《中华人民共和国消防法》</w:t>
            </w:r>
            <w:r>
              <w:rPr>
                <w:rFonts w:hint="eastAsia" w:ascii="Times New Roman" w:hAnsi="Times New Roman" w:eastAsia="宋体" w:cs="Times New Roman"/>
                <w:color w:val="000000"/>
                <w:kern w:val="0"/>
                <w:szCs w:val="21"/>
                <w:highlight w:val="none"/>
                <w:lang w:eastAsia="zh-CN" w:bidi="ar"/>
              </w:rPr>
              <w:t>：</w:t>
            </w:r>
            <w:r>
              <w:rPr>
                <w:rFonts w:hint="default" w:ascii="Times New Roman" w:hAnsi="Times New Roman" w:eastAsia="宋体" w:cs="Times New Roman"/>
                <w:color w:val="000000"/>
                <w:kern w:val="0"/>
                <w:szCs w:val="21"/>
                <w:highlight w:val="none"/>
                <w:lang w:bidi="ar"/>
              </w:rPr>
              <w:t>第十九条第一款</w:t>
            </w:r>
            <w:r>
              <w:rPr>
                <w:rFonts w:hint="eastAsia" w:ascii="Times New Roman" w:hAnsi="Times New Roman" w:eastAsia="宋体" w:cs="Times New Roman"/>
                <w:color w:val="000000"/>
                <w:kern w:val="0"/>
                <w:szCs w:val="21"/>
                <w:highlight w:val="none"/>
                <w:lang w:eastAsia="zh-CN" w:bidi="ar"/>
              </w:rPr>
              <w:t>、</w:t>
            </w:r>
            <w:r>
              <w:rPr>
                <w:rFonts w:hint="default" w:ascii="Times New Roman" w:hAnsi="Times New Roman" w:eastAsia="宋体" w:cs="Times New Roman"/>
                <w:color w:val="000000"/>
                <w:kern w:val="0"/>
                <w:szCs w:val="21"/>
                <w:highlight w:val="none"/>
                <w:lang w:bidi="ar"/>
              </w:rPr>
              <w:t>第六十一条第一款</w:t>
            </w:r>
          </w:p>
        </w:tc>
        <w:tc>
          <w:tcPr>
            <w:tcW w:w="1262" w:type="dxa"/>
            <w:vMerge w:val="continue"/>
            <w:noWrap w:val="0"/>
            <w:vAlign w:val="center"/>
          </w:tcPr>
          <w:p w14:paraId="3CBC480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51EB5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711" w:type="dxa"/>
            <w:noWrap w:val="0"/>
            <w:tcMar>
              <w:left w:w="28" w:type="dxa"/>
              <w:right w:w="28" w:type="dxa"/>
            </w:tcMar>
            <w:vAlign w:val="center"/>
          </w:tcPr>
          <w:p w14:paraId="71D9DB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strike/>
                <w:color w:val="000000"/>
                <w:szCs w:val="21"/>
                <w:lang w:eastAsia="zh-CN"/>
              </w:rPr>
            </w:pPr>
            <w:r>
              <w:rPr>
                <w:rFonts w:hint="default" w:ascii="Times New Roman" w:hAnsi="Times New Roman" w:cs="Times New Roman"/>
                <w:color w:val="000000"/>
                <w:kern w:val="0"/>
                <w:sz w:val="22"/>
                <w:szCs w:val="22"/>
                <w:lang w:bidi="ar"/>
              </w:rPr>
              <w:t>2</w:t>
            </w:r>
            <w:r>
              <w:rPr>
                <w:rFonts w:hint="eastAsia" w:ascii="Times New Roman" w:hAnsi="Times New Roman" w:eastAsia="宋体" w:cs="Times New Roman"/>
                <w:color w:val="000000"/>
                <w:kern w:val="0"/>
                <w:sz w:val="22"/>
                <w:szCs w:val="22"/>
                <w:lang w:val="en-US" w:eastAsia="zh-CN" w:bidi="ar"/>
              </w:rPr>
              <w:t>6</w:t>
            </w:r>
          </w:p>
        </w:tc>
        <w:tc>
          <w:tcPr>
            <w:tcW w:w="2767" w:type="dxa"/>
            <w:noWrap w:val="0"/>
            <w:vAlign w:val="center"/>
          </w:tcPr>
          <w:p w14:paraId="0F1D5C5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对违反规定使用明火作业或者在具有火灾、爆炸危险的场所吸烟、使用明火的行政处罚</w:t>
            </w:r>
          </w:p>
        </w:tc>
        <w:tc>
          <w:tcPr>
            <w:tcW w:w="1200" w:type="dxa"/>
            <w:noWrap w:val="0"/>
            <w:vAlign w:val="center"/>
          </w:tcPr>
          <w:p w14:paraId="79664E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73D3D29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《中华人民共和国消防法》</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第二十一条第一款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第六十三条第二项</w:t>
            </w:r>
          </w:p>
        </w:tc>
        <w:tc>
          <w:tcPr>
            <w:tcW w:w="1262" w:type="dxa"/>
            <w:vMerge w:val="continue"/>
            <w:noWrap w:val="0"/>
            <w:vAlign w:val="center"/>
          </w:tcPr>
          <w:p w14:paraId="22C3395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3DFD1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711" w:type="dxa"/>
            <w:noWrap w:val="0"/>
            <w:tcMar>
              <w:left w:w="28" w:type="dxa"/>
              <w:right w:w="28" w:type="dxa"/>
            </w:tcMar>
            <w:vAlign w:val="center"/>
          </w:tcPr>
          <w:p w14:paraId="153394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szCs w:val="21"/>
                <w:lang w:eastAsia="zh-CN"/>
              </w:rPr>
            </w:pPr>
            <w:r>
              <w:rPr>
                <w:rFonts w:hint="default" w:ascii="Times New Roman" w:hAnsi="Times New Roman" w:cs="Times New Roman"/>
                <w:color w:val="000000"/>
                <w:kern w:val="0"/>
                <w:sz w:val="22"/>
                <w:szCs w:val="22"/>
                <w:lang w:bidi="ar"/>
              </w:rPr>
              <w:t>2</w:t>
            </w:r>
            <w:r>
              <w:rPr>
                <w:rFonts w:hint="eastAsia" w:ascii="Times New Roman" w:hAnsi="Times New Roman" w:eastAsia="宋体" w:cs="Times New Roman"/>
                <w:color w:val="000000"/>
                <w:kern w:val="0"/>
                <w:sz w:val="22"/>
                <w:szCs w:val="22"/>
                <w:lang w:val="en-US" w:eastAsia="zh-CN" w:bidi="ar"/>
              </w:rPr>
              <w:t>7</w:t>
            </w:r>
          </w:p>
        </w:tc>
        <w:tc>
          <w:tcPr>
            <w:tcW w:w="2767" w:type="dxa"/>
            <w:noWrap w:val="0"/>
            <w:vAlign w:val="center"/>
          </w:tcPr>
          <w:p w14:paraId="14D85E7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对未依法建立消防组织，进行有针对性的消防演练的行政处罚</w:t>
            </w:r>
          </w:p>
        </w:tc>
        <w:tc>
          <w:tcPr>
            <w:tcW w:w="1200" w:type="dxa"/>
            <w:noWrap w:val="0"/>
            <w:vAlign w:val="center"/>
          </w:tcPr>
          <w:p w14:paraId="57E314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2C63AB7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《河南省消防条例》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第十三条第一款第六项</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第七十条第二款</w:t>
            </w:r>
          </w:p>
        </w:tc>
        <w:tc>
          <w:tcPr>
            <w:tcW w:w="1262" w:type="dxa"/>
            <w:vMerge w:val="continue"/>
            <w:noWrap w:val="0"/>
            <w:vAlign w:val="center"/>
          </w:tcPr>
          <w:p w14:paraId="57E284D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306FB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711" w:type="dxa"/>
            <w:noWrap w:val="0"/>
            <w:tcMar>
              <w:left w:w="28" w:type="dxa"/>
              <w:right w:w="28" w:type="dxa"/>
            </w:tcMar>
            <w:vAlign w:val="center"/>
          </w:tcPr>
          <w:p w14:paraId="543BA6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szCs w:val="21"/>
                <w:lang w:eastAsia="zh-CN"/>
              </w:rPr>
            </w:pPr>
            <w:r>
              <w:rPr>
                <w:rFonts w:hint="default" w:ascii="Times New Roman" w:hAnsi="Times New Roman" w:cs="Times New Roman"/>
                <w:color w:val="000000"/>
                <w:kern w:val="0"/>
                <w:sz w:val="22"/>
                <w:szCs w:val="22"/>
                <w:lang w:bidi="ar"/>
              </w:rPr>
              <w:t>2</w:t>
            </w:r>
            <w:r>
              <w:rPr>
                <w:rFonts w:hint="eastAsia" w:ascii="Times New Roman" w:hAnsi="Times New Roman" w:eastAsia="宋体" w:cs="Times New Roman"/>
                <w:color w:val="000000"/>
                <w:kern w:val="0"/>
                <w:sz w:val="22"/>
                <w:szCs w:val="22"/>
                <w:lang w:val="en-US" w:eastAsia="zh-CN" w:bidi="ar"/>
              </w:rPr>
              <w:t>8</w:t>
            </w:r>
          </w:p>
        </w:tc>
        <w:tc>
          <w:tcPr>
            <w:tcW w:w="2767" w:type="dxa"/>
            <w:noWrap w:val="0"/>
            <w:vAlign w:val="center"/>
          </w:tcPr>
          <w:p w14:paraId="3D349D0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对未开展消防宣传教育培训的行政处罚</w:t>
            </w:r>
          </w:p>
        </w:tc>
        <w:tc>
          <w:tcPr>
            <w:tcW w:w="1200" w:type="dxa"/>
            <w:noWrap w:val="0"/>
            <w:vAlign w:val="center"/>
          </w:tcPr>
          <w:p w14:paraId="727636D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6C619D0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《河南省消防条例》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第十三条第一款第七项</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第七十条第二款</w:t>
            </w:r>
          </w:p>
        </w:tc>
        <w:tc>
          <w:tcPr>
            <w:tcW w:w="1262" w:type="dxa"/>
            <w:vMerge w:val="continue"/>
            <w:noWrap w:val="0"/>
            <w:vAlign w:val="center"/>
          </w:tcPr>
          <w:p w14:paraId="3E9FFB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3980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711" w:type="dxa"/>
            <w:noWrap w:val="0"/>
            <w:tcMar>
              <w:left w:w="28" w:type="dxa"/>
              <w:right w:w="28" w:type="dxa"/>
            </w:tcMar>
            <w:vAlign w:val="center"/>
          </w:tcPr>
          <w:p w14:paraId="2AE985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szCs w:val="21"/>
                <w:lang w:eastAsia="zh-CN"/>
              </w:rPr>
            </w:pPr>
            <w:r>
              <w:rPr>
                <w:rFonts w:hint="default" w:ascii="Times New Roman" w:hAnsi="Times New Roman" w:cs="Times New Roman"/>
                <w:color w:val="000000"/>
                <w:kern w:val="0"/>
                <w:sz w:val="22"/>
                <w:szCs w:val="22"/>
                <w:lang w:bidi="ar"/>
              </w:rPr>
              <w:t>2</w:t>
            </w:r>
            <w:r>
              <w:rPr>
                <w:rFonts w:hint="eastAsia" w:ascii="Times New Roman" w:hAnsi="Times New Roman" w:eastAsia="宋体" w:cs="Times New Roman"/>
                <w:color w:val="000000"/>
                <w:kern w:val="0"/>
                <w:sz w:val="22"/>
                <w:szCs w:val="22"/>
                <w:lang w:val="en-US" w:eastAsia="zh-CN" w:bidi="ar"/>
              </w:rPr>
              <w:t>9</w:t>
            </w:r>
          </w:p>
        </w:tc>
        <w:tc>
          <w:tcPr>
            <w:tcW w:w="2767" w:type="dxa"/>
            <w:noWrap w:val="0"/>
            <w:vAlign w:val="center"/>
          </w:tcPr>
          <w:p w14:paraId="093F00D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对在居住建筑物的公共走道、楼梯间、门厅内为电动自行车、电动三轮车充电，在城市建成区燃放孔明灯等携带明火且不可控制的空中飘移物的行政处罚</w:t>
            </w:r>
          </w:p>
        </w:tc>
        <w:tc>
          <w:tcPr>
            <w:tcW w:w="1200" w:type="dxa"/>
            <w:noWrap w:val="0"/>
            <w:vAlign w:val="center"/>
          </w:tcPr>
          <w:p w14:paraId="06676C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714EFC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《河南省消防条例》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第十七条第二款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第三十四条第二款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第七十一条</w:t>
            </w:r>
          </w:p>
        </w:tc>
        <w:tc>
          <w:tcPr>
            <w:tcW w:w="1262" w:type="dxa"/>
            <w:vMerge w:val="continue"/>
            <w:noWrap w:val="0"/>
            <w:vAlign w:val="center"/>
          </w:tcPr>
          <w:p w14:paraId="7EFCD5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5980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711" w:type="dxa"/>
            <w:noWrap w:val="0"/>
            <w:tcMar>
              <w:left w:w="28" w:type="dxa"/>
              <w:right w:w="28" w:type="dxa"/>
            </w:tcMar>
            <w:vAlign w:val="center"/>
          </w:tcPr>
          <w:p w14:paraId="6F580F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kern w:val="0"/>
                <w:sz w:val="22"/>
                <w:szCs w:val="22"/>
                <w:lang w:val="en-US" w:eastAsia="zh-CN" w:bidi="ar"/>
              </w:rPr>
              <w:t>30</w:t>
            </w:r>
          </w:p>
        </w:tc>
        <w:tc>
          <w:tcPr>
            <w:tcW w:w="2767" w:type="dxa"/>
            <w:noWrap w:val="0"/>
            <w:vAlign w:val="center"/>
          </w:tcPr>
          <w:p w14:paraId="000AF77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对人员密集场所的安全出口、疏散通道使用影响疏散的镜面材料的行政处罚</w:t>
            </w:r>
          </w:p>
        </w:tc>
        <w:tc>
          <w:tcPr>
            <w:tcW w:w="1200" w:type="dxa"/>
            <w:noWrap w:val="0"/>
            <w:vAlign w:val="center"/>
          </w:tcPr>
          <w:p w14:paraId="3DCF5A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72382B0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rPr>
            </w:pPr>
            <w:r>
              <w:rPr>
                <w:rFonts w:hint="default" w:ascii="Times New Roman" w:hAnsi="Times New Roman" w:eastAsia="宋体" w:cs="Times New Roman"/>
                <w:color w:val="000000"/>
                <w:kern w:val="0"/>
                <w:szCs w:val="21"/>
                <w:lang w:bidi="ar"/>
              </w:rPr>
              <w:t>《河南省消防条例》</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第三十二条</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第七十二条第二项</w:t>
            </w:r>
          </w:p>
        </w:tc>
        <w:tc>
          <w:tcPr>
            <w:tcW w:w="1262" w:type="dxa"/>
            <w:vMerge w:val="continue"/>
            <w:noWrap w:val="0"/>
            <w:vAlign w:val="center"/>
          </w:tcPr>
          <w:p w14:paraId="408C1FE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3381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11" w:type="dxa"/>
            <w:noWrap w:val="0"/>
            <w:tcMar>
              <w:left w:w="28" w:type="dxa"/>
              <w:right w:w="28" w:type="dxa"/>
            </w:tcMar>
            <w:vAlign w:val="center"/>
          </w:tcPr>
          <w:p w14:paraId="329995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kern w:val="0"/>
                <w:sz w:val="22"/>
                <w:szCs w:val="22"/>
                <w:highlight w:val="none"/>
                <w:lang w:val="en-US" w:eastAsia="zh-CN" w:bidi="ar"/>
              </w:rPr>
              <w:t>31</w:t>
            </w:r>
          </w:p>
        </w:tc>
        <w:tc>
          <w:tcPr>
            <w:tcW w:w="2767" w:type="dxa"/>
            <w:noWrap w:val="0"/>
            <w:vAlign w:val="center"/>
          </w:tcPr>
          <w:p w14:paraId="2EE0257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对在具有火灾危险的车间、商场、集贸市场、仓库和公共娱乐场所内设置员工宿舍的行政处罚</w:t>
            </w:r>
          </w:p>
        </w:tc>
        <w:tc>
          <w:tcPr>
            <w:tcW w:w="1200" w:type="dxa"/>
            <w:noWrap w:val="0"/>
            <w:vAlign w:val="center"/>
          </w:tcPr>
          <w:p w14:paraId="0B77AB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消防救援</w:t>
            </w:r>
          </w:p>
        </w:tc>
        <w:tc>
          <w:tcPr>
            <w:tcW w:w="3116" w:type="dxa"/>
            <w:noWrap w:val="0"/>
            <w:vAlign w:val="center"/>
          </w:tcPr>
          <w:p w14:paraId="2020E23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《河南省消防条例》</w:t>
            </w:r>
            <w:r>
              <w:rPr>
                <w:rFonts w:hint="eastAsia" w:ascii="Times New Roman" w:hAnsi="Times New Roman" w:eastAsia="宋体" w:cs="Times New Roman"/>
                <w:color w:val="000000"/>
                <w:kern w:val="0"/>
                <w:szCs w:val="21"/>
                <w:highlight w:val="none"/>
                <w:lang w:eastAsia="zh-CN" w:bidi="ar"/>
              </w:rPr>
              <w:t>：</w:t>
            </w:r>
            <w:r>
              <w:rPr>
                <w:rFonts w:hint="default" w:ascii="Times New Roman" w:hAnsi="Times New Roman" w:eastAsia="宋体" w:cs="Times New Roman"/>
                <w:color w:val="000000"/>
                <w:kern w:val="0"/>
                <w:szCs w:val="21"/>
                <w:highlight w:val="none"/>
                <w:lang w:bidi="ar"/>
              </w:rPr>
              <w:t>第三十六条第二款</w:t>
            </w:r>
            <w:r>
              <w:rPr>
                <w:rFonts w:hint="eastAsia" w:ascii="Times New Roman" w:hAnsi="Times New Roman" w:eastAsia="宋体" w:cs="Times New Roman"/>
                <w:color w:val="000000"/>
                <w:kern w:val="0"/>
                <w:szCs w:val="21"/>
                <w:highlight w:val="none"/>
                <w:lang w:eastAsia="zh-CN" w:bidi="ar"/>
              </w:rPr>
              <w:t>、</w:t>
            </w:r>
            <w:r>
              <w:rPr>
                <w:rFonts w:hint="default" w:ascii="Times New Roman" w:hAnsi="Times New Roman" w:eastAsia="宋体" w:cs="Times New Roman"/>
                <w:color w:val="000000"/>
                <w:kern w:val="0"/>
                <w:szCs w:val="21"/>
                <w:highlight w:val="none"/>
                <w:lang w:bidi="ar"/>
              </w:rPr>
              <w:t>第七十二条第四项</w:t>
            </w:r>
          </w:p>
        </w:tc>
        <w:tc>
          <w:tcPr>
            <w:tcW w:w="1262" w:type="dxa"/>
            <w:vMerge w:val="continue"/>
            <w:noWrap w:val="0"/>
            <w:vAlign w:val="center"/>
          </w:tcPr>
          <w:p w14:paraId="5E7FE17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6B41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0" w:hRule="atLeast"/>
          <w:jc w:val="center"/>
        </w:trPr>
        <w:tc>
          <w:tcPr>
            <w:tcW w:w="711" w:type="dxa"/>
            <w:noWrap w:val="0"/>
            <w:tcMar>
              <w:left w:w="28" w:type="dxa"/>
              <w:right w:w="28" w:type="dxa"/>
            </w:tcMar>
            <w:vAlign w:val="center"/>
          </w:tcPr>
          <w:p w14:paraId="141E87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kern w:val="0"/>
                <w:sz w:val="22"/>
                <w:szCs w:val="22"/>
                <w:highlight w:val="none"/>
                <w:lang w:val="en-US" w:eastAsia="zh-CN" w:bidi="ar"/>
              </w:rPr>
              <w:t>32</w:t>
            </w:r>
          </w:p>
        </w:tc>
        <w:tc>
          <w:tcPr>
            <w:tcW w:w="2767" w:type="dxa"/>
            <w:noWrap w:val="0"/>
            <w:vAlign w:val="center"/>
          </w:tcPr>
          <w:p w14:paraId="2D5065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对未设置外墙外保温材料提示性和警示性标识，或者未及时修复破损、开裂和脱落的外墙外保温系统的行政处罚</w:t>
            </w:r>
          </w:p>
        </w:tc>
        <w:tc>
          <w:tcPr>
            <w:tcW w:w="1200" w:type="dxa"/>
            <w:noWrap w:val="0"/>
            <w:vAlign w:val="center"/>
          </w:tcPr>
          <w:p w14:paraId="456AF8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kern w:val="0"/>
                <w:szCs w:val="21"/>
                <w:highlight w:val="none"/>
                <w:lang w:bidi="ar"/>
              </w:rPr>
              <w:t>消防救援</w:t>
            </w:r>
          </w:p>
        </w:tc>
        <w:tc>
          <w:tcPr>
            <w:tcW w:w="3116" w:type="dxa"/>
            <w:noWrap w:val="0"/>
            <w:vAlign w:val="center"/>
          </w:tcPr>
          <w:p w14:paraId="160F59A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pacing w:val="-6"/>
                <w:kern w:val="0"/>
                <w:szCs w:val="21"/>
                <w:highlight w:val="none"/>
                <w:lang w:bidi="ar"/>
              </w:rPr>
              <w:t>《高层民用建筑消防安全管理规定》</w:t>
            </w:r>
            <w:r>
              <w:rPr>
                <w:rFonts w:hint="eastAsia" w:ascii="Times New Roman" w:hAnsi="Times New Roman" w:eastAsia="宋体" w:cs="Times New Roman"/>
                <w:color w:val="000000"/>
                <w:spacing w:val="-6"/>
                <w:kern w:val="0"/>
                <w:szCs w:val="21"/>
                <w:highlight w:val="none"/>
                <w:lang w:eastAsia="zh-CN" w:bidi="ar"/>
              </w:rPr>
              <w:t>（应急管理部令第</w:t>
            </w:r>
            <w:r>
              <w:rPr>
                <w:rFonts w:hint="eastAsia" w:ascii="Times New Roman" w:hAnsi="Times New Roman" w:eastAsia="宋体" w:cs="Times New Roman"/>
                <w:color w:val="000000"/>
                <w:spacing w:val="-6"/>
                <w:kern w:val="0"/>
                <w:szCs w:val="21"/>
                <w:highlight w:val="none"/>
                <w:lang w:val="en-US" w:eastAsia="zh-CN" w:bidi="ar"/>
              </w:rPr>
              <w:t>5号）：</w:t>
            </w:r>
            <w:r>
              <w:rPr>
                <w:rFonts w:hint="default" w:ascii="Times New Roman" w:hAnsi="Times New Roman" w:cs="Times New Roman"/>
                <w:color w:val="000000"/>
                <w:kern w:val="0"/>
                <w:szCs w:val="21"/>
                <w:highlight w:val="none"/>
                <w:lang w:bidi="ar"/>
              </w:rPr>
              <w:t xml:space="preserve">    </w:t>
            </w:r>
            <w:r>
              <w:rPr>
                <w:rFonts w:hint="default" w:ascii="Times New Roman" w:hAnsi="Times New Roman" w:eastAsia="宋体" w:cs="Times New Roman"/>
                <w:color w:val="000000"/>
                <w:kern w:val="0"/>
                <w:szCs w:val="21"/>
                <w:highlight w:val="none"/>
                <w:lang w:bidi="ar"/>
              </w:rPr>
              <w:t>第十九条第一款</w:t>
            </w:r>
            <w:r>
              <w:rPr>
                <w:rFonts w:hint="eastAsia" w:ascii="Times New Roman" w:hAnsi="Times New Roman" w:eastAsia="宋体" w:cs="Times New Roman"/>
                <w:color w:val="000000"/>
                <w:kern w:val="0"/>
                <w:szCs w:val="21"/>
                <w:highlight w:val="none"/>
                <w:lang w:eastAsia="zh-CN" w:bidi="ar"/>
              </w:rPr>
              <w:t>、</w:t>
            </w:r>
            <w:r>
              <w:rPr>
                <w:rFonts w:hint="default" w:ascii="Times New Roman" w:hAnsi="Times New Roman" w:eastAsia="宋体" w:cs="Times New Roman"/>
                <w:color w:val="000000"/>
                <w:kern w:val="0"/>
                <w:szCs w:val="21"/>
                <w:highlight w:val="none"/>
                <w:lang w:bidi="ar"/>
              </w:rPr>
              <w:t>第四十七条第三项</w:t>
            </w:r>
          </w:p>
        </w:tc>
        <w:tc>
          <w:tcPr>
            <w:tcW w:w="1262" w:type="dxa"/>
            <w:vMerge w:val="continue"/>
            <w:noWrap w:val="0"/>
            <w:vAlign w:val="center"/>
          </w:tcPr>
          <w:p w14:paraId="23F089A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7477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711" w:type="dxa"/>
            <w:noWrap w:val="0"/>
            <w:tcMar>
              <w:left w:w="28" w:type="dxa"/>
              <w:right w:w="28" w:type="dxa"/>
            </w:tcMar>
            <w:vAlign w:val="center"/>
          </w:tcPr>
          <w:p w14:paraId="5DA37A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kern w:val="0"/>
                <w:szCs w:val="21"/>
                <w:lang w:eastAsia="zh-CN" w:bidi="ar"/>
              </w:rPr>
            </w:pPr>
            <w:r>
              <w:rPr>
                <w:rFonts w:hint="default" w:ascii="Times New Roman" w:hAnsi="Times New Roman" w:eastAsia="宋体" w:cs="Times New Roman"/>
                <w:color w:val="000000"/>
                <w:kern w:val="0"/>
                <w:szCs w:val="21"/>
                <w:lang w:bidi="ar"/>
              </w:rPr>
              <w:t>3</w:t>
            </w:r>
            <w:r>
              <w:rPr>
                <w:rFonts w:hint="eastAsia" w:ascii="Times New Roman" w:hAnsi="Times New Roman" w:eastAsia="宋体" w:cs="Times New Roman"/>
                <w:color w:val="000000"/>
                <w:kern w:val="0"/>
                <w:szCs w:val="21"/>
                <w:lang w:val="en-US" w:eastAsia="zh-CN" w:bidi="ar"/>
              </w:rPr>
              <w:t>3</w:t>
            </w:r>
          </w:p>
        </w:tc>
        <w:tc>
          <w:tcPr>
            <w:tcW w:w="2767" w:type="dxa"/>
            <w:noWrap w:val="0"/>
            <w:vAlign w:val="center"/>
          </w:tcPr>
          <w:p w14:paraId="674B2C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对未按照规定落实消防控制室值班制度，或者安排不具备相应条件的人员值班的行政处罚</w:t>
            </w:r>
          </w:p>
        </w:tc>
        <w:tc>
          <w:tcPr>
            <w:tcW w:w="1200" w:type="dxa"/>
            <w:noWrap w:val="0"/>
            <w:vAlign w:val="center"/>
          </w:tcPr>
          <w:p w14:paraId="2DA6B5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3B04D79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《高层民用建筑消防安全管理规定》（应急管理部令第5号）</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第二十六条第一款及第二款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第四十七条第四项</w:t>
            </w:r>
          </w:p>
        </w:tc>
        <w:tc>
          <w:tcPr>
            <w:tcW w:w="1262" w:type="dxa"/>
            <w:vMerge w:val="continue"/>
            <w:noWrap w:val="0"/>
            <w:vAlign w:val="center"/>
          </w:tcPr>
          <w:p w14:paraId="08D85C7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r w14:paraId="4CBD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noWrap w:val="0"/>
            <w:tcMar>
              <w:left w:w="28" w:type="dxa"/>
              <w:right w:w="28" w:type="dxa"/>
            </w:tcMar>
            <w:vAlign w:val="center"/>
          </w:tcPr>
          <w:p w14:paraId="4CDC75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color w:val="000000"/>
                <w:kern w:val="0"/>
                <w:szCs w:val="21"/>
                <w:lang w:eastAsia="zh-CN" w:bidi="ar"/>
              </w:rPr>
            </w:pPr>
            <w:r>
              <w:rPr>
                <w:rFonts w:hint="default" w:ascii="Times New Roman" w:hAnsi="Times New Roman" w:eastAsia="宋体" w:cs="Times New Roman"/>
                <w:color w:val="000000"/>
                <w:kern w:val="0"/>
                <w:szCs w:val="21"/>
                <w:lang w:bidi="ar"/>
              </w:rPr>
              <w:t>3</w:t>
            </w:r>
            <w:r>
              <w:rPr>
                <w:rFonts w:hint="eastAsia" w:ascii="Times New Roman" w:hAnsi="Times New Roman" w:eastAsia="宋体" w:cs="Times New Roman"/>
                <w:color w:val="000000"/>
                <w:kern w:val="0"/>
                <w:szCs w:val="21"/>
                <w:lang w:val="en-US" w:eastAsia="zh-CN" w:bidi="ar"/>
              </w:rPr>
              <w:t>4</w:t>
            </w:r>
          </w:p>
        </w:tc>
        <w:tc>
          <w:tcPr>
            <w:tcW w:w="2767" w:type="dxa"/>
            <w:noWrap w:val="0"/>
            <w:vAlign w:val="center"/>
          </w:tcPr>
          <w:p w14:paraId="499465D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对在高层民用建筑公共门厅、疏散走道、楼梯间、安全出口停放电动自行车或者为电动自行车充电的行政处罚</w:t>
            </w:r>
          </w:p>
        </w:tc>
        <w:tc>
          <w:tcPr>
            <w:tcW w:w="1200" w:type="dxa"/>
            <w:noWrap w:val="0"/>
            <w:vAlign w:val="center"/>
          </w:tcPr>
          <w:p w14:paraId="610FCC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消防救援</w:t>
            </w:r>
          </w:p>
        </w:tc>
        <w:tc>
          <w:tcPr>
            <w:tcW w:w="3116" w:type="dxa"/>
            <w:noWrap w:val="0"/>
            <w:vAlign w:val="center"/>
          </w:tcPr>
          <w:p w14:paraId="36EE7F0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《高层民用建筑消防安全管理规定》（应急管理部令第5号）</w:t>
            </w:r>
            <w:r>
              <w:rPr>
                <w:rFonts w:hint="eastAsia" w:ascii="Times New Roman" w:hAnsi="Times New Roman" w:eastAsia="宋体" w:cs="Times New Roman"/>
                <w:color w:val="000000"/>
                <w:kern w:val="0"/>
                <w:szCs w:val="21"/>
                <w:lang w:eastAsia="zh-CN" w:bidi="ar"/>
              </w:rPr>
              <w:t>：第</w:t>
            </w:r>
            <w:r>
              <w:rPr>
                <w:rFonts w:hint="default" w:ascii="Times New Roman" w:hAnsi="Times New Roman" w:eastAsia="宋体" w:cs="Times New Roman"/>
                <w:color w:val="000000"/>
                <w:kern w:val="0"/>
                <w:szCs w:val="21"/>
                <w:lang w:bidi="ar"/>
              </w:rPr>
              <w:t>三十七条第一款</w:t>
            </w:r>
            <w:r>
              <w:rPr>
                <w:rFonts w:hint="eastAsia" w:ascii="Times New Roman" w:hAnsi="Times New Roman" w:eastAsia="宋体" w:cs="Times New Roman"/>
                <w:color w:val="000000"/>
                <w:kern w:val="0"/>
                <w:szCs w:val="21"/>
                <w:lang w:eastAsia="zh-CN" w:bidi="ar"/>
              </w:rPr>
              <w:t>、</w:t>
            </w:r>
            <w:r>
              <w:rPr>
                <w:rFonts w:hint="default" w:ascii="Times New Roman" w:hAnsi="Times New Roman" w:eastAsia="宋体" w:cs="Times New Roman"/>
                <w:color w:val="000000"/>
                <w:kern w:val="0"/>
                <w:szCs w:val="21"/>
                <w:lang w:bidi="ar"/>
              </w:rPr>
              <w:t>第四十七条第七项</w:t>
            </w:r>
          </w:p>
        </w:tc>
        <w:tc>
          <w:tcPr>
            <w:tcW w:w="1262" w:type="dxa"/>
            <w:vMerge w:val="continue"/>
            <w:noWrap w:val="0"/>
            <w:vAlign w:val="center"/>
          </w:tcPr>
          <w:p w14:paraId="7356077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000000"/>
                <w:kern w:val="0"/>
                <w:szCs w:val="21"/>
                <w:lang w:bidi="ar"/>
              </w:rPr>
            </w:pPr>
          </w:p>
        </w:tc>
      </w:tr>
    </w:tbl>
    <w:p w14:paraId="0F3B96F0">
      <w:pPr>
        <w:numPr>
          <w:ilvl w:val="0"/>
          <w:numId w:val="0"/>
        </w:num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7350D"/>
    <w:rsid w:val="48404810"/>
    <w:rsid w:val="538F47F5"/>
    <w:rsid w:val="6D892D7A"/>
    <w:rsid w:val="7610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4655</Words>
  <Characters>4738</Characters>
  <Lines>0</Lines>
  <Paragraphs>0</Paragraphs>
  <TotalTime>29</TotalTime>
  <ScaleCrop>false</ScaleCrop>
  <LinksUpToDate>false</LinksUpToDate>
  <CharactersWithSpaces>4746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2025-12-18T01:17:00Z</dcterms:created>
  <dc:creator>hp</dc:creator>
  <cp:lastModifiedBy>罗汉缘</cp:lastModifiedBy>
  <dcterms:modified xsi:type="dcterms:W3CDTF">2025-12-18T02:32:56Z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eyJoZGlkIjoiN2M2ZjExMzBkOGM5MzAzODUzYWYyYzYzZTA2YWM2MmMiLCJ1c2VySWQiOiIzNjIyODQzNzAifQ==</vt:lpwstr>
  </property>
  <property fmtid="{D5CDD505-2E9C-101B-9397-08002B2CF9AE}" pid="4" name="ICV">
    <vt:lpwstr>609F591B764948999B2627C2A9865B83_13</vt:lpwstr>
  </property>
</Properties>
</file>