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48E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29A73C16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473E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600E22E1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55EE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55C4DF67">
            <w:pPr>
              <w:jc w:val="center"/>
              <w:rPr>
                <w:rFonts w:ascii="Times New Roman" w:hAnsi="Times New Roman" w:eastAsia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  <w:lang w:val="en-US" w:eastAsia="zh-CN"/>
              </w:rPr>
              <w:t>51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期</w:t>
            </w:r>
          </w:p>
          <w:p w14:paraId="4747BF33">
            <w:pPr>
              <w:rPr>
                <w:rFonts w:ascii="仿宋_GB2312" w:hAnsi="仿宋_GB2312" w:eastAsia="仿宋_GB2312" w:cs="仿宋_GB2312"/>
                <w:color w:val="000000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32"/>
                <w:szCs w:val="32"/>
                <w:lang w:eastAsia="zh-CN"/>
              </w:rPr>
              <w:t>方城县安防委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sz w:val="32"/>
                <w:szCs w:val="32"/>
              </w:rPr>
              <w:t>办公室</w:t>
            </w:r>
          </w:p>
          <w:p w14:paraId="029245DF">
            <w:pPr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仿宋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"/>
                <w:color w:val="000000"/>
                <w:sz w:val="32"/>
                <w:szCs w:val="32"/>
                <w:lang w:val="en-US"/>
              </w:rPr>
              <w:t>18</w:t>
            </w:r>
            <w:r>
              <w:rPr>
                <w:rFonts w:hint="eastAsia" w:ascii="Times New Roman" w:hAnsi="Times New Roman" w:eastAsia="仿宋"/>
                <w:color w:val="000000"/>
                <w:sz w:val="32"/>
                <w:szCs w:val="32"/>
              </w:rPr>
              <w:t>日</w:t>
            </w:r>
          </w:p>
        </w:tc>
      </w:tr>
    </w:tbl>
    <w:p w14:paraId="5FD6924F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/>
          <w:kern w:val="0"/>
          <w:sz w:val="24"/>
        </w:rPr>
      </w:pPr>
    </w:p>
    <w:p w14:paraId="0DB1A0FA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大雾橙色预警信息</w:t>
      </w:r>
    </w:p>
    <w:p w14:paraId="38B9FAA8">
      <w:pPr>
        <w:pStyle w:val="11"/>
        <w:spacing w:line="600" w:lineRule="exact"/>
        <w:ind w:firstLine="640" w:firstLineChars="200"/>
        <w:rPr>
          <w:rFonts w:hint="eastAsia" w:hAnsi="黑体" w:cs="楷体_GB2312"/>
          <w:color w:val="000000"/>
          <w:sz w:val="32"/>
          <w:szCs w:val="32"/>
        </w:rPr>
      </w:pPr>
    </w:p>
    <w:p w14:paraId="748FAC11">
      <w:pPr>
        <w:pStyle w:val="11"/>
        <w:spacing w:line="600" w:lineRule="exact"/>
        <w:ind w:firstLine="640" w:firstLineChars="200"/>
        <w:rPr>
          <w:rFonts w:ascii="黑体" w:hAnsi="黑体" w:eastAsia="黑体" w:cs="楷体_GB2312"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</w:rPr>
        <w:t>一、预警信息</w:t>
      </w:r>
    </w:p>
    <w:p w14:paraId="CA9BEF50">
      <w:pPr>
        <w:pStyle w:val="11"/>
        <w:spacing w:line="600" w:lineRule="exact"/>
        <w:ind w:firstLine="640" w:firstLineChars="200"/>
        <w:rPr>
          <w:rFonts w:hint="eastAsia" w:hAnsi="黑体" w:cs="楷体_GB2312"/>
          <w:color w:val="000000"/>
          <w:sz w:val="32"/>
          <w:szCs w:val="32"/>
        </w:rPr>
      </w:pPr>
      <w:r>
        <w:rPr>
          <w:rFonts w:hint="eastAsia" w:hAnsi="黑体" w:cs="楷体_GB2312"/>
          <w:color w:val="000000"/>
          <w:sz w:val="32"/>
          <w:szCs w:val="32"/>
          <w:lang w:val="en-US" w:eastAsia="zh-CN"/>
        </w:rPr>
        <w:t>方城县</w:t>
      </w:r>
      <w:r>
        <w:rPr>
          <w:rFonts w:hint="default" w:hAnsi="黑体" w:cs="楷体_GB2312"/>
          <w:color w:val="000000"/>
          <w:sz w:val="32"/>
          <w:szCs w:val="32"/>
          <w:lang w:val="en-US"/>
        </w:rPr>
        <w:t>气象台2025年11月18日4时50分将大雾黄色预警信号升级为大雾橙色预警信号:预计未来6小时内，</w:t>
      </w:r>
      <w:r>
        <w:rPr>
          <w:rFonts w:hint="eastAsia" w:hAnsi="黑体" w:cs="楷体_GB2312"/>
          <w:color w:val="000000"/>
          <w:sz w:val="32"/>
          <w:szCs w:val="32"/>
          <w:lang w:val="en-US" w:eastAsia="zh-CN"/>
        </w:rPr>
        <w:t>方城县</w:t>
      </w:r>
      <w:r>
        <w:rPr>
          <w:rFonts w:hint="default" w:hAnsi="黑体" w:cs="楷体_GB2312"/>
          <w:color w:val="000000"/>
          <w:sz w:val="32"/>
          <w:szCs w:val="32"/>
          <w:lang w:val="en-US"/>
        </w:rPr>
        <w:t>区及所辖乡镇和街道将出现能见度小于200米的雾，局地能见度小于50米，请注意防范。</w:t>
      </w:r>
    </w:p>
    <w:p w14:paraId="2834032B">
      <w:pPr>
        <w:pStyle w:val="11"/>
        <w:spacing w:line="600" w:lineRule="exact"/>
        <w:ind w:firstLine="643" w:firstLineChars="200"/>
        <w:rPr>
          <w:rFonts w:hint="eastAsia" w:hAnsi="黑体" w:cs="楷体_GB2312"/>
          <w:b/>
          <w:color w:val="000000"/>
          <w:sz w:val="32"/>
          <w:szCs w:val="32"/>
        </w:rPr>
      </w:pPr>
      <w:r>
        <w:rPr>
          <w:rFonts w:hint="eastAsia" w:hAnsi="黑体" w:cs="楷体_GB2312"/>
          <w:b/>
          <w:color w:val="000000"/>
          <w:sz w:val="32"/>
          <w:szCs w:val="32"/>
          <w:lang w:val="en-US" w:eastAsia="zh-CN"/>
        </w:rPr>
        <w:t>大雾橙色</w:t>
      </w:r>
      <w:r>
        <w:rPr>
          <w:rFonts w:hint="eastAsia" w:hAnsi="黑体" w:cs="楷体_GB2312"/>
          <w:b/>
          <w:color w:val="000000"/>
          <w:sz w:val="32"/>
          <w:szCs w:val="32"/>
        </w:rPr>
        <w:t>预警信号</w:t>
      </w:r>
    </w:p>
    <w:p w14:paraId="7EA688B2">
      <w:pPr>
        <w:pStyle w:val="11"/>
        <w:ind w:firstLine="643" w:firstLineChars="200"/>
        <w:rPr>
          <w:rFonts w:hAnsi="黑体" w:cs="楷体_GB2312"/>
          <w:b/>
          <w:color w:val="000000"/>
          <w:sz w:val="32"/>
          <w:szCs w:val="32"/>
        </w:rPr>
      </w:pPr>
      <w:r>
        <w:rPr>
          <w:rFonts w:hint="eastAsia" w:hAnsi="黑体" w:cs="楷体_GB2312"/>
          <w:b/>
          <w:color w:val="000000"/>
          <w:sz w:val="32"/>
          <w:szCs w:val="32"/>
        </w:rPr>
        <w:t>图标</w:t>
      </w:r>
      <w:r>
        <w:rPr>
          <w:rFonts w:hint="eastAsia" w:hAnsi="黑体" w:cs="楷体_GB2312"/>
          <w:b/>
          <w:color w:val="000000"/>
          <w:sz w:val="32"/>
          <w:szCs w:val="32"/>
          <w:lang w:eastAsia="zh-CN"/>
        </w:rPr>
        <w:t>：</w:t>
      </w:r>
    </w:p>
    <w:p w14:paraId="1B87C335">
      <w:pPr>
        <w:pStyle w:val="11"/>
        <w:ind w:firstLine="480" w:firstLineChars="200"/>
        <w:jc w:val="center"/>
      </w:pPr>
      <w:r>
        <w:drawing>
          <wp:inline distT="0" distB="0" distL="0" distR="0">
            <wp:extent cx="1717675" cy="1288415"/>
            <wp:effectExtent l="0" t="0" r="9525" b="6985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288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B2A0">
      <w:pPr>
        <w:ind w:firstLine="640" w:firstLineChars="200"/>
        <w:rPr>
          <w:rFonts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、防范应对措施</w:t>
      </w:r>
    </w:p>
    <w:p w14:paraId="3E124B9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县安防委</w:t>
      </w:r>
      <w:r>
        <w:rPr>
          <w:rFonts w:hint="eastAsia" w:ascii="仿宋_GB2312" w:hAnsi="Times New Roman" w:eastAsia="仿宋_GB2312"/>
          <w:sz w:val="32"/>
          <w:szCs w:val="32"/>
        </w:rPr>
        <w:t>办公室、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应急管理局提醒：</w:t>
      </w:r>
    </w:p>
    <w:p w14:paraId="6C77262B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（一）强化统筹调度与值班值守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乡镇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街道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安防委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各相关单位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要高度重视大雾防御工作，严格落实24小时值班值守和领导带班制度，保持通讯联络畅通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；要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加强与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</w:rPr>
        <w:t>气象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的实时会商，动态掌握雾情变化，及时调整防御措施，遇突发事件第一时间启动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相应的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应急预案，妥善处置并按规定上报。</w:t>
      </w:r>
    </w:p>
    <w:p w14:paraId="266B710A"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（二）全力保障交通运输安全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临时关闭等措施（如能见度低于50米时，高速路段可实施全面封闭），通过电子屏、广播等渠道实时发布路况信息，引导车辆有序停靠或绕行。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kern w:val="0"/>
          <w:sz w:val="32"/>
          <w:szCs w:val="32"/>
          <w:lang w:val="en-US" w:eastAsia="zh-CN"/>
        </w:rPr>
        <w:t>县公安局、交通运输局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在高速路口、国省道、城市主干道等关键节点增派警力，加强交通指挥与管控，重点严查超速、随意变道等违法行为；加大对“两客一危”车辆的监管力度，利用智能交通系统实时监测车辆运行状态，对违规运营车辆强制停驶。路政、养护单位需加强雾区路段巡查，及时清除道路障碍物，协同交警疏散滞留车辆和人员，必要时在雾区设置警示标识、防撞设施及临时照明设备。</w:t>
      </w:r>
    </w:p>
    <w:p w14:paraId="6DB588BA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（三）严控户外作业与设施安全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县住建局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要责令建筑施工企业暂停雾天户外作业，对深基坑、高支模、脚手架及建筑起重机械等设施进行全面检查加固，防止因能见度低引发坍塌、坠落事故；作业人员需转移至室内安全区域，待雾情缓解后再有序复工。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县城管局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要立即排查城市户外广告、路灯杆、公交站台等公共设施，对松动、倾斜的设施及时加固或拆除；督促环卫作业单位调整作业模式，暂停机械化清扫作业，优先采用人工保洁，避免机械作业引发安全事故。</w:t>
      </w:r>
    </w:p>
    <w:p w14:paraId="7FF54C35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（四）加强民生保障与风险防控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县供电公司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需加强变电站、输电线路巡检维护，重点防范雾凇、湿闪对电力设备的影响，安排应急抢修队伍及物资驻点待命，确保医院、交通枢纽、居民小区等重点区域用电稳定，遇供电故障第一时间抢修恢复。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  <w:lang w:eastAsia="zh-CN"/>
        </w:rPr>
        <w:t>文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广旅局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要联合电视、广播、网络新媒体、社区大喇叭等渠道，高频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次推送大雾预警信息及防御指南，提醒公众增强安全意识；</w:t>
      </w:r>
      <w:r>
        <w:rPr>
          <w:rFonts w:hint="eastAsia" w:ascii="国标楷体-GB/T 2312" w:hAnsi="国标楷体-GB/T 2312" w:eastAsia="国标楷体-GB/T 2312" w:cs="国标楷体-GB/T 2312"/>
          <w:b/>
          <w:bCs/>
          <w:color w:val="000000"/>
          <w:sz w:val="32"/>
          <w:szCs w:val="32"/>
          <w:lang w:eastAsia="zh-CN"/>
        </w:rPr>
        <w:t>县卫健委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需发布健康提示，告知老人、儿童、呼吸道疾病患者减少户外活动，确需外出时佩戴专业防护口罩，回家后及时用淡盐水漱口、清洗鼻腔，降低疾病诱发风险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4249091F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）引导公众科学防范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众需密切关注雾情变化，尽量减少不必要的外出；确需驾车出行的，应开启雾灯、近光灯、示廓灯及危险报警闪光灯，严格控制车速，与前车保持足够安全距离，避免频繁变道或超车，遇能见度极低时，尽快驶离主干道，寻找安全区域停靠；步行或骑行时需穿戴鲜艳衣物，在人行道内通行，注意避让车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68882E91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012BF4E9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FB2F7A2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33DE089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 w14:paraId="2E1FEB89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page" w:tblpX="1685" w:tblpY="690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545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79CD6C6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</w:rPr>
              <w:t>河南省应急管理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eastAsia="zh-CN"/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/>
                <w:spacing w:val="-20"/>
                <w:sz w:val="32"/>
                <w:szCs w:val="30"/>
                <w:lang w:eastAsia="zh-CN"/>
              </w:rPr>
              <w:t>科</w:t>
            </w:r>
          </w:p>
          <w:p w14:paraId="0BBEED17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  <w:lang w:eastAsia="zh-CN"/>
              </w:rPr>
              <w:t>方城县安防委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成员单位</w:t>
            </w:r>
          </w:p>
          <w:p w14:paraId="0EA511DA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/>
                <w:sz w:val="32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  <w:lang w:eastAsia="zh-CN"/>
              </w:rPr>
              <w:t>乡镇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（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  <w:lang w:eastAsia="zh-CN"/>
              </w:rPr>
              <w:t>街道</w:t>
            </w:r>
            <w:r>
              <w:rPr>
                <w:rFonts w:hint="eastAsia" w:ascii="Times New Roman" w:hAnsi="Times New Roman" w:eastAsia="仿宋_GB2312" w:cs="仿宋"/>
                <w:color w:val="000000"/>
                <w:sz w:val="32"/>
                <w:szCs w:val="30"/>
              </w:rPr>
              <w:t>）</w:t>
            </w:r>
          </w:p>
        </w:tc>
      </w:tr>
    </w:tbl>
    <w:p w14:paraId="0D3BCDB6">
      <w:pPr>
        <w:rPr>
          <w:color w:val="000000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方正行楷_GBK">
    <w:altName w:val="华文行楷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CESI楷体-GB13000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D050000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oto Sans Adlam Unjoined">
    <w:panose1 w:val="020B0502040504020204"/>
    <w:charset w:val="00"/>
    <w:family w:val="auto"/>
    <w:pitch w:val="default"/>
    <w:sig w:usb0="80002003" w:usb1="02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Noto Sans Adlam">
    <w:panose1 w:val="020B0502040504020204"/>
    <w:charset w:val="00"/>
    <w:family w:val="auto"/>
    <w:pitch w:val="default"/>
    <w:sig w:usb0="80002003" w:usb1="02000000" w:usb2="00000000" w:usb3="00000000" w:csb0="00000001" w:csb1="00000000"/>
  </w:font>
  <w:font w:name="Noto Sans Avestan">
    <w:panose1 w:val="020B0502040504020204"/>
    <w:charset w:val="00"/>
    <w:family w:val="auto"/>
    <w:pitch w:val="default"/>
    <w:sig w:usb0="80000003" w:usb1="02000000" w:usb2="00000000" w:usb3="00000000" w:csb0="00000001" w:csb1="00000000"/>
  </w:font>
  <w:font w:name="Noto Sans CJK TC">
    <w:panose1 w:val="020B0500000000000000"/>
    <w:charset w:val="88"/>
    <w:family w:val="auto"/>
    <w:pitch w:val="default"/>
    <w:sig w:usb0="30000083" w:usb1="2BDF3C10" w:usb2="00000016" w:usb3="00000000" w:csb0="603A0107" w:csb1="00000000"/>
  </w:font>
  <w:font w:name="Noto Sans Chakma">
    <w:panose1 w:val="020B0502040504020204"/>
    <w:charset w:val="00"/>
    <w:family w:val="auto"/>
    <w:pitch w:val="default"/>
    <w:sig w:usb0="80010003" w:usb1="02002000" w:usb2="00000400" w:usb3="00000000" w:csb0="00000001" w:csb1="00000000"/>
  </w:font>
  <w:font w:name="Noto Sans Inscriptional Pahlavi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Mahajani">
    <w:panose1 w:val="020B0502040504020204"/>
    <w:charset w:val="00"/>
    <w:family w:val="auto"/>
    <w:pitch w:val="default"/>
    <w:sig w:usb0="80008003" w:usb1="02002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C35B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C118CE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118CE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DBF49"/>
    <w:rsid w:val="EE764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1257</Words>
  <Characters>1274</Characters>
  <Paragraphs>37</Paragraphs>
  <TotalTime>35</TotalTime>
  <ScaleCrop>false</ScaleCrop>
  <LinksUpToDate>false</LinksUpToDate>
  <CharactersWithSpaces>1296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2020-01-03T10:43:00Z</dcterms:created>
  <dc:creator>hp</dc:creator>
  <cp:lastModifiedBy>AAA</cp:lastModifiedBy>
  <cp:lastPrinted>2025-11-18T09:56:29Z</cp:lastPrinted>
  <dcterms:modified xsi:type="dcterms:W3CDTF">2025-11-18T09:57:59Z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BDC19F290221CC57A2D01B691A51B0E5_43</vt:lpwstr>
  </property>
  <property fmtid="{D5CDD505-2E9C-101B-9397-08002B2CF9AE}" pid="4" name="KSOTemplateDocerSaveRecord">
    <vt:lpwstr>eyJoZGlkIjoiYTIyNTU4OWM3ZDU3YzkwZDg4NzdlMjQ3ZjY0ZjQyMzYifQ==</vt:lpwstr>
  </property>
</Properties>
</file>