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B337B">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方城县商务局涉企行政检查事项清单</w:t>
      </w:r>
    </w:p>
    <w:p w14:paraId="2C9E8AC5">
      <w:pPr>
        <w:jc w:val="center"/>
        <w:rPr>
          <w:rFonts w:hint="eastAsia" w:ascii="黑体" w:hAnsi="黑体" w:eastAsia="黑体" w:cs="黑体"/>
          <w:sz w:val="44"/>
          <w:szCs w:val="44"/>
          <w:lang w:eastAsia="zh-CN"/>
        </w:rPr>
      </w:pPr>
    </w:p>
    <w:tbl>
      <w:tblPr>
        <w:tblStyle w:val="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888"/>
        <w:gridCol w:w="2194"/>
        <w:gridCol w:w="4771"/>
        <w:gridCol w:w="4793"/>
        <w:gridCol w:w="1528"/>
      </w:tblGrid>
      <w:tr w14:paraId="56B8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tblHeader/>
          <w:jc w:val="center"/>
        </w:trPr>
        <w:tc>
          <w:tcPr>
            <w:tcW w:w="888" w:type="dxa"/>
            <w:vAlign w:val="center"/>
          </w:tcPr>
          <w:p w14:paraId="4BAB6BD3">
            <w:pPr>
              <w:snapToGrid w:val="0"/>
              <w:jc w:val="center"/>
              <w:rPr>
                <w:rFonts w:hint="eastAsia" w:ascii="楷体" w:hAnsi="楷体" w:eastAsia="楷体" w:cs="楷体"/>
                <w:b/>
                <w:sz w:val="32"/>
                <w:szCs w:val="32"/>
                <w:vertAlign w:val="baseline"/>
                <w:lang w:val="en-US" w:eastAsia="zh-CN"/>
              </w:rPr>
            </w:pPr>
            <w:r>
              <w:rPr>
                <w:rFonts w:hint="eastAsia" w:ascii="楷体" w:hAnsi="楷体" w:eastAsia="楷体" w:cs="楷体"/>
                <w:b/>
                <w:sz w:val="32"/>
                <w:szCs w:val="32"/>
                <w:vertAlign w:val="baseline"/>
                <w:lang w:val="en-US" w:eastAsia="zh-CN"/>
              </w:rPr>
              <w:t>序号</w:t>
            </w:r>
          </w:p>
        </w:tc>
        <w:tc>
          <w:tcPr>
            <w:tcW w:w="2194" w:type="dxa"/>
            <w:vAlign w:val="center"/>
          </w:tcPr>
          <w:p w14:paraId="1C5F260A">
            <w:pPr>
              <w:snapToGrid w:val="0"/>
              <w:jc w:val="center"/>
              <w:rPr>
                <w:rFonts w:hint="eastAsia" w:ascii="楷体" w:hAnsi="楷体" w:eastAsia="楷体" w:cs="楷体"/>
                <w:b/>
                <w:sz w:val="32"/>
                <w:szCs w:val="32"/>
                <w:vertAlign w:val="baseline"/>
                <w:lang w:eastAsia="zh-CN"/>
              </w:rPr>
            </w:pPr>
            <w:r>
              <w:rPr>
                <w:rFonts w:hint="eastAsia" w:ascii="楷体" w:hAnsi="楷体" w:eastAsia="楷体" w:cs="楷体"/>
                <w:b/>
                <w:sz w:val="32"/>
                <w:szCs w:val="32"/>
                <w:vertAlign w:val="baseline"/>
                <w:lang w:eastAsia="zh-CN"/>
              </w:rPr>
              <w:t>检查主体</w:t>
            </w:r>
          </w:p>
        </w:tc>
        <w:tc>
          <w:tcPr>
            <w:tcW w:w="4771" w:type="dxa"/>
            <w:vAlign w:val="center"/>
          </w:tcPr>
          <w:p w14:paraId="2BF63E57">
            <w:pPr>
              <w:snapToGrid w:val="0"/>
              <w:jc w:val="center"/>
              <w:rPr>
                <w:rFonts w:hint="eastAsia" w:ascii="楷体" w:hAnsi="楷体" w:eastAsia="楷体" w:cs="楷体"/>
                <w:b/>
                <w:sz w:val="32"/>
                <w:szCs w:val="32"/>
                <w:vertAlign w:val="baseline"/>
                <w:lang w:eastAsia="zh-CN"/>
              </w:rPr>
            </w:pPr>
            <w:r>
              <w:rPr>
                <w:rFonts w:hint="eastAsia" w:ascii="楷体" w:hAnsi="楷体" w:eastAsia="楷体" w:cs="楷体"/>
                <w:b/>
                <w:sz w:val="32"/>
                <w:szCs w:val="32"/>
                <w:vertAlign w:val="baseline"/>
                <w:lang w:eastAsia="zh-CN"/>
              </w:rPr>
              <w:t>检查事项</w:t>
            </w:r>
          </w:p>
        </w:tc>
        <w:tc>
          <w:tcPr>
            <w:tcW w:w="4793" w:type="dxa"/>
            <w:vAlign w:val="center"/>
          </w:tcPr>
          <w:p w14:paraId="49DA2C5F">
            <w:pPr>
              <w:snapToGrid w:val="0"/>
              <w:jc w:val="center"/>
              <w:rPr>
                <w:rFonts w:hint="eastAsia" w:ascii="楷体" w:hAnsi="楷体" w:eastAsia="楷体" w:cs="楷体"/>
                <w:b/>
                <w:sz w:val="32"/>
                <w:szCs w:val="32"/>
                <w:vertAlign w:val="baseline"/>
                <w:lang w:eastAsia="zh-CN"/>
              </w:rPr>
            </w:pPr>
            <w:r>
              <w:rPr>
                <w:rFonts w:hint="eastAsia" w:ascii="楷体" w:hAnsi="楷体" w:eastAsia="楷体" w:cs="楷体"/>
                <w:b/>
                <w:sz w:val="32"/>
                <w:szCs w:val="32"/>
                <w:vertAlign w:val="baseline"/>
                <w:lang w:eastAsia="zh-CN"/>
              </w:rPr>
              <w:t>检查依据</w:t>
            </w:r>
          </w:p>
        </w:tc>
        <w:tc>
          <w:tcPr>
            <w:tcW w:w="1528" w:type="dxa"/>
            <w:vAlign w:val="center"/>
          </w:tcPr>
          <w:p w14:paraId="44FE2E9D">
            <w:pPr>
              <w:snapToGrid w:val="0"/>
              <w:jc w:val="center"/>
              <w:rPr>
                <w:rFonts w:hint="eastAsia" w:ascii="楷体" w:hAnsi="楷体" w:eastAsia="楷体" w:cs="楷体"/>
                <w:b/>
                <w:sz w:val="32"/>
                <w:szCs w:val="32"/>
                <w:vertAlign w:val="baseline"/>
                <w:lang w:eastAsia="zh-CN"/>
              </w:rPr>
            </w:pPr>
            <w:r>
              <w:rPr>
                <w:rFonts w:hint="eastAsia" w:ascii="楷体" w:hAnsi="楷体" w:eastAsia="楷体" w:cs="楷体"/>
                <w:b/>
                <w:sz w:val="32"/>
                <w:szCs w:val="32"/>
                <w:vertAlign w:val="baseline"/>
                <w:lang w:eastAsia="zh-CN"/>
              </w:rPr>
              <w:t>检查频次</w:t>
            </w:r>
          </w:p>
        </w:tc>
      </w:tr>
      <w:tr w14:paraId="530A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47F4CCDA">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1</w:t>
            </w:r>
          </w:p>
        </w:tc>
        <w:tc>
          <w:tcPr>
            <w:tcW w:w="2194" w:type="dxa"/>
            <w:vAlign w:val="center"/>
          </w:tcPr>
          <w:p w14:paraId="1B90B7AB">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方城县商务局</w:t>
            </w:r>
          </w:p>
        </w:tc>
        <w:tc>
          <w:tcPr>
            <w:tcW w:w="4771" w:type="dxa"/>
            <w:vAlign w:val="center"/>
          </w:tcPr>
          <w:p w14:paraId="78EA2E0D">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对本行政区域内</w:t>
            </w:r>
            <w:r>
              <w:rPr>
                <w:rFonts w:hint="eastAsia" w:ascii="仿宋" w:hAnsi="仿宋" w:eastAsia="仿宋" w:cs="仿宋"/>
                <w:sz w:val="32"/>
                <w:szCs w:val="32"/>
                <w:vertAlign w:val="baseline"/>
                <w:lang w:eastAsia="zh-CN"/>
              </w:rPr>
              <w:t>美容美发从业</w:t>
            </w:r>
            <w:r>
              <w:rPr>
                <w:rFonts w:hint="eastAsia" w:ascii="仿宋" w:hAnsi="仿宋" w:eastAsia="仿宋" w:cs="仿宋"/>
                <w:sz w:val="32"/>
                <w:szCs w:val="32"/>
                <w:vertAlign w:val="baseline"/>
              </w:rPr>
              <w:t>者合规经营情况的检查</w:t>
            </w:r>
          </w:p>
        </w:tc>
        <w:tc>
          <w:tcPr>
            <w:tcW w:w="4793" w:type="dxa"/>
            <w:vAlign w:val="center"/>
          </w:tcPr>
          <w:p w14:paraId="76CD4797">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《美容美发业管理暂行办法（2004）》</w:t>
            </w:r>
          </w:p>
          <w:p w14:paraId="4ADA8A36">
            <w:pPr>
              <w:snapToGrid w:val="0"/>
              <w:jc w:val="left"/>
              <w:rPr>
                <w:rFonts w:hint="eastAsia" w:ascii="仿宋" w:hAnsi="仿宋" w:eastAsia="仿宋" w:cs="仿宋"/>
                <w:sz w:val="32"/>
                <w:szCs w:val="32"/>
                <w:vertAlign w:val="baseline"/>
              </w:rPr>
            </w:pPr>
          </w:p>
        </w:tc>
        <w:tc>
          <w:tcPr>
            <w:tcW w:w="1528" w:type="dxa"/>
            <w:vAlign w:val="center"/>
          </w:tcPr>
          <w:p w14:paraId="28C8CDD0">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38A9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22088E52">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2</w:t>
            </w:r>
          </w:p>
        </w:tc>
        <w:tc>
          <w:tcPr>
            <w:tcW w:w="2194" w:type="dxa"/>
            <w:vAlign w:val="center"/>
          </w:tcPr>
          <w:p w14:paraId="519D4E24">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095DFADC">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对零售商促销行为是否合规进行检查</w:t>
            </w:r>
          </w:p>
        </w:tc>
        <w:tc>
          <w:tcPr>
            <w:tcW w:w="4793" w:type="dxa"/>
            <w:vAlign w:val="center"/>
          </w:tcPr>
          <w:p w14:paraId="70682026">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《零售商促销行为管理办法（2006）》</w:t>
            </w:r>
          </w:p>
          <w:p w14:paraId="04757395">
            <w:pPr>
              <w:snapToGrid w:val="0"/>
              <w:jc w:val="left"/>
              <w:rPr>
                <w:rFonts w:hint="eastAsia" w:ascii="仿宋" w:hAnsi="仿宋" w:eastAsia="仿宋" w:cs="仿宋"/>
                <w:sz w:val="32"/>
                <w:szCs w:val="32"/>
                <w:vertAlign w:val="baseline"/>
              </w:rPr>
            </w:pPr>
          </w:p>
        </w:tc>
        <w:tc>
          <w:tcPr>
            <w:tcW w:w="1528" w:type="dxa"/>
            <w:vAlign w:val="center"/>
          </w:tcPr>
          <w:p w14:paraId="1715E6C9">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3DAE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7A67C7AC">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3</w:t>
            </w:r>
          </w:p>
        </w:tc>
        <w:tc>
          <w:tcPr>
            <w:tcW w:w="2194" w:type="dxa"/>
            <w:vAlign w:val="center"/>
          </w:tcPr>
          <w:p w14:paraId="6D396A83">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1A4BA169">
            <w:pPr>
              <w:snapToGrid w:val="0"/>
              <w:jc w:val="left"/>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对本行政区域内洗染行业经营者合规经营情况的检查</w:t>
            </w:r>
          </w:p>
        </w:tc>
        <w:tc>
          <w:tcPr>
            <w:tcW w:w="4793" w:type="dxa"/>
            <w:vAlign w:val="center"/>
          </w:tcPr>
          <w:p w14:paraId="245F2FAD">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《洗染业管理办法</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lang w:val="en-US" w:eastAsia="zh-CN"/>
              </w:rPr>
              <w:t>2007）</w:t>
            </w:r>
            <w:r>
              <w:rPr>
                <w:rFonts w:hint="eastAsia" w:ascii="仿宋" w:hAnsi="仿宋" w:eastAsia="仿宋" w:cs="仿宋"/>
                <w:sz w:val="32"/>
                <w:szCs w:val="32"/>
                <w:vertAlign w:val="baseline"/>
              </w:rPr>
              <w:t>》</w:t>
            </w:r>
          </w:p>
        </w:tc>
        <w:tc>
          <w:tcPr>
            <w:tcW w:w="1528" w:type="dxa"/>
            <w:vAlign w:val="center"/>
          </w:tcPr>
          <w:p w14:paraId="56CD27E4">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5698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042EBC79">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4</w:t>
            </w:r>
          </w:p>
        </w:tc>
        <w:tc>
          <w:tcPr>
            <w:tcW w:w="2194" w:type="dxa"/>
            <w:vAlign w:val="center"/>
          </w:tcPr>
          <w:p w14:paraId="63922F31">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050667A8">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对本地区易制毒化学品进出口的监督检查</w:t>
            </w:r>
          </w:p>
        </w:tc>
        <w:tc>
          <w:tcPr>
            <w:tcW w:w="4793" w:type="dxa"/>
            <w:vAlign w:val="center"/>
          </w:tcPr>
          <w:p w14:paraId="687D53D1">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《易制毒化学品管理条例</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lang w:val="en-US" w:eastAsia="zh-CN"/>
              </w:rPr>
              <w:t>2006</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rPr>
              <w:t>》</w:t>
            </w:r>
          </w:p>
        </w:tc>
        <w:tc>
          <w:tcPr>
            <w:tcW w:w="1528" w:type="dxa"/>
            <w:vAlign w:val="center"/>
          </w:tcPr>
          <w:p w14:paraId="13548D44">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6787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0A6F0D5E">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5</w:t>
            </w:r>
          </w:p>
        </w:tc>
        <w:tc>
          <w:tcPr>
            <w:tcW w:w="2194" w:type="dxa"/>
            <w:vAlign w:val="center"/>
          </w:tcPr>
          <w:p w14:paraId="18250DBD">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22ECDFB5">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对报废机动车回收拆解活动实施日常监督检查</w:t>
            </w:r>
          </w:p>
        </w:tc>
        <w:tc>
          <w:tcPr>
            <w:tcW w:w="4793" w:type="dxa"/>
            <w:vAlign w:val="center"/>
          </w:tcPr>
          <w:p w14:paraId="5110227E">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《报废机动车回收管理办法</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lang w:val="en-US" w:eastAsia="zh-CN"/>
              </w:rPr>
              <w:t>2000</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rPr>
              <w:t>》</w:t>
            </w:r>
          </w:p>
        </w:tc>
        <w:tc>
          <w:tcPr>
            <w:tcW w:w="1528" w:type="dxa"/>
            <w:vAlign w:val="center"/>
          </w:tcPr>
          <w:p w14:paraId="549D886D">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3247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007F5D52">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6</w:t>
            </w:r>
          </w:p>
        </w:tc>
        <w:tc>
          <w:tcPr>
            <w:tcW w:w="2194" w:type="dxa"/>
            <w:vAlign w:val="center"/>
          </w:tcPr>
          <w:p w14:paraId="289ABD1C">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0BA93FD9">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对本行政区域内商务领域经营者执行国家禁限使用规定和使用、回收报告活动的日常监督检查</w:t>
            </w:r>
          </w:p>
        </w:tc>
        <w:tc>
          <w:tcPr>
            <w:tcW w:w="4793" w:type="dxa"/>
            <w:vAlign w:val="center"/>
          </w:tcPr>
          <w:p w14:paraId="44E838B2">
            <w:pPr>
              <w:snapToGrid w:val="0"/>
              <w:jc w:val="left"/>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rPr>
              <w:t>商务领域经营者使用、报告一次性塑料制品管理办法（2023）</w:t>
            </w:r>
            <w:r>
              <w:rPr>
                <w:rFonts w:hint="eastAsia" w:ascii="仿宋" w:hAnsi="仿宋" w:eastAsia="仿宋" w:cs="仿宋"/>
                <w:sz w:val="32"/>
                <w:szCs w:val="32"/>
                <w:vertAlign w:val="baseline"/>
                <w:lang w:eastAsia="zh-CN"/>
              </w:rPr>
              <w:t>》</w:t>
            </w:r>
          </w:p>
        </w:tc>
        <w:tc>
          <w:tcPr>
            <w:tcW w:w="1528" w:type="dxa"/>
            <w:vAlign w:val="center"/>
          </w:tcPr>
          <w:p w14:paraId="0BFB7678">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2671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1C5D8993">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7</w:t>
            </w:r>
          </w:p>
        </w:tc>
        <w:tc>
          <w:tcPr>
            <w:tcW w:w="2194" w:type="dxa"/>
            <w:vAlign w:val="center"/>
          </w:tcPr>
          <w:p w14:paraId="33DE27BF">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4B26290F">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依据商务部门职责对食品等产品生产经营者进行监督检查</w:t>
            </w:r>
          </w:p>
        </w:tc>
        <w:tc>
          <w:tcPr>
            <w:tcW w:w="4793" w:type="dxa"/>
            <w:vAlign w:val="center"/>
          </w:tcPr>
          <w:p w14:paraId="14BD708C">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《国务院关于加强食品等产品安全监督管理的特别规定（2007）》</w:t>
            </w:r>
          </w:p>
          <w:p w14:paraId="43485604">
            <w:pPr>
              <w:snapToGrid w:val="0"/>
              <w:jc w:val="left"/>
              <w:rPr>
                <w:rFonts w:hint="eastAsia" w:ascii="仿宋" w:hAnsi="仿宋" w:eastAsia="仿宋" w:cs="仿宋"/>
                <w:sz w:val="32"/>
                <w:szCs w:val="32"/>
                <w:vertAlign w:val="baseline"/>
              </w:rPr>
            </w:pPr>
          </w:p>
        </w:tc>
        <w:tc>
          <w:tcPr>
            <w:tcW w:w="1528" w:type="dxa"/>
            <w:vAlign w:val="center"/>
          </w:tcPr>
          <w:p w14:paraId="4F484946">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2D1F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04EA2D00">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8</w:t>
            </w:r>
          </w:p>
        </w:tc>
        <w:tc>
          <w:tcPr>
            <w:tcW w:w="2194" w:type="dxa"/>
            <w:vAlign w:val="center"/>
          </w:tcPr>
          <w:p w14:paraId="401E5A09">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01EDCEE2">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对本行政区域的对外劳务合作企业合规经营情况的检查</w:t>
            </w:r>
          </w:p>
        </w:tc>
        <w:tc>
          <w:tcPr>
            <w:tcW w:w="4793" w:type="dxa"/>
            <w:vAlign w:val="center"/>
          </w:tcPr>
          <w:p w14:paraId="1D875682">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《对外劳务合作管理条例</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lang w:val="en-US" w:eastAsia="zh-CN"/>
              </w:rPr>
              <w:t>2012</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rPr>
              <w:t>》</w:t>
            </w:r>
          </w:p>
        </w:tc>
        <w:tc>
          <w:tcPr>
            <w:tcW w:w="1528" w:type="dxa"/>
            <w:vAlign w:val="center"/>
          </w:tcPr>
          <w:p w14:paraId="468C1A8B">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518A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627A306C">
            <w:pPr>
              <w:snapToGrid w:val="0"/>
              <w:jc w:val="center"/>
              <w:rPr>
                <w:rFonts w:hint="eastAsia"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9</w:t>
            </w:r>
          </w:p>
        </w:tc>
        <w:tc>
          <w:tcPr>
            <w:tcW w:w="2194" w:type="dxa"/>
            <w:vAlign w:val="center"/>
          </w:tcPr>
          <w:p w14:paraId="19618269">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68B5AD52">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对本行政区域内的电维修服务经营者合规经营情况的检查</w:t>
            </w:r>
          </w:p>
        </w:tc>
        <w:tc>
          <w:tcPr>
            <w:tcW w:w="4793" w:type="dxa"/>
            <w:vAlign w:val="center"/>
          </w:tcPr>
          <w:p w14:paraId="6BADA4D0">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《家电维修服务业管理办法（2012）》</w:t>
            </w:r>
          </w:p>
          <w:p w14:paraId="35545458">
            <w:pPr>
              <w:snapToGrid w:val="0"/>
              <w:jc w:val="left"/>
              <w:rPr>
                <w:rFonts w:hint="eastAsia" w:ascii="仿宋" w:hAnsi="仿宋" w:eastAsia="仿宋" w:cs="仿宋"/>
                <w:sz w:val="32"/>
                <w:szCs w:val="32"/>
                <w:vertAlign w:val="baseline"/>
              </w:rPr>
            </w:pPr>
          </w:p>
        </w:tc>
        <w:tc>
          <w:tcPr>
            <w:tcW w:w="1528" w:type="dxa"/>
            <w:vAlign w:val="center"/>
          </w:tcPr>
          <w:p w14:paraId="63699920">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4635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64F10A61">
            <w:pPr>
              <w:snapToGrid w:val="0"/>
              <w:jc w:val="center"/>
              <w:rPr>
                <w:rFonts w:hint="default"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10</w:t>
            </w:r>
          </w:p>
        </w:tc>
        <w:tc>
          <w:tcPr>
            <w:tcW w:w="2194" w:type="dxa"/>
            <w:vAlign w:val="center"/>
          </w:tcPr>
          <w:p w14:paraId="1B77530A">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6074C622">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对本行政区域内家庭服务机构合规经营的检查</w:t>
            </w:r>
          </w:p>
        </w:tc>
        <w:tc>
          <w:tcPr>
            <w:tcW w:w="4793" w:type="dxa"/>
            <w:vAlign w:val="center"/>
          </w:tcPr>
          <w:p w14:paraId="3CA7FBD8">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《家庭服务业管理暂行办法</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lang w:val="en-US" w:eastAsia="zh-CN"/>
              </w:rPr>
              <w:t>2012</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rPr>
              <w:t>》</w:t>
            </w:r>
          </w:p>
        </w:tc>
        <w:tc>
          <w:tcPr>
            <w:tcW w:w="1528" w:type="dxa"/>
            <w:vAlign w:val="center"/>
          </w:tcPr>
          <w:p w14:paraId="210BBCDA">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26B0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677837D5">
            <w:pPr>
              <w:snapToGrid w:val="0"/>
              <w:jc w:val="center"/>
              <w:rPr>
                <w:rFonts w:hint="default"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11</w:t>
            </w:r>
          </w:p>
        </w:tc>
        <w:tc>
          <w:tcPr>
            <w:tcW w:w="2194" w:type="dxa"/>
            <w:vAlign w:val="center"/>
          </w:tcPr>
          <w:p w14:paraId="265DA952">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1EC3D809">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对旧电器电子产品经营者和旧电器电子产品市场合规经营的监督检查</w:t>
            </w:r>
          </w:p>
        </w:tc>
        <w:tc>
          <w:tcPr>
            <w:tcW w:w="4793" w:type="dxa"/>
            <w:vAlign w:val="center"/>
          </w:tcPr>
          <w:p w14:paraId="71E2527B">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《旧电器电子产品流通管理办法</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lang w:val="en-US" w:eastAsia="zh-CN"/>
              </w:rPr>
              <w:t>2013</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rPr>
              <w:t>》</w:t>
            </w:r>
          </w:p>
        </w:tc>
        <w:tc>
          <w:tcPr>
            <w:tcW w:w="1528" w:type="dxa"/>
            <w:vAlign w:val="center"/>
          </w:tcPr>
          <w:p w14:paraId="1A2DBDC6">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1DAA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4BDB43FD">
            <w:pPr>
              <w:snapToGrid w:val="0"/>
              <w:jc w:val="center"/>
              <w:rPr>
                <w:rFonts w:hint="default"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12</w:t>
            </w:r>
          </w:p>
        </w:tc>
        <w:tc>
          <w:tcPr>
            <w:tcW w:w="2194" w:type="dxa"/>
            <w:vAlign w:val="center"/>
          </w:tcPr>
          <w:p w14:paraId="5EDCE29D">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61000026">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对汽车销售及其相关服务活动的日常监督检查</w:t>
            </w:r>
          </w:p>
        </w:tc>
        <w:tc>
          <w:tcPr>
            <w:tcW w:w="4793" w:type="dxa"/>
            <w:vAlign w:val="center"/>
          </w:tcPr>
          <w:p w14:paraId="592E4528">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《汽车销售管理办法</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lang w:val="en-US" w:eastAsia="zh-CN"/>
              </w:rPr>
              <w:t>2017</w:t>
            </w:r>
            <w:r>
              <w:rPr>
                <w:rFonts w:hint="eastAsia" w:ascii="仿宋" w:hAnsi="仿宋" w:eastAsia="仿宋" w:cs="仿宋"/>
                <w:sz w:val="32"/>
                <w:szCs w:val="32"/>
                <w:vertAlign w:val="baseline"/>
                <w:lang w:eastAsia="zh-CN"/>
              </w:rPr>
              <w:t>）</w:t>
            </w:r>
            <w:r>
              <w:rPr>
                <w:rFonts w:hint="eastAsia" w:ascii="仿宋" w:hAnsi="仿宋" w:eastAsia="仿宋" w:cs="仿宋"/>
                <w:sz w:val="32"/>
                <w:szCs w:val="32"/>
                <w:vertAlign w:val="baseline"/>
              </w:rPr>
              <w:t>》</w:t>
            </w:r>
          </w:p>
        </w:tc>
        <w:tc>
          <w:tcPr>
            <w:tcW w:w="1528" w:type="dxa"/>
            <w:vAlign w:val="center"/>
          </w:tcPr>
          <w:p w14:paraId="38CF95EC">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287C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0B841717">
            <w:pPr>
              <w:snapToGrid w:val="0"/>
              <w:jc w:val="center"/>
              <w:rPr>
                <w:rFonts w:hint="default"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13</w:t>
            </w:r>
          </w:p>
        </w:tc>
        <w:tc>
          <w:tcPr>
            <w:tcW w:w="2194" w:type="dxa"/>
            <w:vAlign w:val="center"/>
          </w:tcPr>
          <w:p w14:paraId="5586363E">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037217DB">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rPr>
              <w:t>对发卡企业和售卡企业的单用途卡业务活动、内部控制和风险状况等进行检查</w:t>
            </w:r>
          </w:p>
        </w:tc>
        <w:tc>
          <w:tcPr>
            <w:tcW w:w="4793" w:type="dxa"/>
            <w:vAlign w:val="center"/>
          </w:tcPr>
          <w:p w14:paraId="7CD35C8B">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rPr>
              <w:t>《单用途商业预付卡管理办法（试行）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2016</w:t>
            </w:r>
            <w:r>
              <w:rPr>
                <w:rFonts w:hint="eastAsia" w:ascii="仿宋" w:hAnsi="仿宋" w:eastAsia="仿宋" w:cs="仿宋"/>
                <w:sz w:val="32"/>
                <w:szCs w:val="32"/>
                <w:lang w:eastAsia="zh-CN"/>
              </w:rPr>
              <w:t>）</w:t>
            </w:r>
            <w:r>
              <w:rPr>
                <w:rFonts w:hint="eastAsia" w:ascii="仿宋" w:hAnsi="仿宋" w:eastAsia="仿宋" w:cs="仿宋"/>
                <w:sz w:val="32"/>
                <w:szCs w:val="32"/>
              </w:rPr>
              <w:t>》</w:t>
            </w:r>
            <w:bookmarkStart w:id="0" w:name="_GoBack"/>
            <w:bookmarkEnd w:id="0"/>
          </w:p>
        </w:tc>
        <w:tc>
          <w:tcPr>
            <w:tcW w:w="1528" w:type="dxa"/>
            <w:vAlign w:val="center"/>
          </w:tcPr>
          <w:p w14:paraId="294E04A5">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r w14:paraId="42CB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45" w:hRule="atLeast"/>
          <w:jc w:val="center"/>
        </w:trPr>
        <w:tc>
          <w:tcPr>
            <w:tcW w:w="888" w:type="dxa"/>
            <w:vAlign w:val="center"/>
          </w:tcPr>
          <w:p w14:paraId="07539B6D">
            <w:pPr>
              <w:snapToGrid w:val="0"/>
              <w:jc w:val="center"/>
              <w:rPr>
                <w:rFonts w:hint="default" w:ascii="仿宋" w:hAnsi="宋体" w:eastAsia="仿宋" w:cs="宋体"/>
                <w:sz w:val="32"/>
                <w:szCs w:val="32"/>
                <w:vertAlign w:val="baseline"/>
                <w:lang w:val="en-US" w:eastAsia="zh-CN"/>
              </w:rPr>
            </w:pPr>
            <w:r>
              <w:rPr>
                <w:rFonts w:hint="eastAsia" w:ascii="仿宋" w:hAnsi="宋体" w:eastAsia="仿宋" w:cs="宋体"/>
                <w:sz w:val="32"/>
                <w:szCs w:val="32"/>
                <w:vertAlign w:val="baseline"/>
                <w:lang w:val="en-US" w:eastAsia="zh-CN"/>
              </w:rPr>
              <w:t>14</w:t>
            </w:r>
          </w:p>
        </w:tc>
        <w:tc>
          <w:tcPr>
            <w:tcW w:w="2194" w:type="dxa"/>
            <w:vAlign w:val="center"/>
          </w:tcPr>
          <w:p w14:paraId="712547DA">
            <w:pPr>
              <w:snapToGrid w:val="0"/>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方城县商务局</w:t>
            </w:r>
          </w:p>
        </w:tc>
        <w:tc>
          <w:tcPr>
            <w:tcW w:w="4771" w:type="dxa"/>
            <w:vAlign w:val="center"/>
          </w:tcPr>
          <w:p w14:paraId="01A873D6">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对成品油流通企业的监督检查</w:t>
            </w:r>
          </w:p>
        </w:tc>
        <w:tc>
          <w:tcPr>
            <w:tcW w:w="4793" w:type="dxa"/>
            <w:vAlign w:val="center"/>
          </w:tcPr>
          <w:p w14:paraId="62ECB7E6">
            <w:pPr>
              <w:snapToGrid w:val="0"/>
              <w:jc w:val="left"/>
              <w:rPr>
                <w:rFonts w:hint="eastAsia" w:ascii="仿宋" w:hAnsi="仿宋" w:eastAsia="仿宋" w:cs="仿宋"/>
                <w:sz w:val="32"/>
                <w:szCs w:val="32"/>
                <w:vertAlign w:val="baseline"/>
              </w:rPr>
            </w:pPr>
            <w:r>
              <w:rPr>
                <w:rFonts w:hint="eastAsia" w:ascii="仿宋" w:hAnsi="仿宋" w:eastAsia="仿宋" w:cs="仿宋"/>
                <w:sz w:val="32"/>
                <w:szCs w:val="32"/>
                <w:vertAlign w:val="baseline"/>
              </w:rPr>
              <w:t>《成品油</w:t>
            </w:r>
            <w:r>
              <w:rPr>
                <w:rFonts w:hint="eastAsia" w:ascii="仿宋" w:hAnsi="仿宋" w:eastAsia="仿宋" w:cs="仿宋"/>
                <w:sz w:val="32"/>
                <w:szCs w:val="32"/>
                <w:vertAlign w:val="baseline"/>
                <w:lang w:eastAsia="zh-CN"/>
              </w:rPr>
              <w:t>流通</w:t>
            </w:r>
            <w:r>
              <w:rPr>
                <w:rFonts w:hint="eastAsia" w:ascii="仿宋" w:hAnsi="仿宋" w:eastAsia="仿宋" w:cs="仿宋"/>
                <w:sz w:val="32"/>
                <w:szCs w:val="32"/>
                <w:vertAlign w:val="baseline"/>
              </w:rPr>
              <w:t>管理办法</w:t>
            </w:r>
            <w:r>
              <w:rPr>
                <w:rFonts w:hint="eastAsia" w:ascii="仿宋" w:hAnsi="仿宋" w:eastAsia="仿宋" w:cs="仿宋"/>
                <w:sz w:val="32"/>
                <w:szCs w:val="32"/>
                <w:vertAlign w:val="baseline"/>
                <w:lang w:val="en-US" w:eastAsia="zh-CN"/>
              </w:rPr>
              <w:t>(2025)</w:t>
            </w:r>
            <w:r>
              <w:rPr>
                <w:rFonts w:hint="eastAsia" w:ascii="仿宋" w:hAnsi="仿宋" w:eastAsia="仿宋" w:cs="仿宋"/>
                <w:sz w:val="32"/>
                <w:szCs w:val="32"/>
                <w:vertAlign w:val="baseline"/>
              </w:rPr>
              <w:t>》</w:t>
            </w:r>
          </w:p>
        </w:tc>
        <w:tc>
          <w:tcPr>
            <w:tcW w:w="1528" w:type="dxa"/>
            <w:vAlign w:val="center"/>
          </w:tcPr>
          <w:p w14:paraId="4F4B161C">
            <w:pPr>
              <w:snapToGrid w:val="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随机</w:t>
            </w:r>
          </w:p>
        </w:tc>
      </w:tr>
    </w:tbl>
    <w:p w14:paraId="3D0ADA61">
      <w:pPr>
        <w:jc w:val="center"/>
        <w:rPr>
          <w:rFonts w:hint="eastAsia" w:ascii="黑体" w:hAnsi="黑体" w:eastAsia="黑体" w:cs="黑体"/>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11A33"/>
    <w:rsid w:val="05DE7A06"/>
    <w:rsid w:val="0638052F"/>
    <w:rsid w:val="08C91775"/>
    <w:rsid w:val="19711A33"/>
    <w:rsid w:val="67BC5A2D"/>
    <w:rsid w:val="7F4D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744</Words>
  <Characters>793</Characters>
  <Lines>0</Lines>
  <Paragraphs>0</Paragraphs>
  <TotalTime>289</TotalTime>
  <ScaleCrop>false</ScaleCrop>
  <LinksUpToDate>false</LinksUpToDate>
  <CharactersWithSpaces>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2025-09-30T03:19:00Z</dcterms:created>
  <dc:creator>万物皆清明</dc:creator>
  <cp:lastModifiedBy>万物皆清明</cp:lastModifiedBy>
  <dcterms:modified xsi:type="dcterms:W3CDTF">2025-10-09T00:25:19Z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3F5C832629A14E239AEFF813B4FDEF62_11</vt:lpwstr>
  </property>
  <property fmtid="{D5CDD505-2E9C-101B-9397-08002B2CF9AE}" pid="4" name="KSOTemplateDocerSaveRecord">
    <vt:lpwstr>eyJoZGlkIjoiOTI5ZTk4NWE3YmM3MWRmOWVmZjI0YjU5MmVhNjM2YmUiLCJ1c2VySWQiOiI1OTI1ODY5MDgifQ==</vt:lpwstr>
  </property>
</Properties>
</file>