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9FF7D">
      <w:pPr>
        <w:keepNext w:val="0"/>
        <w:keepLines w:val="0"/>
        <w:pageBreakBefore w:val="0"/>
        <w:widowControl w:val="0"/>
        <w:tabs>
          <w:tab w:val="left" w:pos="4500"/>
        </w:tabs>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i w:val="0"/>
          <w:iCs w:val="0"/>
          <w:caps w:val="0"/>
          <w:color w:val="000000" w:themeColor="text1"/>
          <w:spacing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4"/>
          <w:szCs w:val="44"/>
          <w:lang w:val="en-US" w:eastAsia="zh-CN"/>
          <w14:textFill>
            <w14:solidFill>
              <w14:schemeClr w14:val="tx1"/>
            </w14:solidFill>
          </w14:textFill>
        </w:rPr>
        <w:t>方城县农业农村局关于2024年绿色食品</w:t>
      </w:r>
      <w:r>
        <w:rPr>
          <w:rFonts w:hint="eastAsia" w:ascii="方正小标宋简体" w:hAnsi="方正小标宋简体" w:eastAsia="方正小标宋简体" w:cs="方正小标宋简体"/>
          <w:i w:val="0"/>
          <w:iCs w:val="0"/>
          <w:caps w:val="0"/>
          <w:color w:val="000000" w:themeColor="text1"/>
          <w:spacing w:val="0"/>
          <w:sz w:val="44"/>
          <w:szCs w:val="44"/>
          <w:lang w:val="en-US" w:eastAsia="zh-CN"/>
          <w14:textFill>
            <w14:solidFill>
              <w14:schemeClr w14:val="tx1"/>
            </w14:solidFill>
          </w14:textFill>
        </w:rPr>
        <w:t>企业</w:t>
      </w:r>
      <w:r>
        <w:rPr>
          <w:rFonts w:hint="eastAsia" w:ascii="方正小标宋简体" w:hAnsi="方正小标宋简体" w:eastAsia="方正小标宋简体" w:cs="方正小标宋简体"/>
          <w:i w:val="0"/>
          <w:iCs w:val="0"/>
          <w:caps w:val="0"/>
          <w:color w:val="000000" w:themeColor="text1"/>
          <w:spacing w:val="0"/>
          <w:sz w:val="44"/>
          <w:szCs w:val="44"/>
          <w:lang w:val="en-US" w:eastAsia="zh-CN"/>
          <w14:textFill>
            <w14:solidFill>
              <w14:schemeClr w14:val="tx1"/>
            </w14:solidFill>
          </w14:textFill>
        </w:rPr>
        <w:t>生产经营性贷款贴息的公示</w:t>
      </w:r>
    </w:p>
    <w:p w14:paraId="71A462E4">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_GBK" w:hAnsi="方正小标宋_GBK" w:eastAsia="方正小标宋_GBK" w:cs="方正小标宋_GBK"/>
          <w:bCs/>
          <w:sz w:val="44"/>
          <w:szCs w:val="44"/>
          <w:lang w:val="en-US" w:eastAsia="zh-CN"/>
        </w:rPr>
      </w:pPr>
    </w:p>
    <w:p w14:paraId="5C6512C1">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方正仿宋_GB2312" w:hAnsi="方正仿宋_GB2312" w:eastAsia="方正仿宋_GB2312" w:cs="方正仿宋_GB2312"/>
          <w:b w:val="0"/>
          <w:bCs w:val="0"/>
          <w:kern w:val="2"/>
          <w:sz w:val="32"/>
          <w:szCs w:val="32"/>
          <w:lang w:val="en-US" w:eastAsia="zh-CN" w:bidi="ar-SA"/>
        </w:rPr>
      </w:pPr>
      <w:r>
        <w:rPr>
          <w:rFonts w:hint="eastAsia" w:ascii="方正仿宋_GB2312" w:hAnsi="方正仿宋_GB2312" w:eastAsia="方正仿宋_GB2312" w:cs="方正仿宋_GB2312"/>
          <w:b w:val="0"/>
          <w:bCs w:val="0"/>
          <w:kern w:val="2"/>
          <w:sz w:val="32"/>
          <w:szCs w:val="32"/>
          <w:lang w:val="en-US" w:eastAsia="zh-CN" w:bidi="ar-SA"/>
        </w:rPr>
        <w:t>根据《河南省人民政府办公厅关于印发支持绿色食品业加快发展若干政策措施的通知》（豫政办〔2023〕7号）文件精神，经企业申请、县级初审、市级复审、省级最终审核，按照规定，现对符合贷款贴息条件的企业资金分配细化表进行公示，公示期2025年8月18日—2025年8月20日。公示期间如有异议，请于公示期间向我局反馈。</w:t>
      </w:r>
    </w:p>
    <w:p w14:paraId="08EA85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jc w:val="both"/>
        <w:textAlignment w:val="top"/>
        <w:rPr>
          <w:rFonts w:hint="eastAsia" w:ascii="方正仿宋_GB2312" w:hAnsi="方正仿宋_GB2312" w:eastAsia="方正仿宋_GB2312" w:cs="方正仿宋_GB2312"/>
          <w:b w:val="0"/>
          <w:bCs w:val="0"/>
          <w:kern w:val="2"/>
          <w:sz w:val="32"/>
          <w:szCs w:val="32"/>
          <w:lang w:val="en-US" w:eastAsia="zh-CN" w:bidi="ar-SA"/>
        </w:rPr>
      </w:pPr>
      <w:r>
        <w:rPr>
          <w:rFonts w:hint="eastAsia" w:ascii="方正仿宋_GB2312" w:hAnsi="方正仿宋_GB2312" w:eastAsia="方正仿宋_GB2312" w:cs="方正仿宋_GB2312"/>
          <w:b w:val="0"/>
          <w:bCs w:val="0"/>
          <w:kern w:val="2"/>
          <w:sz w:val="32"/>
          <w:szCs w:val="32"/>
          <w:lang w:val="en-US" w:eastAsia="zh-CN" w:bidi="ar-SA"/>
        </w:rPr>
        <w:t>　联系电话：0377-60122173</w:t>
      </w:r>
      <w:bookmarkStart w:id="0" w:name="_GoBack"/>
      <w:bookmarkEnd w:id="0"/>
    </w:p>
    <w:p w14:paraId="02EFD1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jc w:val="both"/>
        <w:textAlignment w:val="top"/>
        <w:rPr>
          <w:rFonts w:hint="eastAsia" w:ascii="方正仿宋_GB2312" w:hAnsi="方正仿宋_GB2312" w:eastAsia="方正仿宋_GB2312" w:cs="方正仿宋_GB2312"/>
          <w:b w:val="0"/>
          <w:bCs w:val="0"/>
          <w:kern w:val="2"/>
          <w:sz w:val="32"/>
          <w:szCs w:val="32"/>
          <w:lang w:val="en-US" w:eastAsia="zh-CN" w:bidi="ar-SA"/>
        </w:rPr>
      </w:pPr>
    </w:p>
    <w:p w14:paraId="2622C7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jc w:val="both"/>
        <w:textAlignment w:val="top"/>
        <w:rPr>
          <w:rFonts w:hint="eastAsia" w:ascii="方正仿宋_GB2312" w:hAnsi="方正仿宋_GB2312" w:eastAsia="方正仿宋_GB2312" w:cs="方正仿宋_GB2312"/>
          <w:b w:val="0"/>
          <w:bCs w:val="0"/>
          <w:kern w:val="2"/>
          <w:sz w:val="32"/>
          <w:szCs w:val="32"/>
          <w:lang w:val="en-US" w:eastAsia="zh-CN" w:bidi="ar-SA"/>
        </w:rPr>
      </w:pPr>
    </w:p>
    <w:p w14:paraId="4A409E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jc w:val="right"/>
        <w:textAlignment w:val="top"/>
        <w:rPr>
          <w:rFonts w:hint="eastAsia" w:ascii="方正仿宋_GB2312" w:hAnsi="方正仿宋_GB2312" w:eastAsia="方正仿宋_GB2312" w:cs="方正仿宋_GB2312"/>
          <w:b w:val="0"/>
          <w:bCs w:val="0"/>
          <w:kern w:val="2"/>
          <w:sz w:val="32"/>
          <w:szCs w:val="32"/>
          <w:lang w:val="en-US" w:eastAsia="zh-CN" w:bidi="ar-SA"/>
        </w:rPr>
      </w:pPr>
      <w:r>
        <w:rPr>
          <w:rFonts w:hint="eastAsia" w:ascii="方正仿宋_GB2312" w:hAnsi="方正仿宋_GB2312" w:eastAsia="方正仿宋_GB2312" w:cs="方正仿宋_GB2312"/>
          <w:b w:val="0"/>
          <w:bCs w:val="0"/>
          <w:kern w:val="2"/>
          <w:sz w:val="32"/>
          <w:szCs w:val="32"/>
          <w:lang w:val="en-US" w:eastAsia="zh-CN" w:bidi="ar-SA"/>
        </w:rPr>
        <w:t>2025年8月14日</w:t>
      </w:r>
    </w:p>
    <w:p w14:paraId="4EAE0F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jc w:val="right"/>
        <w:textAlignment w:val="top"/>
        <w:rPr>
          <w:rFonts w:hint="eastAsia" w:ascii="方正仿宋_GB2312" w:hAnsi="方正仿宋_GB2312" w:eastAsia="方正仿宋_GB2312" w:cs="方正仿宋_GB2312"/>
          <w:b w:val="0"/>
          <w:bCs w:val="0"/>
          <w:kern w:val="2"/>
          <w:sz w:val="32"/>
          <w:szCs w:val="32"/>
          <w:lang w:val="en-US" w:eastAsia="zh-CN" w:bidi="ar-SA"/>
        </w:rPr>
      </w:pPr>
    </w:p>
    <w:p w14:paraId="13422C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jc w:val="right"/>
        <w:textAlignment w:val="top"/>
        <w:rPr>
          <w:rFonts w:hint="eastAsia" w:ascii="方正仿宋_GB2312" w:hAnsi="方正仿宋_GB2312" w:eastAsia="方正仿宋_GB2312" w:cs="方正仿宋_GB2312"/>
          <w:b w:val="0"/>
          <w:bCs w:val="0"/>
          <w:kern w:val="2"/>
          <w:sz w:val="32"/>
          <w:szCs w:val="32"/>
          <w:lang w:val="en-US" w:eastAsia="zh-CN" w:bidi="ar-SA"/>
        </w:rPr>
      </w:pPr>
    </w:p>
    <w:p w14:paraId="60C21B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jc w:val="right"/>
        <w:textAlignment w:val="top"/>
        <w:rPr>
          <w:rFonts w:hint="eastAsia" w:ascii="方正仿宋_GB2312" w:hAnsi="方正仿宋_GB2312" w:eastAsia="方正仿宋_GB2312" w:cs="方正仿宋_GB2312"/>
          <w:b w:val="0"/>
          <w:bCs w:val="0"/>
          <w:kern w:val="2"/>
          <w:sz w:val="32"/>
          <w:szCs w:val="32"/>
          <w:lang w:val="en-US" w:eastAsia="zh-CN" w:bidi="ar-SA"/>
        </w:rPr>
      </w:pPr>
    </w:p>
    <w:p w14:paraId="79286B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exact"/>
        <w:ind w:left="0" w:right="0"/>
        <w:jc w:val="right"/>
        <w:textAlignment w:val="top"/>
        <w:rPr>
          <w:rFonts w:hint="eastAsia" w:ascii="方正仿宋_GB2312" w:hAnsi="方正仿宋_GB2312" w:eastAsia="方正仿宋_GB2312" w:cs="方正仿宋_GB2312"/>
          <w:b w:val="0"/>
          <w:bCs w:val="0"/>
          <w:kern w:val="2"/>
          <w:sz w:val="32"/>
          <w:szCs w:val="32"/>
          <w:lang w:val="en-US" w:eastAsia="zh-CN" w:bidi="ar-SA"/>
        </w:rPr>
        <w:sectPr>
          <w:pgSz w:w="11906" w:h="16838"/>
          <w:pgMar w:top="2098" w:right="1474" w:bottom="1984" w:left="1587" w:header="851" w:footer="992" w:gutter="0"/>
          <w:cols w:space="425" w:num="1"/>
          <w:docGrid w:type="lines" w:linePitch="312" w:charSpace="0"/>
        </w:sectPr>
      </w:pPr>
    </w:p>
    <w:p w14:paraId="59C523AB">
      <w:pPr>
        <w:jc w:val="left"/>
        <w:rPr>
          <w:rFonts w:hint="default"/>
          <w:b/>
          <w:bCs/>
          <w:sz w:val="28"/>
          <w:szCs w:val="28"/>
          <w:vertAlign w:val="baseline"/>
          <w:lang w:val="en-US" w:eastAsia="zh-CN"/>
        </w:rPr>
      </w:pPr>
      <w:r>
        <w:rPr>
          <w:rFonts w:hint="eastAsia"/>
          <w:b/>
          <w:bCs/>
          <w:sz w:val="28"/>
          <w:szCs w:val="28"/>
          <w:vertAlign w:val="baseline"/>
          <w:lang w:val="en-US" w:eastAsia="zh-CN"/>
        </w:rPr>
        <w:t>附表：</w:t>
      </w:r>
    </w:p>
    <w:p w14:paraId="5FAC3A98">
      <w:pPr>
        <w:jc w:val="center"/>
        <w:rPr>
          <w:rFonts w:hint="eastAsia"/>
          <w:b/>
          <w:bCs/>
          <w:sz w:val="44"/>
          <w:szCs w:val="44"/>
          <w:lang w:val="en-US" w:eastAsia="zh-CN"/>
        </w:rPr>
      </w:pPr>
      <w:r>
        <w:rPr>
          <w:rFonts w:hint="eastAsia"/>
          <w:b/>
          <w:bCs/>
          <w:sz w:val="44"/>
          <w:szCs w:val="44"/>
          <w:lang w:val="en-US" w:eastAsia="zh-CN"/>
        </w:rPr>
        <w:t>2024年中央财政资金绿色食品贷款贴息项目资金细化表</w:t>
      </w:r>
    </w:p>
    <w:tbl>
      <w:tblPr>
        <w:tblStyle w:val="5"/>
        <w:tblW w:w="54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1103"/>
        <w:gridCol w:w="1935"/>
        <w:gridCol w:w="4149"/>
        <w:gridCol w:w="3044"/>
        <w:gridCol w:w="1935"/>
        <w:gridCol w:w="824"/>
      </w:tblGrid>
      <w:tr w14:paraId="6DCF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391" w:type="pct"/>
            <w:vAlign w:val="center"/>
          </w:tcPr>
          <w:p w14:paraId="1FF480B8">
            <w:pPr>
              <w:jc w:val="center"/>
              <w:rPr>
                <w:rFonts w:hint="default"/>
                <w:sz w:val="28"/>
                <w:szCs w:val="28"/>
                <w:vertAlign w:val="baseline"/>
                <w:lang w:val="en-US" w:eastAsia="zh-CN"/>
              </w:rPr>
            </w:pPr>
            <w:r>
              <w:rPr>
                <w:rFonts w:hint="eastAsia"/>
                <w:sz w:val="28"/>
                <w:szCs w:val="28"/>
                <w:vertAlign w:val="baseline"/>
                <w:lang w:val="en-US" w:eastAsia="zh-CN"/>
              </w:rPr>
              <w:t>市</w:t>
            </w:r>
          </w:p>
        </w:tc>
        <w:tc>
          <w:tcPr>
            <w:tcW w:w="391" w:type="pct"/>
            <w:vAlign w:val="center"/>
          </w:tcPr>
          <w:p w14:paraId="32872D14">
            <w:pPr>
              <w:jc w:val="center"/>
              <w:rPr>
                <w:rFonts w:hint="default"/>
                <w:sz w:val="28"/>
                <w:szCs w:val="28"/>
                <w:vertAlign w:val="baseline"/>
                <w:lang w:val="en-US" w:eastAsia="zh-CN"/>
              </w:rPr>
            </w:pPr>
            <w:r>
              <w:rPr>
                <w:rFonts w:hint="eastAsia"/>
                <w:sz w:val="28"/>
                <w:szCs w:val="28"/>
                <w:vertAlign w:val="baseline"/>
                <w:lang w:val="en-US" w:eastAsia="zh-CN"/>
              </w:rPr>
              <w:t>县</w:t>
            </w:r>
          </w:p>
        </w:tc>
        <w:tc>
          <w:tcPr>
            <w:tcW w:w="686" w:type="pct"/>
            <w:vAlign w:val="center"/>
          </w:tcPr>
          <w:p w14:paraId="64B97D42">
            <w:pPr>
              <w:jc w:val="center"/>
              <w:rPr>
                <w:rFonts w:hint="default"/>
                <w:sz w:val="28"/>
                <w:szCs w:val="28"/>
                <w:vertAlign w:val="baseline"/>
                <w:lang w:val="en-US" w:eastAsia="zh-CN"/>
              </w:rPr>
            </w:pPr>
            <w:r>
              <w:rPr>
                <w:rFonts w:hint="eastAsia"/>
                <w:sz w:val="28"/>
                <w:szCs w:val="28"/>
                <w:vertAlign w:val="baseline"/>
                <w:lang w:val="en-US" w:eastAsia="zh-CN"/>
              </w:rPr>
              <w:t>企业数（个）</w:t>
            </w:r>
          </w:p>
        </w:tc>
        <w:tc>
          <w:tcPr>
            <w:tcW w:w="1471" w:type="pct"/>
            <w:vAlign w:val="center"/>
          </w:tcPr>
          <w:p w14:paraId="2DA71BD5">
            <w:pPr>
              <w:jc w:val="center"/>
              <w:rPr>
                <w:rFonts w:hint="default"/>
                <w:sz w:val="28"/>
                <w:szCs w:val="28"/>
                <w:vertAlign w:val="baseline"/>
                <w:lang w:val="en-US" w:eastAsia="zh-CN"/>
              </w:rPr>
            </w:pPr>
            <w:r>
              <w:rPr>
                <w:rFonts w:hint="eastAsia"/>
                <w:sz w:val="28"/>
                <w:szCs w:val="28"/>
                <w:vertAlign w:val="baseline"/>
                <w:lang w:val="en-US" w:eastAsia="zh-CN"/>
              </w:rPr>
              <w:t>企业名称</w:t>
            </w:r>
          </w:p>
        </w:tc>
        <w:tc>
          <w:tcPr>
            <w:tcW w:w="1079" w:type="pct"/>
            <w:vAlign w:val="center"/>
          </w:tcPr>
          <w:p w14:paraId="75EEFDEF">
            <w:pPr>
              <w:jc w:val="center"/>
              <w:rPr>
                <w:rFonts w:hint="default"/>
                <w:sz w:val="28"/>
                <w:szCs w:val="28"/>
                <w:vertAlign w:val="baseline"/>
                <w:lang w:val="en-US" w:eastAsia="zh-CN"/>
              </w:rPr>
            </w:pPr>
            <w:r>
              <w:rPr>
                <w:rFonts w:hint="eastAsia"/>
                <w:sz w:val="28"/>
                <w:szCs w:val="28"/>
                <w:vertAlign w:val="baseline"/>
                <w:lang w:val="en-US" w:eastAsia="zh-CN"/>
              </w:rPr>
              <w:t>资金分配金额（万元）</w:t>
            </w:r>
          </w:p>
        </w:tc>
        <w:tc>
          <w:tcPr>
            <w:tcW w:w="686" w:type="pct"/>
            <w:vAlign w:val="center"/>
          </w:tcPr>
          <w:p w14:paraId="4C95B02F">
            <w:pPr>
              <w:jc w:val="center"/>
              <w:rPr>
                <w:rFonts w:hint="default"/>
                <w:sz w:val="28"/>
                <w:szCs w:val="28"/>
                <w:vertAlign w:val="baseline"/>
                <w:lang w:val="en-US" w:eastAsia="zh-CN"/>
              </w:rPr>
            </w:pPr>
            <w:r>
              <w:rPr>
                <w:rFonts w:hint="eastAsia"/>
                <w:sz w:val="28"/>
                <w:szCs w:val="28"/>
                <w:vertAlign w:val="baseline"/>
                <w:lang w:val="en-US" w:eastAsia="zh-CN"/>
              </w:rPr>
              <w:t>总计（万元）</w:t>
            </w:r>
          </w:p>
        </w:tc>
        <w:tc>
          <w:tcPr>
            <w:tcW w:w="292" w:type="pct"/>
            <w:vAlign w:val="center"/>
          </w:tcPr>
          <w:p w14:paraId="4E78CC3C">
            <w:pPr>
              <w:jc w:val="center"/>
              <w:rPr>
                <w:rFonts w:hint="default"/>
                <w:sz w:val="28"/>
                <w:szCs w:val="28"/>
                <w:vertAlign w:val="baseline"/>
                <w:lang w:val="en-US" w:eastAsia="zh-CN"/>
              </w:rPr>
            </w:pPr>
            <w:r>
              <w:rPr>
                <w:rFonts w:hint="eastAsia"/>
                <w:sz w:val="28"/>
                <w:szCs w:val="28"/>
                <w:vertAlign w:val="baseline"/>
                <w:lang w:val="en-US" w:eastAsia="zh-CN"/>
              </w:rPr>
              <w:t>备注</w:t>
            </w:r>
          </w:p>
        </w:tc>
      </w:tr>
      <w:tr w14:paraId="202A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391" w:type="pct"/>
            <w:vMerge w:val="restart"/>
            <w:vAlign w:val="center"/>
          </w:tcPr>
          <w:p w14:paraId="16A74C1A">
            <w:pPr>
              <w:jc w:val="center"/>
              <w:rPr>
                <w:rFonts w:hint="default"/>
                <w:sz w:val="28"/>
                <w:szCs w:val="28"/>
                <w:vertAlign w:val="baseline"/>
                <w:lang w:val="en-US" w:eastAsia="zh-CN"/>
              </w:rPr>
            </w:pPr>
            <w:r>
              <w:rPr>
                <w:rFonts w:hint="eastAsia"/>
                <w:sz w:val="28"/>
                <w:szCs w:val="28"/>
                <w:vertAlign w:val="baseline"/>
                <w:lang w:val="en-US" w:eastAsia="zh-CN"/>
              </w:rPr>
              <w:t>南阳市</w:t>
            </w:r>
          </w:p>
        </w:tc>
        <w:tc>
          <w:tcPr>
            <w:tcW w:w="391" w:type="pct"/>
            <w:vMerge w:val="restart"/>
            <w:vAlign w:val="center"/>
          </w:tcPr>
          <w:p w14:paraId="50815206">
            <w:pPr>
              <w:jc w:val="center"/>
              <w:rPr>
                <w:rFonts w:hint="default"/>
                <w:sz w:val="28"/>
                <w:szCs w:val="28"/>
                <w:vertAlign w:val="baseline"/>
                <w:lang w:val="en-US" w:eastAsia="zh-CN"/>
              </w:rPr>
            </w:pPr>
            <w:r>
              <w:rPr>
                <w:rFonts w:hint="eastAsia"/>
                <w:sz w:val="28"/>
                <w:szCs w:val="28"/>
                <w:vertAlign w:val="baseline"/>
                <w:lang w:val="en-US" w:eastAsia="zh-CN"/>
              </w:rPr>
              <w:t>方城县</w:t>
            </w:r>
          </w:p>
        </w:tc>
        <w:tc>
          <w:tcPr>
            <w:tcW w:w="686" w:type="pct"/>
            <w:vMerge w:val="restart"/>
            <w:vAlign w:val="center"/>
          </w:tcPr>
          <w:p w14:paraId="53503CD6">
            <w:pPr>
              <w:jc w:val="center"/>
              <w:rPr>
                <w:rFonts w:hint="default"/>
                <w:sz w:val="28"/>
                <w:szCs w:val="28"/>
                <w:vertAlign w:val="baseline"/>
                <w:lang w:val="en-US" w:eastAsia="zh-CN"/>
              </w:rPr>
            </w:pPr>
            <w:r>
              <w:rPr>
                <w:rFonts w:hint="eastAsia"/>
                <w:sz w:val="28"/>
                <w:szCs w:val="28"/>
                <w:vertAlign w:val="baseline"/>
                <w:lang w:val="en-US" w:eastAsia="zh-CN"/>
              </w:rPr>
              <w:t>3</w:t>
            </w:r>
          </w:p>
        </w:tc>
        <w:tc>
          <w:tcPr>
            <w:tcW w:w="1471" w:type="pct"/>
            <w:vAlign w:val="center"/>
          </w:tcPr>
          <w:p w14:paraId="54D98651">
            <w:pPr>
              <w:jc w:val="center"/>
              <w:rPr>
                <w:rFonts w:hint="default"/>
                <w:sz w:val="28"/>
                <w:szCs w:val="28"/>
                <w:vertAlign w:val="baseline"/>
                <w:lang w:val="en-US" w:eastAsia="zh-CN"/>
              </w:rPr>
            </w:pPr>
            <w:r>
              <w:rPr>
                <w:rFonts w:hint="eastAsia"/>
                <w:sz w:val="28"/>
                <w:szCs w:val="28"/>
                <w:vertAlign w:val="baseline"/>
                <w:lang w:val="en-US" w:eastAsia="zh-CN"/>
              </w:rPr>
              <w:t>方城县鹏迈农牧发展有限公司</w:t>
            </w:r>
          </w:p>
        </w:tc>
        <w:tc>
          <w:tcPr>
            <w:tcW w:w="1079" w:type="pct"/>
            <w:vAlign w:val="center"/>
          </w:tcPr>
          <w:p w14:paraId="387745CB">
            <w:pPr>
              <w:jc w:val="center"/>
              <w:rPr>
                <w:rFonts w:hint="default"/>
                <w:sz w:val="28"/>
                <w:szCs w:val="28"/>
                <w:vertAlign w:val="baseline"/>
                <w:lang w:val="en-US" w:eastAsia="zh-CN"/>
              </w:rPr>
            </w:pPr>
            <w:r>
              <w:rPr>
                <w:rFonts w:hint="eastAsia"/>
                <w:sz w:val="28"/>
                <w:szCs w:val="28"/>
                <w:vertAlign w:val="baseline"/>
                <w:lang w:val="en-US" w:eastAsia="zh-CN"/>
              </w:rPr>
              <w:t>14.45</w:t>
            </w:r>
          </w:p>
        </w:tc>
        <w:tc>
          <w:tcPr>
            <w:tcW w:w="686" w:type="pct"/>
            <w:vMerge w:val="restart"/>
            <w:vAlign w:val="center"/>
          </w:tcPr>
          <w:p w14:paraId="51EF9A34">
            <w:pPr>
              <w:jc w:val="center"/>
              <w:rPr>
                <w:rFonts w:hint="default"/>
                <w:sz w:val="28"/>
                <w:szCs w:val="28"/>
                <w:vertAlign w:val="baseline"/>
                <w:lang w:val="en-US" w:eastAsia="zh-CN"/>
              </w:rPr>
            </w:pPr>
            <w:r>
              <w:rPr>
                <w:rFonts w:hint="eastAsia"/>
                <w:sz w:val="28"/>
                <w:szCs w:val="28"/>
                <w:vertAlign w:val="baseline"/>
                <w:lang w:val="en-US" w:eastAsia="zh-CN"/>
              </w:rPr>
              <w:t>62.76</w:t>
            </w:r>
          </w:p>
        </w:tc>
        <w:tc>
          <w:tcPr>
            <w:tcW w:w="292" w:type="pct"/>
            <w:vAlign w:val="center"/>
          </w:tcPr>
          <w:p w14:paraId="668E82DB">
            <w:pPr>
              <w:jc w:val="center"/>
              <w:rPr>
                <w:rFonts w:hint="default"/>
                <w:sz w:val="28"/>
                <w:szCs w:val="28"/>
                <w:vertAlign w:val="baseline"/>
                <w:lang w:val="en-US" w:eastAsia="zh-CN"/>
              </w:rPr>
            </w:pPr>
          </w:p>
        </w:tc>
      </w:tr>
      <w:tr w14:paraId="72BDF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391" w:type="pct"/>
            <w:vMerge w:val="continue"/>
            <w:vAlign w:val="center"/>
          </w:tcPr>
          <w:p w14:paraId="05530683">
            <w:pPr>
              <w:jc w:val="center"/>
              <w:rPr>
                <w:rFonts w:hint="default"/>
                <w:sz w:val="28"/>
                <w:szCs w:val="28"/>
                <w:vertAlign w:val="baseline"/>
                <w:lang w:val="en-US" w:eastAsia="zh-CN"/>
              </w:rPr>
            </w:pPr>
          </w:p>
        </w:tc>
        <w:tc>
          <w:tcPr>
            <w:tcW w:w="391" w:type="pct"/>
            <w:vMerge w:val="continue"/>
            <w:vAlign w:val="center"/>
          </w:tcPr>
          <w:p w14:paraId="3B7C2A49">
            <w:pPr>
              <w:jc w:val="center"/>
              <w:rPr>
                <w:rFonts w:hint="default"/>
                <w:sz w:val="28"/>
                <w:szCs w:val="28"/>
                <w:vertAlign w:val="baseline"/>
                <w:lang w:val="en-US" w:eastAsia="zh-CN"/>
              </w:rPr>
            </w:pPr>
          </w:p>
        </w:tc>
        <w:tc>
          <w:tcPr>
            <w:tcW w:w="686" w:type="pct"/>
            <w:vMerge w:val="continue"/>
            <w:vAlign w:val="center"/>
          </w:tcPr>
          <w:p w14:paraId="60AB62EE">
            <w:pPr>
              <w:jc w:val="center"/>
              <w:rPr>
                <w:rFonts w:hint="default"/>
                <w:sz w:val="28"/>
                <w:szCs w:val="28"/>
                <w:vertAlign w:val="baseline"/>
                <w:lang w:val="en-US" w:eastAsia="zh-CN"/>
              </w:rPr>
            </w:pPr>
          </w:p>
        </w:tc>
        <w:tc>
          <w:tcPr>
            <w:tcW w:w="1471" w:type="pct"/>
            <w:vAlign w:val="center"/>
          </w:tcPr>
          <w:p w14:paraId="068F7018">
            <w:pPr>
              <w:jc w:val="center"/>
              <w:rPr>
                <w:rFonts w:hint="default"/>
                <w:sz w:val="28"/>
                <w:szCs w:val="28"/>
                <w:vertAlign w:val="baseline"/>
                <w:lang w:val="en-US" w:eastAsia="zh-CN"/>
              </w:rPr>
            </w:pPr>
            <w:r>
              <w:rPr>
                <w:rFonts w:hint="eastAsia"/>
                <w:sz w:val="28"/>
                <w:szCs w:val="28"/>
                <w:vertAlign w:val="baseline"/>
                <w:lang w:val="en-US" w:eastAsia="zh-CN"/>
              </w:rPr>
              <w:t>河南恒旺盛源农牧股份有限公司</w:t>
            </w:r>
          </w:p>
        </w:tc>
        <w:tc>
          <w:tcPr>
            <w:tcW w:w="1079" w:type="pct"/>
            <w:vAlign w:val="center"/>
          </w:tcPr>
          <w:p w14:paraId="3A3DB198">
            <w:pPr>
              <w:jc w:val="center"/>
              <w:rPr>
                <w:rFonts w:hint="default"/>
                <w:sz w:val="28"/>
                <w:szCs w:val="28"/>
                <w:vertAlign w:val="baseline"/>
                <w:lang w:val="en-US" w:eastAsia="zh-CN"/>
              </w:rPr>
            </w:pPr>
            <w:r>
              <w:rPr>
                <w:rFonts w:hint="eastAsia"/>
                <w:sz w:val="28"/>
                <w:szCs w:val="28"/>
                <w:vertAlign w:val="baseline"/>
                <w:lang w:val="en-US" w:eastAsia="zh-CN"/>
              </w:rPr>
              <w:t>35.65</w:t>
            </w:r>
          </w:p>
        </w:tc>
        <w:tc>
          <w:tcPr>
            <w:tcW w:w="686" w:type="pct"/>
            <w:vMerge w:val="continue"/>
            <w:vAlign w:val="center"/>
          </w:tcPr>
          <w:p w14:paraId="79916373">
            <w:pPr>
              <w:jc w:val="center"/>
              <w:rPr>
                <w:rFonts w:hint="default"/>
                <w:sz w:val="28"/>
                <w:szCs w:val="28"/>
                <w:vertAlign w:val="baseline"/>
                <w:lang w:val="en-US" w:eastAsia="zh-CN"/>
              </w:rPr>
            </w:pPr>
          </w:p>
        </w:tc>
        <w:tc>
          <w:tcPr>
            <w:tcW w:w="292" w:type="pct"/>
            <w:vAlign w:val="center"/>
          </w:tcPr>
          <w:p w14:paraId="538D7963">
            <w:pPr>
              <w:jc w:val="center"/>
              <w:rPr>
                <w:rFonts w:hint="default"/>
                <w:sz w:val="28"/>
                <w:szCs w:val="28"/>
                <w:vertAlign w:val="baseline"/>
                <w:lang w:val="en-US" w:eastAsia="zh-CN"/>
              </w:rPr>
            </w:pPr>
          </w:p>
        </w:tc>
      </w:tr>
      <w:tr w14:paraId="186E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391" w:type="pct"/>
            <w:vMerge w:val="continue"/>
            <w:vAlign w:val="center"/>
          </w:tcPr>
          <w:p w14:paraId="5B01E152">
            <w:pPr>
              <w:jc w:val="center"/>
              <w:rPr>
                <w:rFonts w:hint="default"/>
                <w:sz w:val="28"/>
                <w:szCs w:val="28"/>
                <w:vertAlign w:val="baseline"/>
                <w:lang w:val="en-US" w:eastAsia="zh-CN"/>
              </w:rPr>
            </w:pPr>
          </w:p>
        </w:tc>
        <w:tc>
          <w:tcPr>
            <w:tcW w:w="391" w:type="pct"/>
            <w:vMerge w:val="continue"/>
            <w:vAlign w:val="center"/>
          </w:tcPr>
          <w:p w14:paraId="3E2A5A1D">
            <w:pPr>
              <w:jc w:val="center"/>
              <w:rPr>
                <w:rFonts w:hint="default"/>
                <w:sz w:val="28"/>
                <w:szCs w:val="28"/>
                <w:vertAlign w:val="baseline"/>
                <w:lang w:val="en-US" w:eastAsia="zh-CN"/>
              </w:rPr>
            </w:pPr>
          </w:p>
        </w:tc>
        <w:tc>
          <w:tcPr>
            <w:tcW w:w="686" w:type="pct"/>
            <w:vMerge w:val="continue"/>
            <w:vAlign w:val="center"/>
          </w:tcPr>
          <w:p w14:paraId="0AD42338">
            <w:pPr>
              <w:jc w:val="center"/>
              <w:rPr>
                <w:rFonts w:hint="default"/>
                <w:sz w:val="28"/>
                <w:szCs w:val="28"/>
                <w:vertAlign w:val="baseline"/>
                <w:lang w:val="en-US" w:eastAsia="zh-CN"/>
              </w:rPr>
            </w:pPr>
          </w:p>
        </w:tc>
        <w:tc>
          <w:tcPr>
            <w:tcW w:w="1471" w:type="pct"/>
            <w:vAlign w:val="center"/>
          </w:tcPr>
          <w:p w14:paraId="511C5CB3">
            <w:pPr>
              <w:jc w:val="center"/>
              <w:rPr>
                <w:rFonts w:hint="default"/>
                <w:sz w:val="28"/>
                <w:szCs w:val="28"/>
                <w:vertAlign w:val="baseline"/>
                <w:lang w:val="en-US" w:eastAsia="zh-CN"/>
              </w:rPr>
            </w:pPr>
            <w:r>
              <w:rPr>
                <w:rFonts w:hint="eastAsia"/>
                <w:sz w:val="28"/>
                <w:szCs w:val="28"/>
                <w:vertAlign w:val="baseline"/>
                <w:lang w:val="en-US" w:eastAsia="zh-CN"/>
              </w:rPr>
              <w:t>河南大方种业科技股份有限公司</w:t>
            </w:r>
          </w:p>
        </w:tc>
        <w:tc>
          <w:tcPr>
            <w:tcW w:w="1079" w:type="pct"/>
            <w:vAlign w:val="center"/>
          </w:tcPr>
          <w:p w14:paraId="5749B2AB">
            <w:pPr>
              <w:jc w:val="center"/>
              <w:rPr>
                <w:rFonts w:hint="default"/>
                <w:sz w:val="28"/>
                <w:szCs w:val="28"/>
                <w:vertAlign w:val="baseline"/>
                <w:lang w:val="en-US" w:eastAsia="zh-CN"/>
              </w:rPr>
            </w:pPr>
            <w:r>
              <w:rPr>
                <w:rFonts w:hint="eastAsia"/>
                <w:sz w:val="28"/>
                <w:szCs w:val="28"/>
                <w:vertAlign w:val="baseline"/>
                <w:lang w:val="en-US" w:eastAsia="zh-CN"/>
              </w:rPr>
              <w:t>12.66</w:t>
            </w:r>
          </w:p>
        </w:tc>
        <w:tc>
          <w:tcPr>
            <w:tcW w:w="686" w:type="pct"/>
            <w:vMerge w:val="continue"/>
            <w:vAlign w:val="center"/>
          </w:tcPr>
          <w:p w14:paraId="3B689F12">
            <w:pPr>
              <w:jc w:val="center"/>
              <w:rPr>
                <w:rFonts w:hint="default"/>
                <w:sz w:val="28"/>
                <w:szCs w:val="28"/>
                <w:vertAlign w:val="baseline"/>
                <w:lang w:val="en-US" w:eastAsia="zh-CN"/>
              </w:rPr>
            </w:pPr>
          </w:p>
        </w:tc>
        <w:tc>
          <w:tcPr>
            <w:tcW w:w="292" w:type="pct"/>
            <w:vAlign w:val="center"/>
          </w:tcPr>
          <w:p w14:paraId="77A28B71">
            <w:pPr>
              <w:jc w:val="center"/>
              <w:rPr>
                <w:rFonts w:hint="default"/>
                <w:sz w:val="28"/>
                <w:szCs w:val="28"/>
                <w:vertAlign w:val="baseline"/>
                <w:lang w:val="en-US" w:eastAsia="zh-CN"/>
              </w:rPr>
            </w:pPr>
          </w:p>
        </w:tc>
      </w:tr>
    </w:tbl>
    <w:p w14:paraId="7646E533">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EA037E8F-B8E0-428E-AF82-7417E5A7621B}"/>
  </w:font>
  <w:font w:name="方正仿宋_GB2312">
    <w:panose1 w:val="02000000000000000000"/>
    <w:charset w:val="86"/>
    <w:family w:val="auto"/>
    <w:pitch w:val="default"/>
    <w:sig w:usb0="A00002BF" w:usb1="184F6CFA" w:usb2="00000012" w:usb3="00000000" w:csb0="00040001" w:csb1="00000000"/>
    <w:embedRegular r:id="rId2" w:fontKey="{3BCC2DAF-4145-482E-B5B0-B7BBAEC3F74A}"/>
  </w:font>
  <w:font w:name="等线">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3" w:fontKey="{FCC35F1C-5B3F-4178-8857-D64DF956E93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A019EF"/>
    <w:rsid w:val="08033CE1"/>
    <w:rsid w:val="0DD203DE"/>
    <w:rsid w:val="16333219"/>
    <w:rsid w:val="1EA019EF"/>
    <w:rsid w:val="1EF1268E"/>
    <w:rsid w:val="2ECB2EFB"/>
    <w:rsid w:val="375241BA"/>
    <w:rsid w:val="3A2A75FA"/>
    <w:rsid w:val="3BC1546A"/>
    <w:rsid w:val="3BF63FAA"/>
    <w:rsid w:val="3F24215D"/>
    <w:rsid w:val="52C04276"/>
    <w:rsid w:val="5A1D2D76"/>
    <w:rsid w:val="5F337B7D"/>
    <w:rsid w:val="67746F85"/>
    <w:rsid w:val="71155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186</Words>
  <Characters>216</Characters>
  <Lines>0</Lines>
  <Paragraphs>0</Paragraphs>
  <TotalTime>8</TotalTime>
  <ScaleCrop>false</ScaleCrop>
  <LinksUpToDate>false</LinksUpToDate>
  <CharactersWithSpaces>217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2025-08-14T01:04:00Z</dcterms:created>
  <dc:creator>问苍茫大地丶谁主沉浮？</dc:creator>
  <cp:lastModifiedBy>问苍茫大地丶谁主沉浮？</cp:lastModifiedBy>
  <cp:lastPrinted>2025-08-14T03:08:06Z</cp:lastPrinted>
  <dcterms:modified xsi:type="dcterms:W3CDTF">2025-08-14T03:20:07Z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82FFDF84068B4389BC6B3142887B84A4_11</vt:lpwstr>
  </property>
  <property fmtid="{D5CDD505-2E9C-101B-9397-08002B2CF9AE}" pid="4" name="KSOTemplateDocerSaveRecord">
    <vt:lpwstr>eyJoZGlkIjoiYWE2YjAzNzgyMzIyYjI4OTU3OTA1ZDM0NWRkMTkwZGUiLCJ1c2VySWQiOiI1MzgxMTk1MDQifQ==</vt:lpwstr>
  </property>
</Properties>
</file>