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C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  <w:lang w:eastAsia="zh-CN"/>
        </w:rPr>
        <w:t>二郎庙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</w:rPr>
        <w:t>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</w:rPr>
        <w:t>关于涉企行政检查频次的规定</w:t>
      </w:r>
    </w:p>
    <w:p w14:paraId="634D8B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textAlignment w:val="top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</w:p>
    <w:p w14:paraId="227C0B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二郎庙</w:t>
      </w:r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综合执法大队结合监管需求、企业风险等级、行业特点等因素，确定对不同领域的涉企检查频次：</w:t>
      </w:r>
      <w:bookmarkStart w:id="0" w:name="_GoBack"/>
      <w:bookmarkEnd w:id="0"/>
    </w:p>
    <w:p w14:paraId="61D16F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一、自然资源和规划领域</w:t>
      </w:r>
    </w:p>
    <w:p w14:paraId="1825DF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1.常规检查：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每年2次，重点检查土地使用、规划许可执行等合规性，对新拿地或在建项目可增加检查频次（每季度1次）。</w:t>
      </w:r>
    </w:p>
    <w:p w14:paraId="48F51B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2.专项检查：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针对群众举报、卫星遥感监测到的疑似违法用地或规划违规企业，开展不定期突击检查。</w:t>
      </w:r>
    </w:p>
    <w:p w14:paraId="44521F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二、城市管理领域</w:t>
      </w:r>
    </w:p>
    <w:p w14:paraId="0F8866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1.日常巡查：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对市容环境、市政设施等实行“网格化管理”，每周至少1次现场巡查，工业园区周边等重点区域每日巡查。</w:t>
      </w:r>
    </w:p>
    <w:p w14:paraId="7D3873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2.集中整治：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针对占道经营、违法建设等高发问题，每季度开展1次专项集中检查。</w:t>
      </w:r>
    </w:p>
    <w:p w14:paraId="7A754C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三、交通运输领域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6AB3B4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路面巡查：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每月对破坏农村道路等违法行为开展2次突击检查。</w:t>
      </w:r>
    </w:p>
    <w:p w14:paraId="7CC0E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四、广电文化旅游领域</w:t>
      </w:r>
    </w:p>
    <w:p w14:paraId="347688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文化经营单位：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文艺表演团体、个体演员等每季度检查1次，重点查是否擅自从事营业性演出经营活动，是否超范围从事营业性演出经营活动。</w:t>
      </w:r>
    </w:p>
    <w:p w14:paraId="41B614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五、消防救援领域</w:t>
      </w:r>
    </w:p>
    <w:p w14:paraId="2B0057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1.一般企业：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每年2次消防设施、疏散通道等常规检查。</w:t>
      </w:r>
    </w:p>
    <w:p w14:paraId="56CCE6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2.高风险单位：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“九小”场所每季度检查1次，且重大节假日前必须开展专项检查。</w:t>
      </w:r>
    </w:p>
    <w:p w14:paraId="320EBB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3.检查频次根据企业过往违规记录调整：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对存在严重违规的企业，可增加检查频次至每月1次，直至问题整改完毕；对长期合规的企业，可适当降低检查频率。</w:t>
      </w:r>
    </w:p>
    <w:p w14:paraId="49131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</w:pPr>
    </w:p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CA836B-D863-43DC-A7FC-4BBADCC860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69198BC-3FE5-4F68-9068-0F00686453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78B6A9-9D3D-400B-A03C-568C1E9F8C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DBE1D8-8CEC-4EA9-A71C-3CA1300C8D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2025-07-29T13:49:29Z</dcterms:created>
  <dc:creator>admin</dc:creator>
  <cp:lastModifiedBy>刘丰源</cp:lastModifiedBy>
  <dcterms:modified xsi:type="dcterms:W3CDTF">2025-07-29T13:50:49Z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eyJoZGlkIjoiZTg5MDRhZDU5NTIxMmRiMmY5MjEzNjU0ZmM5ZGI2YmIiLCJ1c2VySWQiOiIzMTEyOTM2NTkifQ==</vt:lpwstr>
  </property>
  <property fmtid="{D5CDD505-2E9C-101B-9397-08002B2CF9AE}" pid="4" name="ICV">
    <vt:lpwstr>6172B9C81D864BD6AB0C4250274367D3_12</vt:lpwstr>
  </property>
</Properties>
</file>