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96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方正小标宋简体" w:hAnsi="方正小标宋简体" w:eastAsia="方正小标宋简体" w:cs="方正小标宋简体"/>
          <w:i w:val="0"/>
          <w:iCs w:val="0"/>
          <w:caps w:val="0"/>
          <w:color w:val="121212"/>
          <w:spacing w:val="0"/>
          <w:sz w:val="44"/>
          <w:szCs w:val="44"/>
          <w:bdr w:val="none" w:color="auto" w:sz="0" w:space="0"/>
          <w:shd w:val="clear" w:fill="FFFFFF"/>
          <w:lang w:eastAsia="zh-CN"/>
        </w:rPr>
      </w:pPr>
    </w:p>
    <w:p w14:paraId="06748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微软雅黑" w:hAnsi="微软雅黑" w:eastAsia="微软雅黑" w:cs="微软雅黑"/>
          <w:i w:val="0"/>
          <w:iCs w:val="0"/>
          <w:caps w:val="0"/>
          <w:color w:val="121212"/>
          <w:spacing w:val="0"/>
          <w:sz w:val="44"/>
          <w:szCs w:val="44"/>
        </w:rPr>
      </w:pPr>
      <w:r>
        <w:rPr>
          <w:rFonts w:hint="eastAsia" w:ascii="方正小标宋简体" w:hAnsi="方正小标宋简体" w:eastAsia="方正小标宋简体" w:cs="方正小标宋简体"/>
          <w:i w:val="0"/>
          <w:iCs w:val="0"/>
          <w:caps w:val="0"/>
          <w:color w:val="121212"/>
          <w:spacing w:val="0"/>
          <w:sz w:val="44"/>
          <w:szCs w:val="44"/>
          <w:bdr w:val="none" w:color="auto" w:sz="0" w:space="0"/>
          <w:shd w:val="clear" w:fill="FFFFFF"/>
          <w:lang w:eastAsia="zh-CN"/>
        </w:rPr>
        <w:t>二郎庙</w:t>
      </w:r>
      <w:r>
        <w:rPr>
          <w:rFonts w:ascii="方正小标宋简体" w:hAnsi="方正小标宋简体" w:eastAsia="方正小标宋简体" w:cs="方正小标宋简体"/>
          <w:i w:val="0"/>
          <w:iCs w:val="0"/>
          <w:caps w:val="0"/>
          <w:color w:val="121212"/>
          <w:spacing w:val="0"/>
          <w:sz w:val="44"/>
          <w:szCs w:val="44"/>
          <w:bdr w:val="none" w:color="auto" w:sz="0" w:space="0"/>
          <w:shd w:val="clear" w:fill="FFFFFF"/>
        </w:rPr>
        <w:t>镇</w:t>
      </w:r>
      <w:r>
        <w:rPr>
          <w:rFonts w:hint="eastAsia" w:ascii="方正小标宋简体" w:hAnsi="方正小标宋简体" w:eastAsia="方正小标宋简体" w:cs="方正小标宋简体"/>
          <w:i w:val="0"/>
          <w:iCs w:val="0"/>
          <w:caps w:val="0"/>
          <w:color w:val="121212"/>
          <w:spacing w:val="0"/>
          <w:sz w:val="44"/>
          <w:szCs w:val="44"/>
          <w:bdr w:val="none" w:color="auto" w:sz="0" w:space="0"/>
          <w:shd w:val="clear" w:fill="FFFFFF"/>
        </w:rPr>
        <w:t>人民政府涉企行政检查事项和依据</w:t>
      </w:r>
    </w:p>
    <w:p w14:paraId="519590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textAlignment w:val="top"/>
        <w:rPr>
          <w:rFonts w:ascii="黑体" w:hAnsi="宋体" w:eastAsia="黑体" w:cs="黑体"/>
          <w:i w:val="0"/>
          <w:iCs w:val="0"/>
          <w:caps w:val="0"/>
          <w:color w:val="121212"/>
          <w:spacing w:val="0"/>
          <w:sz w:val="31"/>
          <w:szCs w:val="31"/>
          <w:bdr w:val="none" w:color="auto" w:sz="0" w:space="0"/>
          <w:shd w:val="clear" w:fill="FFFFFF"/>
        </w:rPr>
      </w:pPr>
    </w:p>
    <w:p w14:paraId="3B8E3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textAlignment w:val="top"/>
        <w:rPr>
          <w:rFonts w:ascii="黑体" w:hAnsi="宋体" w:eastAsia="黑体" w:cs="黑体"/>
          <w:i w:val="0"/>
          <w:iCs w:val="0"/>
          <w:caps w:val="0"/>
          <w:color w:val="121212"/>
          <w:spacing w:val="0"/>
          <w:sz w:val="31"/>
          <w:szCs w:val="31"/>
          <w:bdr w:val="none" w:color="auto" w:sz="0" w:space="0"/>
          <w:shd w:val="clear" w:fill="FFFFFF"/>
        </w:rPr>
      </w:pPr>
    </w:p>
    <w:p w14:paraId="7AC79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微软雅黑" w:hAnsi="微软雅黑" w:eastAsia="微软雅黑" w:cs="微软雅黑"/>
          <w:i w:val="0"/>
          <w:iCs w:val="0"/>
          <w:caps w:val="0"/>
          <w:color w:val="121212"/>
          <w:spacing w:val="0"/>
          <w:sz w:val="32"/>
          <w:szCs w:val="32"/>
        </w:rPr>
      </w:pPr>
      <w:r>
        <w:rPr>
          <w:rFonts w:ascii="黑体" w:hAnsi="宋体" w:eastAsia="黑体" w:cs="黑体"/>
          <w:i w:val="0"/>
          <w:iCs w:val="0"/>
          <w:caps w:val="0"/>
          <w:color w:val="121212"/>
          <w:spacing w:val="0"/>
          <w:sz w:val="32"/>
          <w:szCs w:val="32"/>
          <w:bdr w:val="none" w:color="auto" w:sz="0" w:space="0"/>
          <w:shd w:val="clear" w:fill="FFFFFF"/>
        </w:rPr>
        <w:t>一、自然资源和规划领域</w:t>
      </w:r>
      <w:bookmarkStart w:id="0" w:name="_GoBack"/>
      <w:bookmarkEnd w:id="0"/>
    </w:p>
    <w:p w14:paraId="61DCA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微软雅黑" w:hAnsi="微软雅黑" w:eastAsia="微软雅黑" w:cs="微软雅黑"/>
          <w:i w:val="0"/>
          <w:iCs w:val="0"/>
          <w:caps w:val="0"/>
          <w:color w:val="121212"/>
          <w:spacing w:val="0"/>
          <w:sz w:val="32"/>
          <w:szCs w:val="32"/>
        </w:rPr>
      </w:pPr>
      <w:r>
        <w:rPr>
          <w:rStyle w:val="5"/>
          <w:rFonts w:ascii="仿宋" w:hAnsi="仿宋" w:eastAsia="仿宋" w:cs="仿宋"/>
          <w:i w:val="0"/>
          <w:iCs w:val="0"/>
          <w:caps w:val="0"/>
          <w:color w:val="121212"/>
          <w:spacing w:val="0"/>
          <w:sz w:val="32"/>
          <w:szCs w:val="32"/>
          <w:bdr w:val="none" w:color="auto" w:sz="0" w:space="0"/>
          <w:shd w:val="clear" w:fill="FFFFFF"/>
        </w:rPr>
        <w:t>1.</w:t>
      </w:r>
      <w:r>
        <w:rPr>
          <w:rStyle w:val="5"/>
          <w:rFonts w:hint="eastAsia" w:ascii="仿宋" w:hAnsi="仿宋" w:eastAsia="仿宋" w:cs="仿宋"/>
          <w:i w:val="0"/>
          <w:iCs w:val="0"/>
          <w:caps w:val="0"/>
          <w:color w:val="121212"/>
          <w:spacing w:val="0"/>
          <w:sz w:val="32"/>
          <w:szCs w:val="32"/>
          <w:bdr w:val="none" w:color="auto" w:sz="0" w:space="0"/>
          <w:shd w:val="clear" w:fill="FFFFFF"/>
        </w:rPr>
        <w:t>土地使用合法性检查：</w:t>
      </w:r>
      <w:r>
        <w:rPr>
          <w:rFonts w:hint="eastAsia" w:ascii="仿宋" w:hAnsi="仿宋" w:eastAsia="仿宋" w:cs="仿宋"/>
          <w:i w:val="0"/>
          <w:iCs w:val="0"/>
          <w:caps w:val="0"/>
          <w:color w:val="121212"/>
          <w:spacing w:val="0"/>
          <w:sz w:val="32"/>
          <w:szCs w:val="32"/>
          <w:bdr w:val="none" w:color="auto" w:sz="0" w:space="0"/>
          <w:shd w:val="clear" w:fill="FFFFFF"/>
        </w:rPr>
        <w:t>查看企业用地是否有合法审批手续，有无未批先建、少批多占等情况。依据《中华人民共和国土地管理法》，任何单位或个人进行建设，需要使用土地的，必须依法申请,符合相关规划等 。</w:t>
      </w:r>
    </w:p>
    <w:p w14:paraId="10375B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微软雅黑" w:hAnsi="微软雅黑" w:eastAsia="微软雅黑" w:cs="微软雅黑"/>
          <w:i w:val="0"/>
          <w:iCs w:val="0"/>
          <w:caps w:val="0"/>
          <w:color w:val="121212"/>
          <w:spacing w:val="0"/>
          <w:sz w:val="32"/>
          <w:szCs w:val="32"/>
        </w:rPr>
      </w:pPr>
      <w:r>
        <w:rPr>
          <w:rStyle w:val="5"/>
          <w:rFonts w:hint="eastAsia" w:ascii="仿宋" w:hAnsi="仿宋" w:eastAsia="仿宋" w:cs="仿宋"/>
          <w:i w:val="0"/>
          <w:iCs w:val="0"/>
          <w:caps w:val="0"/>
          <w:color w:val="121212"/>
          <w:spacing w:val="0"/>
          <w:sz w:val="32"/>
          <w:szCs w:val="32"/>
          <w:bdr w:val="none" w:color="auto" w:sz="0" w:space="0"/>
          <w:shd w:val="clear" w:fill="FFFFFF"/>
        </w:rPr>
        <w:t>2.规划许可执行检查：</w:t>
      </w:r>
      <w:r>
        <w:rPr>
          <w:rFonts w:hint="eastAsia" w:ascii="仿宋" w:hAnsi="仿宋" w:eastAsia="仿宋" w:cs="仿宋"/>
          <w:i w:val="0"/>
          <w:iCs w:val="0"/>
          <w:caps w:val="0"/>
          <w:color w:val="121212"/>
          <w:spacing w:val="0"/>
          <w:sz w:val="32"/>
          <w:szCs w:val="32"/>
          <w:bdr w:val="none" w:color="auto" w:sz="0" w:space="0"/>
          <w:shd w:val="clear" w:fill="FFFFFF"/>
        </w:rPr>
        <w:t>核查企业建设项目是否按照建设用地规划许可证、建设工程规划许可证的内容进行建设，有无擅自改变规划设计方案的行为。依据《中华人民共和国城乡规划法》，在城市、镇规划区内进行建筑物、构筑物、道路、管线和其他工程建设的，建设单位或者个人应当向城市、县人民政府城乡规划主管部门或者省、自治区、直辖市人民政府确定的镇人民政府申请办理建设工程规划许可证，且应按照许可内容建设。</w:t>
      </w:r>
    </w:p>
    <w:p w14:paraId="7D5D0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微软雅黑" w:hAnsi="微软雅黑" w:eastAsia="微软雅黑" w:cs="微软雅黑"/>
          <w:i w:val="0"/>
          <w:iCs w:val="0"/>
          <w:caps w:val="0"/>
          <w:color w:val="121212"/>
          <w:spacing w:val="0"/>
          <w:sz w:val="32"/>
          <w:szCs w:val="32"/>
        </w:rPr>
      </w:pPr>
      <w:r>
        <w:rPr>
          <w:rFonts w:hint="eastAsia" w:ascii="黑体" w:hAnsi="宋体" w:eastAsia="黑体" w:cs="黑体"/>
          <w:i w:val="0"/>
          <w:iCs w:val="0"/>
          <w:caps w:val="0"/>
          <w:color w:val="121212"/>
          <w:spacing w:val="0"/>
          <w:sz w:val="32"/>
          <w:szCs w:val="32"/>
          <w:bdr w:val="none" w:color="auto" w:sz="0" w:space="0"/>
          <w:shd w:val="clear" w:fill="FFFFFF"/>
        </w:rPr>
        <w:t>二、城市管理领域</w:t>
      </w:r>
    </w:p>
    <w:p w14:paraId="58DE43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微软雅黑" w:hAnsi="微软雅黑" w:eastAsia="微软雅黑" w:cs="微软雅黑"/>
          <w:i w:val="0"/>
          <w:iCs w:val="0"/>
          <w:caps w:val="0"/>
          <w:color w:val="121212"/>
          <w:spacing w:val="0"/>
          <w:sz w:val="32"/>
          <w:szCs w:val="32"/>
        </w:rPr>
      </w:pPr>
      <w:r>
        <w:rPr>
          <w:rStyle w:val="5"/>
          <w:rFonts w:hint="eastAsia" w:ascii="仿宋" w:hAnsi="仿宋" w:eastAsia="仿宋" w:cs="仿宋"/>
          <w:i w:val="0"/>
          <w:iCs w:val="0"/>
          <w:caps w:val="0"/>
          <w:color w:val="121212"/>
          <w:spacing w:val="0"/>
          <w:sz w:val="32"/>
          <w:szCs w:val="32"/>
          <w:bdr w:val="none" w:color="auto" w:sz="0" w:space="0"/>
          <w:shd w:val="clear" w:fill="FFFFFF"/>
        </w:rPr>
        <w:t>1.市容环境卫生检查：</w:t>
      </w:r>
      <w:r>
        <w:rPr>
          <w:rFonts w:hint="eastAsia" w:ascii="仿宋" w:hAnsi="仿宋" w:eastAsia="仿宋" w:cs="仿宋"/>
          <w:i w:val="0"/>
          <w:iCs w:val="0"/>
          <w:caps w:val="0"/>
          <w:color w:val="121212"/>
          <w:spacing w:val="0"/>
          <w:sz w:val="32"/>
          <w:szCs w:val="32"/>
          <w:bdr w:val="none" w:color="auto" w:sz="0" w:space="0"/>
          <w:shd w:val="clear" w:fill="FFFFFF"/>
        </w:rPr>
        <w:t>检查企业周边环境是否整洁，有无垃圾乱堆乱放、污水乱排、占道经营等影响镇容镇貌的行为。依据《南阳市市容和环境卫生管理条例》，保持城市整洁美观是各单位和个人的责任，不得擅自占用城市道路、广场等公共场所进行经营活动 。</w:t>
      </w:r>
    </w:p>
    <w:p w14:paraId="17C618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微软雅黑" w:hAnsi="微软雅黑" w:eastAsia="微软雅黑" w:cs="微软雅黑"/>
          <w:i w:val="0"/>
          <w:iCs w:val="0"/>
          <w:caps w:val="0"/>
          <w:color w:val="121212"/>
          <w:spacing w:val="0"/>
          <w:sz w:val="32"/>
          <w:szCs w:val="32"/>
        </w:rPr>
      </w:pPr>
      <w:r>
        <w:rPr>
          <w:rStyle w:val="5"/>
          <w:rFonts w:hint="eastAsia" w:ascii="仿宋" w:hAnsi="仿宋" w:eastAsia="仿宋" w:cs="仿宋"/>
          <w:i w:val="0"/>
          <w:iCs w:val="0"/>
          <w:caps w:val="0"/>
          <w:color w:val="121212"/>
          <w:spacing w:val="0"/>
          <w:sz w:val="32"/>
          <w:szCs w:val="32"/>
          <w:bdr w:val="none" w:color="auto" w:sz="0" w:space="0"/>
          <w:shd w:val="clear" w:fill="FFFFFF"/>
        </w:rPr>
        <w:t>2.市政设施保护检查：</w:t>
      </w:r>
      <w:r>
        <w:rPr>
          <w:rFonts w:hint="eastAsia" w:ascii="仿宋" w:hAnsi="仿宋" w:eastAsia="仿宋" w:cs="仿宋"/>
          <w:i w:val="0"/>
          <w:iCs w:val="0"/>
          <w:caps w:val="0"/>
          <w:color w:val="121212"/>
          <w:spacing w:val="0"/>
          <w:sz w:val="32"/>
          <w:szCs w:val="32"/>
          <w:bdr w:val="none" w:color="auto" w:sz="0" w:space="0"/>
          <w:shd w:val="clear" w:fill="FFFFFF"/>
        </w:rPr>
        <w:t>查看企业有无损坏城市道路、排水、环境卫生等市政设施的行为。依据《南阳市城市市容和环境卫生管理条例》，任何单位或者个人不得占用或者挖掘城市道路；禁止擅自拆除、迁移、改动环境卫生设施。</w:t>
      </w:r>
    </w:p>
    <w:p w14:paraId="17597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微软雅黑" w:hAnsi="微软雅黑" w:eastAsia="微软雅黑" w:cs="微软雅黑"/>
          <w:i w:val="0"/>
          <w:iCs w:val="0"/>
          <w:caps w:val="0"/>
          <w:color w:val="121212"/>
          <w:spacing w:val="0"/>
          <w:sz w:val="32"/>
          <w:szCs w:val="32"/>
        </w:rPr>
      </w:pPr>
      <w:r>
        <w:rPr>
          <w:rStyle w:val="5"/>
          <w:rFonts w:hint="eastAsia" w:ascii="仿宋" w:hAnsi="仿宋" w:eastAsia="仿宋" w:cs="仿宋"/>
          <w:i w:val="0"/>
          <w:iCs w:val="0"/>
          <w:caps w:val="0"/>
          <w:color w:val="121212"/>
          <w:spacing w:val="0"/>
          <w:sz w:val="32"/>
          <w:szCs w:val="32"/>
          <w:bdr w:val="none" w:color="auto" w:sz="0" w:space="0"/>
          <w:shd w:val="clear" w:fill="FFFFFF"/>
        </w:rPr>
        <w:t>3.违法建设查处：</w:t>
      </w:r>
      <w:r>
        <w:rPr>
          <w:rFonts w:hint="eastAsia" w:ascii="仿宋" w:hAnsi="仿宋" w:eastAsia="仿宋" w:cs="仿宋"/>
          <w:i w:val="0"/>
          <w:iCs w:val="0"/>
          <w:caps w:val="0"/>
          <w:color w:val="121212"/>
          <w:spacing w:val="0"/>
          <w:sz w:val="32"/>
          <w:szCs w:val="32"/>
          <w:bdr w:val="none" w:color="auto" w:sz="0" w:space="0"/>
          <w:shd w:val="clear" w:fill="FFFFFF"/>
        </w:rPr>
        <w:t>排查企业是否存在未经规划许可擅自搭建建筑物、构筑物的违法建设行为。依据《城乡规划法》，未取得建设工程规划许可证或者未按照建设工程规划许可证的规定进行建设的，由县级以上地方人民政府城乡规划主管部门责令停止建设。</w:t>
      </w:r>
    </w:p>
    <w:p w14:paraId="2FF5D5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微软雅黑" w:hAnsi="微软雅黑" w:eastAsia="微软雅黑" w:cs="微软雅黑"/>
          <w:i w:val="0"/>
          <w:iCs w:val="0"/>
          <w:caps w:val="0"/>
          <w:color w:val="121212"/>
          <w:spacing w:val="0"/>
          <w:sz w:val="32"/>
          <w:szCs w:val="32"/>
        </w:rPr>
      </w:pPr>
      <w:r>
        <w:rPr>
          <w:rFonts w:hint="eastAsia" w:ascii="黑体" w:hAnsi="宋体" w:eastAsia="黑体" w:cs="黑体"/>
          <w:i w:val="0"/>
          <w:iCs w:val="0"/>
          <w:caps w:val="0"/>
          <w:color w:val="121212"/>
          <w:spacing w:val="0"/>
          <w:sz w:val="32"/>
          <w:szCs w:val="32"/>
          <w:bdr w:val="none" w:color="auto" w:sz="0" w:space="0"/>
          <w:shd w:val="clear" w:fill="FFFFFF"/>
        </w:rPr>
        <w:t>三、交通运输领域</w:t>
      </w:r>
      <w:r>
        <w:rPr>
          <w:rFonts w:hint="eastAsia" w:ascii="仿宋" w:hAnsi="仿宋" w:eastAsia="仿宋" w:cs="仿宋"/>
          <w:i w:val="0"/>
          <w:iCs w:val="0"/>
          <w:caps w:val="0"/>
          <w:color w:val="121212"/>
          <w:spacing w:val="0"/>
          <w:sz w:val="32"/>
          <w:szCs w:val="32"/>
          <w:bdr w:val="none" w:color="auto" w:sz="0" w:space="0"/>
          <w:shd w:val="clear" w:fill="FFFFFF"/>
        </w:rPr>
        <w:t> </w:t>
      </w:r>
    </w:p>
    <w:p w14:paraId="47E2FD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微软雅黑" w:hAnsi="微软雅黑" w:eastAsia="微软雅黑" w:cs="微软雅黑"/>
          <w:i w:val="0"/>
          <w:iCs w:val="0"/>
          <w:caps w:val="0"/>
          <w:color w:val="121212"/>
          <w:spacing w:val="0"/>
          <w:sz w:val="32"/>
          <w:szCs w:val="32"/>
        </w:rPr>
      </w:pPr>
      <w:r>
        <w:rPr>
          <w:rFonts w:hint="eastAsia" w:ascii="仿宋" w:hAnsi="仿宋" w:eastAsia="仿宋" w:cs="仿宋"/>
          <w:i w:val="0"/>
          <w:iCs w:val="0"/>
          <w:caps w:val="0"/>
          <w:color w:val="121212"/>
          <w:spacing w:val="0"/>
          <w:sz w:val="32"/>
          <w:szCs w:val="32"/>
          <w:bdr w:val="none" w:color="auto" w:sz="0" w:space="0"/>
          <w:shd w:val="clear" w:fill="FFFFFF"/>
        </w:rPr>
        <w:t>查看企业有无在公路用地范围内违法设置广告牌、摆摊设点、堆放物品，损坏公路路产等行为。依据《河南省农村公路条例》，任何单位和个人不得在公路上及公路用地范围内摆摊设点、堆放物品、倾倒垃圾、设置障碍、挖沟引水、利用公路边沟排放污物或者进行其他损坏、污染公路和影响公路畅通的活动。</w:t>
      </w:r>
    </w:p>
    <w:p w14:paraId="0DB446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微软雅黑" w:hAnsi="微软雅黑" w:eastAsia="微软雅黑" w:cs="微软雅黑"/>
          <w:i w:val="0"/>
          <w:iCs w:val="0"/>
          <w:caps w:val="0"/>
          <w:color w:val="121212"/>
          <w:spacing w:val="0"/>
          <w:sz w:val="32"/>
          <w:szCs w:val="32"/>
        </w:rPr>
      </w:pPr>
      <w:r>
        <w:rPr>
          <w:rFonts w:hint="eastAsia" w:ascii="黑体" w:hAnsi="宋体" w:eastAsia="黑体" w:cs="黑体"/>
          <w:i w:val="0"/>
          <w:iCs w:val="0"/>
          <w:caps w:val="0"/>
          <w:color w:val="121212"/>
          <w:spacing w:val="0"/>
          <w:sz w:val="32"/>
          <w:szCs w:val="32"/>
          <w:bdr w:val="none" w:color="auto" w:sz="0" w:space="0"/>
          <w:shd w:val="clear" w:fill="FFFFFF"/>
        </w:rPr>
        <w:t>四、广电、文化与旅游领域</w:t>
      </w:r>
      <w:r>
        <w:rPr>
          <w:rFonts w:hint="eastAsia" w:ascii="仿宋" w:hAnsi="仿宋" w:eastAsia="仿宋" w:cs="仿宋"/>
          <w:i w:val="0"/>
          <w:iCs w:val="0"/>
          <w:caps w:val="0"/>
          <w:color w:val="121212"/>
          <w:spacing w:val="0"/>
          <w:sz w:val="32"/>
          <w:szCs w:val="32"/>
          <w:bdr w:val="none" w:color="auto" w:sz="0" w:space="0"/>
          <w:shd w:val="clear" w:fill="FFFFFF"/>
        </w:rPr>
        <w:t> </w:t>
      </w:r>
    </w:p>
    <w:p w14:paraId="1FDB1A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微软雅黑" w:hAnsi="微软雅黑" w:eastAsia="微软雅黑" w:cs="微软雅黑"/>
          <w:i w:val="0"/>
          <w:iCs w:val="0"/>
          <w:caps w:val="0"/>
          <w:color w:val="121212"/>
          <w:spacing w:val="0"/>
          <w:sz w:val="32"/>
          <w:szCs w:val="32"/>
        </w:rPr>
      </w:pPr>
      <w:r>
        <w:rPr>
          <w:rStyle w:val="5"/>
          <w:rFonts w:hint="eastAsia" w:ascii="仿宋" w:hAnsi="仿宋" w:eastAsia="仿宋" w:cs="仿宋"/>
          <w:i w:val="0"/>
          <w:iCs w:val="0"/>
          <w:caps w:val="0"/>
          <w:color w:val="121212"/>
          <w:spacing w:val="0"/>
          <w:sz w:val="32"/>
          <w:szCs w:val="32"/>
          <w:bdr w:val="none" w:color="auto" w:sz="0" w:space="0"/>
          <w:shd w:val="clear" w:fill="FFFFFF"/>
        </w:rPr>
        <w:t>文化经营活动检查：</w:t>
      </w:r>
      <w:r>
        <w:rPr>
          <w:rFonts w:hint="eastAsia" w:ascii="仿宋" w:hAnsi="仿宋" w:eastAsia="仿宋" w:cs="仿宋"/>
          <w:i w:val="0"/>
          <w:iCs w:val="0"/>
          <w:caps w:val="0"/>
          <w:color w:val="121212"/>
          <w:spacing w:val="0"/>
          <w:sz w:val="32"/>
          <w:szCs w:val="32"/>
          <w:bdr w:val="none" w:color="auto" w:sz="0" w:space="0"/>
          <w:shd w:val="clear" w:fill="FFFFFF"/>
        </w:rPr>
        <w:t>检查文艺表演团体、个体演员是否擅自从事营业性演出经营活动，是否超范围从事营业性演出经营活动，依据《营业性演出管理条例》，保障文化经营活动健康有序开展。</w:t>
      </w:r>
    </w:p>
    <w:p w14:paraId="456A91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微软雅黑" w:hAnsi="微软雅黑" w:eastAsia="微软雅黑" w:cs="微软雅黑"/>
          <w:i w:val="0"/>
          <w:iCs w:val="0"/>
          <w:caps w:val="0"/>
          <w:color w:val="121212"/>
          <w:spacing w:val="0"/>
          <w:sz w:val="32"/>
          <w:szCs w:val="32"/>
        </w:rPr>
      </w:pPr>
      <w:r>
        <w:rPr>
          <w:rFonts w:hint="eastAsia" w:ascii="黑体" w:hAnsi="宋体" w:eastAsia="黑体" w:cs="黑体"/>
          <w:i w:val="0"/>
          <w:iCs w:val="0"/>
          <w:caps w:val="0"/>
          <w:color w:val="121212"/>
          <w:spacing w:val="0"/>
          <w:sz w:val="32"/>
          <w:szCs w:val="32"/>
          <w:bdr w:val="none" w:color="auto" w:sz="0" w:space="0"/>
          <w:shd w:val="clear" w:fill="FFFFFF"/>
        </w:rPr>
        <w:t>五、消防救援领域</w:t>
      </w:r>
    </w:p>
    <w:p w14:paraId="39E60F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微软雅黑" w:hAnsi="微软雅黑" w:eastAsia="微软雅黑" w:cs="微软雅黑"/>
          <w:i w:val="0"/>
          <w:iCs w:val="0"/>
          <w:caps w:val="0"/>
          <w:color w:val="121212"/>
          <w:spacing w:val="0"/>
          <w:sz w:val="32"/>
          <w:szCs w:val="32"/>
        </w:rPr>
      </w:pPr>
      <w:r>
        <w:rPr>
          <w:rStyle w:val="5"/>
          <w:rFonts w:hint="eastAsia" w:ascii="仿宋" w:hAnsi="仿宋" w:eastAsia="仿宋" w:cs="仿宋"/>
          <w:i w:val="0"/>
          <w:iCs w:val="0"/>
          <w:caps w:val="0"/>
          <w:color w:val="121212"/>
          <w:spacing w:val="0"/>
          <w:sz w:val="32"/>
          <w:szCs w:val="32"/>
          <w:bdr w:val="none" w:color="auto" w:sz="0" w:space="0"/>
          <w:shd w:val="clear" w:fill="FFFFFF"/>
        </w:rPr>
        <w:t>1.消防设施与器材检查：</w:t>
      </w:r>
      <w:r>
        <w:rPr>
          <w:rFonts w:hint="eastAsia" w:ascii="仿宋" w:hAnsi="仿宋" w:eastAsia="仿宋" w:cs="仿宋"/>
          <w:i w:val="0"/>
          <w:iCs w:val="0"/>
          <w:caps w:val="0"/>
          <w:color w:val="121212"/>
          <w:spacing w:val="0"/>
          <w:sz w:val="32"/>
          <w:szCs w:val="32"/>
          <w:bdr w:val="none" w:color="auto" w:sz="0" w:space="0"/>
          <w:shd w:val="clear" w:fill="FFFFFF"/>
        </w:rPr>
        <w:t>检查企业消防设施、器材是否配备齐全，是否完好有效，如灭火器、消火栓、自动喷水灭火系统等。依据《中华人民共和国消防法》，机关、团体、企业、事业等单位应当按照国家标准、行业标准配置消防设施、器材，设置消防安全标志，并定期组织检验、维修，确保完好有效 。</w:t>
      </w:r>
    </w:p>
    <w:p w14:paraId="125F5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微软雅黑" w:hAnsi="微软雅黑" w:eastAsia="微软雅黑" w:cs="微软雅黑"/>
          <w:i w:val="0"/>
          <w:iCs w:val="0"/>
          <w:caps w:val="0"/>
          <w:color w:val="121212"/>
          <w:spacing w:val="0"/>
          <w:sz w:val="32"/>
          <w:szCs w:val="32"/>
        </w:rPr>
      </w:pPr>
      <w:r>
        <w:rPr>
          <w:rStyle w:val="5"/>
          <w:rFonts w:hint="eastAsia" w:ascii="仿宋" w:hAnsi="仿宋" w:eastAsia="仿宋" w:cs="仿宋"/>
          <w:i w:val="0"/>
          <w:iCs w:val="0"/>
          <w:caps w:val="0"/>
          <w:color w:val="121212"/>
          <w:spacing w:val="0"/>
          <w:sz w:val="32"/>
          <w:szCs w:val="32"/>
          <w:bdr w:val="none" w:color="auto" w:sz="0" w:space="0"/>
          <w:shd w:val="clear" w:fill="FFFFFF"/>
        </w:rPr>
        <w:t>2.安全疏散通道检查：</w:t>
      </w:r>
      <w:r>
        <w:rPr>
          <w:rFonts w:hint="eastAsia" w:ascii="仿宋" w:hAnsi="仿宋" w:eastAsia="仿宋" w:cs="仿宋"/>
          <w:i w:val="0"/>
          <w:iCs w:val="0"/>
          <w:caps w:val="0"/>
          <w:color w:val="121212"/>
          <w:spacing w:val="0"/>
          <w:sz w:val="32"/>
          <w:szCs w:val="32"/>
          <w:bdr w:val="none" w:color="auto" w:sz="0" w:space="0"/>
          <w:shd w:val="clear" w:fill="FFFFFF"/>
        </w:rPr>
        <w:t>查看企业疏散通道、安全出口是否畅通，有无被堵塞、锁闭等情况，疏散指示标志、应急照明是否符合要求。依据《消防法》，任何单位、个人不得损坏、挪用或者擅自拆除、停用消防设施、器材，不得埋压、圈占、遮挡消火栓或者占用防火间距，不得占用、堵塞、封闭疏散通道、安全出口、消防车通道。</w:t>
      </w:r>
    </w:p>
    <w:p w14:paraId="08D7AB81">
      <w:pPr>
        <w:keepNext w:val="0"/>
        <w:keepLines w:val="0"/>
        <w:pageBreakBefore w:val="0"/>
        <w:kinsoku/>
        <w:wordWrap/>
        <w:overflowPunct/>
        <w:topLinePunct w:val="0"/>
        <w:autoSpaceDE/>
        <w:autoSpaceDN/>
        <w:bidi w:val="0"/>
        <w:adjustRightInd/>
        <w:snapToGrid/>
        <w:spacing w:line="560" w:lineRule="exact"/>
        <w:ind w:firstLine="640" w:firstLineChars="200"/>
        <w:jc w:val="both"/>
        <w:rPr>
          <w:sz w:val="32"/>
          <w:szCs w:val="32"/>
        </w:rPr>
      </w:pPr>
    </w:p>
    <w:sectPr>
      <w:pgSz w:w="11906" w:h="16838"/>
      <w:pgMar w:top="1871"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DB75FE-A28A-42AC-A308-C4C1E9A63A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338CEF11-0309-43D5-AAE1-7F43947A7A79}"/>
  </w:font>
  <w:font w:name="方正小标宋简体">
    <w:panose1 w:val="02000000000000000000"/>
    <w:charset w:val="86"/>
    <w:family w:val="auto"/>
    <w:pitch w:val="default"/>
    <w:sig w:usb0="00000001" w:usb1="08000000" w:usb2="00000000" w:usb3="00000000" w:csb0="00040000" w:csb1="00000000"/>
    <w:embedRegular r:id="rId3" w:fontKey="{70B849EF-B0B1-4719-A51B-2EF353FA42C4}"/>
  </w:font>
  <w:font w:name="仿宋">
    <w:panose1 w:val="02010609060101010101"/>
    <w:charset w:val="86"/>
    <w:family w:val="auto"/>
    <w:pitch w:val="default"/>
    <w:sig w:usb0="800002BF" w:usb1="38CF7CFA" w:usb2="00000016" w:usb3="00000000" w:csb0="00040001" w:csb1="00000000"/>
    <w:embedRegular r:id="rId4" w:fontKey="{747B01F0-8570-4B6E-91C3-B280E38748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5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2025-07-29T13:46:58Z</dcterms:created>
  <dc:creator>admin</dc:creator>
  <cp:lastModifiedBy>刘丰源</cp:lastModifiedBy>
  <dcterms:modified xsi:type="dcterms:W3CDTF">2025-07-29T13:49:00Z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eyJoZGlkIjoiZTg5MDRhZDU5NTIxMmRiMmY5MjEzNjU0ZmM5ZGI2YmIiLCJ1c2VySWQiOiIzMTEyOTM2NTkifQ==</vt:lpwstr>
  </property>
  <property fmtid="{D5CDD505-2E9C-101B-9397-08002B2CF9AE}" pid="4" name="ICV">
    <vt:lpwstr>2FFCA3BBBA7F450186D6FE5F9008FE7B_12</vt:lpwstr>
  </property>
</Properties>
</file>