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2287" w:tblpY="2253"/>
        <w:tblOverlap w:val="never"/>
        <w:tblW w:w="7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05"/>
        <w:gridCol w:w="5040"/>
      </w:tblGrid>
      <w:tr w14:paraId="76070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F0C7">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检查事项名称</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612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法律依据</w:t>
            </w:r>
          </w:p>
        </w:tc>
      </w:tr>
      <w:tr w14:paraId="42EA1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954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测绘资质单位监督检查</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EC1F">
            <w:pPr>
              <w:keepNext w:val="0"/>
              <w:keepLines w:val="0"/>
              <w:widowControl/>
              <w:numPr>
                <w:ilvl w:val="0"/>
                <w:numId w:val="0"/>
              </w:numPr>
              <w:suppressLineNumbers w:val="0"/>
              <w:spacing w:before="0" w:beforeAutospacing="1" w:after="0" w:afterAutospacing="1"/>
              <w:jc w:val="left"/>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4"/>
                <w:szCs w:val="24"/>
                <w:u w:val="none"/>
                <w:lang w:val="en-US" w:eastAsia="zh-CN" w:bidi="ar"/>
              </w:rPr>
              <w:t>《中华人民共和国测绘法》</w:t>
            </w:r>
            <w:r>
              <w:rPr>
                <w:rFonts w:hint="default" w:ascii="仿宋" w:hAnsi="仿宋" w:eastAsia="仿宋" w:cs="仿宋"/>
                <w:i w:val="0"/>
                <w:iCs w:val="0"/>
                <w:color w:val="000000"/>
                <w:kern w:val="0"/>
                <w:sz w:val="24"/>
                <w:szCs w:val="24"/>
                <w:u w:val="none"/>
                <w:lang w:val="en-US" w:eastAsia="zh-CN" w:bidi="ar"/>
              </w:rPr>
              <w:t>：第二十七条规定国家对从事测绘活动的单位实行测绘资质管理制度，明确了测绘单位应具备的条件。第三十九条规定县级以上人民政府测绘地理信息主管部门应当加强对测绘成果质量的监督管理。第四十六条规定县级以上人民政府测绘地理信息主管部门应当会同本级人民政府其他有关部门建立地理信息安全管理制度和技术防控体系，并加强对地理信息安全的监督管理。第四十九条规定县级以上人民政府测绘地理信息主管部门应当建立健全随机抽查机制，依法履行监督检查职责。</w:t>
            </w:r>
          </w:p>
        </w:tc>
      </w:tr>
      <w:tr w14:paraId="11491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0"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B64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测绘成果管理监督检查</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25D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default"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中华人民共和国测绘法》</w:t>
            </w:r>
            <w:r>
              <w:rPr>
                <w:rFonts w:hint="default" w:ascii="仿宋" w:hAnsi="仿宋" w:eastAsia="仿宋" w:cs="仿宋"/>
                <w:i w:val="0"/>
                <w:iCs w:val="0"/>
                <w:color w:val="000000"/>
                <w:kern w:val="0"/>
                <w:sz w:val="24"/>
                <w:szCs w:val="24"/>
                <w:u w:val="none"/>
                <w:lang w:val="en-US" w:eastAsia="zh-CN" w:bidi="ar"/>
              </w:rPr>
              <w:t>：作为测绘领域的基本法律，为测绘成果监督检查提供了根本性的法律依据，规定了测绘成果管理的基本制度和要求，明确了测绘行政主管部门的监督管理职责等。《测绘成果管理条例》：进一步细化了测绘成果在汇交、保管、利用和重要地理信息数据审核与公布等方面的规定，是开展测绘成果监督检查工作的重要依据。《测绘成果质量监督抽查管理办法》：该办法对测绘成果质量监督抽查工作进行了详细规范，包括计划与方案制定、监督检验、异议受理、结果处理等内容，是实施测绘成果质量监督抽查的直接依据。</w:t>
            </w:r>
          </w:p>
        </w:tc>
      </w:tr>
      <w:tr w14:paraId="316BE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0"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A12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地图质量监督检查</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04C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4"/>
                <w:szCs w:val="24"/>
                <w:u w:val="none"/>
                <w:lang w:val="en-US" w:eastAsia="zh-CN" w:bidi="ar"/>
              </w:rPr>
              <w:t>《中华人民共和国测绘法》</w:t>
            </w:r>
            <w:r>
              <w:rPr>
                <w:rFonts w:hint="default" w:ascii="仿宋" w:hAnsi="仿宋" w:eastAsia="仿宋" w:cs="仿宋"/>
                <w:i w:val="0"/>
                <w:iCs w:val="0"/>
                <w:color w:val="000000"/>
                <w:kern w:val="0"/>
                <w:sz w:val="24"/>
                <w:szCs w:val="24"/>
                <w:u w:val="none"/>
                <w:lang w:val="en-US" w:eastAsia="zh-CN" w:bidi="ar"/>
              </w:rPr>
              <w:t>：第三十八条规定县级以上人民政府和测绘地理信息主管部门、网信部门等有关部门应当加强对地图编制、出版、展示、登载和互联网地图服务的监督管理，保证地图质量，维护国家主权、安全和利益，为地图质量监督检查提供了根本法律依据。《地图管理条例》：条例对地图的编制、审核、出版、互联网地图服务等作出了详细规定，明确了地图质量相关要求，如第八条规定编制地图应当执行国家有关地图编制标准，遵守国家有关地图内容表示的规定，是地图质量监督</w:t>
            </w:r>
            <w:bookmarkStart w:id="0" w:name="_GoBack"/>
            <w:bookmarkEnd w:id="0"/>
            <w:r>
              <w:rPr>
                <w:rFonts w:hint="default" w:ascii="仿宋" w:hAnsi="仿宋" w:eastAsia="仿宋" w:cs="仿宋"/>
                <w:i w:val="0"/>
                <w:iCs w:val="0"/>
                <w:color w:val="000000"/>
                <w:kern w:val="0"/>
                <w:sz w:val="24"/>
                <w:szCs w:val="24"/>
                <w:u w:val="none"/>
                <w:lang w:val="en-US" w:eastAsia="zh-CN" w:bidi="ar"/>
              </w:rPr>
              <w:t>检查的重要依据。</w:t>
            </w:r>
          </w:p>
        </w:tc>
      </w:tr>
    </w:tbl>
    <w:p w14:paraId="739DD148">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方城县自然资源局行政检查事项和依据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4A0B19"/>
    <w:rsid w:val="3A5D6A09"/>
    <w:rsid w:val="48845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763</Words>
  <Characters>763</Characters>
  <Lines>0</Lines>
  <Paragraphs>0</Paragraphs>
  <TotalTime>9</TotalTime>
  <ScaleCrop>false</ScaleCrop>
  <LinksUpToDate>false</LinksUpToDate>
  <CharactersWithSpaces>763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2025-06-30T03:11:00Z</dcterms:created>
  <dc:creator>lenovo</dc:creator>
  <cp:lastModifiedBy>幸福敲门</cp:lastModifiedBy>
  <dcterms:modified xsi:type="dcterms:W3CDTF">2025-07-01T00:40:32Z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eyJoZGlkIjoiNzUxNGJjZjFlYWVkZjA4YjJmYjQ5MWJlMWY1YzcxNzYiLCJ1c2VySWQiOiI0NDg5MzA0MjgifQ==</vt:lpwstr>
  </property>
  <property fmtid="{D5CDD505-2E9C-101B-9397-08002B2CF9AE}" pid="4" name="ICV">
    <vt:lpwstr>0587C9D28CA14B068F4EAC8DFC872CB4_12</vt:lpwstr>
  </property>
</Properties>
</file>