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8.0.0 --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="Batang" w:cs="Batang" w:hint="default"/>
          <w:kern w:val="0"/>
          <w:sz w:val="44"/>
          <w:szCs w:val="44"/>
          <w:lang w:val="en" w:eastAsia="zh-CN" w:bidi="ar-SA"/>
        </w:rPr>
        <w:sectPr>
          <w:headerReference w:type="default" r:id="rId5"/>
          <w:footerReference w:type="default" r:id="rId6"/>
          <w:pgSz w:w="16838" w:h="11906" w:orient="landscape"/>
          <w:pgMar w:top="1134" w:right="907" w:bottom="1134" w:left="907" w:header="851" w:footer="992" w:gutter="0"/>
          <w:pgNumType w:fmt="decimal" w:start="19"/>
          <w:cols w:num="1" w:space="425"/>
          <w:docGrid w:type="lines" w:linePitch="312" w:charSpace="0"/>
        </w:sectPr>
      </w:pPr>
      <w:bookmarkStart w:id="0" w:name="_GoBack"/>
      <w:bookmarkEnd w:id="0"/>
      <w:r>
        <w:rPr>
          <w:rFonts w:ascii="方正小标宋简体" w:eastAsia="方正小标宋简体" w:hAnsi="Batang" w:cs="Batang" w:hint="default"/>
          <w:kern w:val="0"/>
          <w:sz w:val="44"/>
          <w:szCs w:val="44"/>
          <w:lang w:val="en"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-243840</wp:posOffset>
            </wp:positionV>
            <wp:extent cx="9528175" cy="6252845"/>
            <wp:effectExtent l="0" t="0" r="15875" b="33655"/>
            <wp:wrapThrough wrapText="bothSides">
              <wp:wrapPolygon>
                <wp:start x="6435" y="0"/>
                <wp:lineTo x="6219" y="395"/>
                <wp:lineTo x="6391" y="921"/>
                <wp:lineTo x="0" y="1053"/>
                <wp:lineTo x="0" y="14741"/>
                <wp:lineTo x="907" y="14741"/>
                <wp:lineTo x="0" y="15070"/>
                <wp:lineTo x="0" y="21519"/>
                <wp:lineTo x="21550" y="21519"/>
                <wp:lineTo x="21550" y="11582"/>
                <wp:lineTo x="21031" y="10529"/>
                <wp:lineTo x="21550" y="10529"/>
                <wp:lineTo x="21550" y="9476"/>
                <wp:lineTo x="21031" y="8423"/>
                <wp:lineTo x="21550" y="8423"/>
                <wp:lineTo x="21550" y="1053"/>
                <wp:lineTo x="14467" y="921"/>
                <wp:lineTo x="14813" y="66"/>
                <wp:lineTo x="14510" y="0"/>
                <wp:lineTo x="6435" y="0"/>
              </wp:wrapPolygon>
            </wp:wrapThrough>
            <wp:docPr id="1" name="图片 1" descr="公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806500" name="图片 1" descr="公安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8175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="Batang" w:cs="Batang" w:hint="eastAsia"/>
          <w:kern w:val="0"/>
          <w:sz w:val="44"/>
          <w:szCs w:val="44"/>
          <w:lang w:val="en-US" w:eastAsia="zh-CN" w:bidi="ar-SA"/>
        </w:rPr>
      </w:pPr>
      <w:r>
        <w:rPr>
          <w:rFonts w:ascii="方正小标宋简体" w:eastAsia="方正小标宋简体" w:hAnsi="Batang" w:cs="Batang" w:hint="eastAsia"/>
          <w:kern w:val="0"/>
          <w:sz w:val="44"/>
          <w:szCs w:val="44"/>
          <w:lang w:val="en-US" w:eastAsia="zh-CN" w:bidi="ar-SA"/>
        </w:rPr>
        <w:t>公安机关依法依规处理信访事项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="Batang" w:cs="Batang" w:hint="eastAsia"/>
          <w:kern w:val="0"/>
          <w:sz w:val="44"/>
          <w:szCs w:val="44"/>
          <w:lang w:val="en-US" w:eastAsia="zh-CN" w:bidi="ar-SA"/>
        </w:rPr>
      </w:pPr>
      <w:r>
        <w:rPr>
          <w:rFonts w:ascii="方正小标宋简体" w:eastAsia="方正小标宋简体" w:hAnsi="Batang" w:cs="Batang" w:hint="eastAsia"/>
          <w:kern w:val="0"/>
          <w:sz w:val="44"/>
          <w:szCs w:val="44"/>
          <w:lang w:val="en-US" w:eastAsia="zh-CN" w:bidi="ar-SA"/>
        </w:rPr>
        <w:t>“导引图”说明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="Batang" w:cs="Batang" w:hint="eastAsia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eastAsia="黑体" w:hAnsi="黑体" w:cs="黑体" w:hint="eastAsia"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Cs/>
          <w:sz w:val="32"/>
          <w:szCs w:val="32"/>
          <w:lang w:eastAsia="zh-CN"/>
        </w:rPr>
        <w:t>一、信访事项的提出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leftChars="0" w:firstLineChars="200"/>
        <w:textAlignment w:val="auto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公民、法人或者其他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组织可以</w:t>
      </w:r>
      <w:r>
        <w:rPr>
          <w:rFonts w:ascii="仿宋_GB2312" w:eastAsia="仿宋_GB2312" w:hAnsi="仿宋_GB2312" w:cs="仿宋_GB2312" w:hint="eastAsia"/>
          <w:sz w:val="32"/>
          <w:szCs w:val="32"/>
        </w:rPr>
        <w:t>采用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信息网络、</w:t>
      </w:r>
      <w:r>
        <w:rPr>
          <w:rFonts w:ascii="仿宋_GB2312" w:eastAsia="仿宋_GB2312" w:hAnsi="仿宋_GB2312" w:cs="仿宋_GB2312" w:hint="eastAsia"/>
          <w:sz w:val="32"/>
          <w:szCs w:val="32"/>
        </w:rPr>
        <w:t>书信、电话、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传真、</w:t>
      </w:r>
      <w:r>
        <w:rPr>
          <w:rFonts w:ascii="仿宋_GB2312" w:eastAsia="仿宋_GB2312" w:hAnsi="仿宋_GB2312" w:cs="仿宋_GB2312" w:hint="eastAsia"/>
          <w:sz w:val="32"/>
          <w:szCs w:val="32"/>
        </w:rPr>
        <w:t>走访等形式，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向公安机关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信访事项。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对采用口头形式提出的信访事项，接待部门应当如实记录。采用走访形式提出信访事项的，应当到指定的接待场所提出。多人采用走访形式提出共同信访事项的，应当推选代表，代表人数不得超过5人。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ascii="黑体" w:eastAsia="黑体" w:hAnsi="黑体" w:cs="黑体" w:hint="eastAsia"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Cs/>
          <w:sz w:val="32"/>
          <w:szCs w:val="32"/>
          <w:lang w:eastAsia="zh-CN"/>
        </w:rPr>
        <w:t>二、受理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eastAsia="楷体" w:hAnsi="楷体" w:cs="楷体" w:hint="eastAsia"/>
          <w:bCs/>
          <w:color w:val="000000"/>
          <w:sz w:val="32"/>
          <w:szCs w:val="32"/>
          <w:lang w:eastAsia="zh-CN"/>
        </w:rPr>
      </w:pPr>
      <w:r>
        <w:rPr>
          <w:rFonts w:ascii="楷体" w:eastAsia="楷体" w:hAnsi="楷体" w:cs="楷体" w:hint="eastAsia"/>
          <w:sz w:val="32"/>
          <w:szCs w:val="32"/>
          <w:lang w:eastAsia="zh-CN"/>
        </w:rPr>
        <w:t>公安机关主要受理以下信访事项。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val="en-US" w:eastAsia="zh-CN"/>
        </w:rPr>
        <w:t>1.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申请查处违法犯罪行为、保护人身权或者财产权等合法权益的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信访事项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val="en-US" w:eastAsia="zh-CN"/>
        </w:rPr>
        <w:t>2.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可以通过行政裁决、行政确认、行政许可、行政处罚、政府信息公开等行政程序解决的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信访事项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val="en-US" w:eastAsia="zh-CN"/>
        </w:rPr>
        <w:t>3.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对公安机关作出的行政行为不服的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信访事项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val="en-US" w:eastAsia="zh-CN"/>
        </w:rPr>
        <w:t>4.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对公安机关依据刑事诉讼法授权作出的行为不服的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信访事项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val="en-US" w:eastAsia="zh-CN"/>
        </w:rPr>
        <w:t>5.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认为公安机关及其工作人员行使职权侵犯合法权益,造成损害，要求取得国家赔偿的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信访事项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val="en-US" w:eastAsia="zh-CN"/>
        </w:rPr>
        <w:t>6.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对公安机关出具或者委托其他机构出具的认定、鉴定意见不服，要求复核或者重新认定、鉴定的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信访事项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hAnsi="仿宋_GB2312" w:cs="仿宋_GB2312" w:hint="eastAsia"/>
          <w:bCs/>
          <w:sz w:val="32"/>
          <w:szCs w:val="32"/>
          <w:lang w:val="en-US" w:eastAsia="zh-CN"/>
        </w:rPr>
        <w:sectPr>
          <w:footerReference w:type="default" r:id="rId8"/>
          <w:pgSz w:w="11906" w:h="16838"/>
          <w:pgMar w:top="1440" w:right="1800" w:bottom="1440" w:left="1800" w:header="851" w:footer="992" w:gutter="0"/>
          <w:pgNumType w:fmt="decimal" w:start="20"/>
          <w:cols w:num="1" w:space="425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hAnsi="仿宋_GB2312" w:cs="仿宋_GB2312" w:hint="eastAsia"/>
          <w:bCs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val="en-US" w:eastAsia="zh-CN"/>
        </w:rPr>
        <w:t>7.公安系统相关的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党员申诉、申请复审以及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en-US" w:eastAsia="zh-CN"/>
        </w:rPr>
        <w:t>建议意见、检举控告等信访事项。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公安机关信访工作机构收到信访事项，应当予以登记甄别，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对属于本机关职权范围的，应当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自收到之日起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15日内发放受理告知单，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告知信访人接收情况以及处理途径和程序。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对不属于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公安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系统职权范围内的信访事项，应当自收到之日起15日内书面告知信访人向有权处理的机关、单位提出。属于下级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公安机关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职权范围的，依法转送、交办，并书面告知信访人。对党委和政府信访部门、上级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公安机关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转送、交办的信访事项，可以自收到之日起5个工作日内提出异议，经转办机关、单位核实同意后，交还相关材料。书面包含纸质、短信、邮件、传真等形式。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eastAsia="黑体" w:hAnsi="黑体" w:cs="黑体" w:hint="eastAsia"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Cs/>
          <w:sz w:val="32"/>
          <w:szCs w:val="32"/>
          <w:lang w:eastAsia="zh-CN"/>
        </w:rPr>
        <w:t>三、办理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 w:hAnsi="楷体_GB2312" w:cs="楷体_GB2312" w:hint="default"/>
          <w:b w:val="0"/>
          <w:bCs/>
          <w:sz w:val="32"/>
          <w:szCs w:val="32"/>
          <w:lang w:val="en-US" w:eastAsia="zh-CN"/>
        </w:rPr>
      </w:pPr>
      <w:r>
        <w:rPr>
          <w:rFonts w:ascii="楷体_GB2312" w:eastAsia="楷体_GB2312" w:hAnsi="楷体_GB2312" w:cs="楷体_GB2312" w:hint="eastAsia"/>
          <w:b w:val="0"/>
          <w:bCs/>
          <w:sz w:val="32"/>
          <w:szCs w:val="32"/>
          <w:lang w:val="en-US" w:eastAsia="zh-CN"/>
        </w:rPr>
        <w:t>（一）申诉求决类信访事项办理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 w:hAnsi="仿宋_GB2312" w:cs="仿宋_GB2312" w:hint="eastAsia"/>
          <w:b w:val="0"/>
          <w:bCs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  <w:lang w:val="en-US" w:eastAsia="zh-CN"/>
        </w:rPr>
        <w:t>1.对公安机关依据刑事诉讼法授权作出的行为不服；申请查处违法犯罪行为、保护人身权或者财产权等合法权益；认为公安机关及其工作人员行使职权侵犯合法权益,造成损害，要求取得国家赔偿等信访事项，按照刑法、刑事诉讼法、治安管理处罚法、国家赔偿法等相关法律法规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 w:hAnsi="仿宋_GB2312" w:cs="仿宋_GB2312" w:hint="eastAsia"/>
          <w:b w:val="0"/>
          <w:bCs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  <w:lang w:val="en-US" w:eastAsia="zh-CN"/>
        </w:rPr>
        <w:t>2.对公安机关作出的行政行为不服等信访事项，按照行政复议、行政裁决、行政确认、行政许可、行政处罚、政府信息公开等相关法律法规规定办理。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 w:hAnsi="仿宋_GB2312" w:cs="仿宋_GB2312" w:hint="eastAsia"/>
          <w:b w:val="0"/>
          <w:bCs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  <w:lang w:val="en-US" w:eastAsia="zh-CN"/>
        </w:rPr>
        <w:t>3.党员申诉、申请复审等信访事项，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按照中国共产党章程、中国共产党问责条例、中国共产党纪律检查机关监督执纪工作规则、中国共产党纪律检查机关控告申诉工作条例、党政领导干部考核工作条例等办理。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4.无法适用其他法律程序处理的，导入信访事项</w:t>
      </w:r>
      <w:r>
        <w:rPr>
          <w:rFonts w:ascii="仿宋_GB2312" w:eastAsia="仿宋_GB2312" w:hAnsi="仿宋_GB2312" w:cs="仿宋_GB2312" w:hint="eastAsia"/>
          <w:sz w:val="32"/>
          <w:szCs w:val="32"/>
          <w:u w:val="none"/>
          <w:lang w:val="en-US" w:eastAsia="zh-CN"/>
        </w:rPr>
        <w:t>处理、复查、复核三级办理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（1）应当听取信访人陈述事实和理由，并调查核实。自受理之日起60日内办结，出具信访处理意见书（办理结果告知单）。情况复杂的，经本机关、单位负责人批准，可以适当延长处理期限，延长期限不得超过30日，同时应当将延期理由书面告知信访人。对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初次信访事项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事实清楚、争议不大、可以即时反馈的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，自受理之日起10个工作日内作出处理意见。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对重大、复杂、疑难的信访事项，可以举行听证。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（2）信访人对信访处理意见不服的，可以自收到书面答复之日起30日内请求原办理机关、单位的上一级机关、单位复查。收到复查请求的机关、单位应当自收到复查请求之日起30日内提出复查意见（复查告知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bCs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（3）信访人对复查意见不服的，可以自收到书面答复之日起30日内向复查机关、单位的上一级机关、单位请求复核。收到复核请求的机关、单位应当自收到复核请求之日起30日内提出复核意见（复核告知单）。对重大、复杂、疑难的信访事项，可以举行听证。经过听证的复核意见可以依法向社会公示。听证所需时间不计算在复核期限内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信访人对复核意见不服，仍然以同一事实和理由提出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投诉请求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的，公安机关不再受理并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书面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告知信访人。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（4）对地市级及以下公安机关做出的处理意见（复查意见）不服的，可以向上一级公安机关或者本级人民政府提出复查（复核）；对省级公安机关做出的处理意见（复查意见）不服的，可以向省级人民政府提出复查（复核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（5）信访事项处理、复查、复核三级办理程序中，应把调解和解贯穿始终，依据当事人意愿可以选择先行调解。经调解、和解达成一致意见的，制作调解、和解协议书。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 w:hAnsi="楷体_GB2312" w:cs="楷体_GB2312" w:hint="eastAsia"/>
          <w:b w:val="0"/>
          <w:bCs/>
          <w:sz w:val="32"/>
          <w:szCs w:val="32"/>
          <w:lang w:eastAsia="zh-CN"/>
        </w:rPr>
      </w:pPr>
      <w:r>
        <w:rPr>
          <w:rFonts w:ascii="楷体_GB2312" w:eastAsia="楷体_GB2312" w:hAnsi="楷体_GB2312" w:cs="楷体_GB2312" w:hint="eastAsia"/>
          <w:b w:val="0"/>
          <w:bCs/>
          <w:sz w:val="32"/>
          <w:szCs w:val="32"/>
          <w:lang w:eastAsia="zh-CN"/>
        </w:rPr>
        <w:t>（</w:t>
      </w:r>
      <w:r>
        <w:rPr>
          <w:rFonts w:ascii="楷体_GB2312" w:eastAsia="楷体_GB2312" w:hAnsi="楷体_GB2312" w:cs="楷体_GB2312" w:hint="eastAsia"/>
          <w:b w:val="0"/>
          <w:bCs/>
          <w:sz w:val="32"/>
          <w:szCs w:val="32"/>
          <w:lang w:val="en-US" w:eastAsia="zh-CN"/>
        </w:rPr>
        <w:t>二</w:t>
      </w:r>
      <w:r>
        <w:rPr>
          <w:rFonts w:ascii="楷体_GB2312" w:eastAsia="楷体_GB2312" w:hAnsi="楷体_GB2312" w:cs="楷体_GB2312" w:hint="eastAsia"/>
          <w:b w:val="0"/>
          <w:bCs/>
          <w:sz w:val="32"/>
          <w:szCs w:val="32"/>
          <w:lang w:eastAsia="zh-CN"/>
        </w:rPr>
        <w:t>）建议意见类信访事项办理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各级公安机关应当认真研究论证，对维护国家安全和社会稳定，或者加强改进公安工作和队伍建设有现实可行性的，应当采纳或者部分采纳，并予以回复。符合有关奖励规定的给予奖励。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 w:hAnsi="楷体_GB2312" w:cs="楷体_GB2312" w:hint="eastAsia"/>
          <w:b w:val="0"/>
          <w:bCs/>
          <w:sz w:val="32"/>
          <w:szCs w:val="32"/>
          <w:lang w:eastAsia="zh-CN"/>
        </w:rPr>
      </w:pPr>
      <w:r>
        <w:rPr>
          <w:rFonts w:ascii="楷体_GB2312" w:eastAsia="楷体_GB2312" w:hAnsi="楷体_GB2312" w:cs="楷体_GB2312" w:hint="eastAsia"/>
          <w:b w:val="0"/>
          <w:bCs/>
          <w:sz w:val="32"/>
          <w:szCs w:val="32"/>
          <w:lang w:eastAsia="zh-CN"/>
        </w:rPr>
        <w:t>（</w:t>
      </w:r>
      <w:r>
        <w:rPr>
          <w:rFonts w:ascii="楷体_GB2312" w:eastAsia="楷体_GB2312" w:hAnsi="楷体_GB2312" w:cs="楷体_GB2312" w:hint="eastAsia"/>
          <w:b w:val="0"/>
          <w:bCs/>
          <w:sz w:val="32"/>
          <w:szCs w:val="32"/>
          <w:lang w:val="en-US" w:eastAsia="zh-CN"/>
        </w:rPr>
        <w:t>三</w:t>
      </w:r>
      <w:r>
        <w:rPr>
          <w:rFonts w:ascii="楷体_GB2312" w:eastAsia="楷体_GB2312" w:hAnsi="楷体_GB2312" w:cs="楷体_GB2312" w:hint="eastAsia"/>
          <w:b w:val="0"/>
          <w:bCs/>
          <w:sz w:val="32"/>
          <w:szCs w:val="32"/>
          <w:lang w:eastAsia="zh-CN"/>
        </w:rPr>
        <w:t>）检举控告类信访事项办理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各级公安机关受理的检举控告类信访事项，由对被检举控告人有管理权限的纪律检查、组织人事等部门依规依纪依法办理和反馈。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bCs/>
          <w:szCs w:val="32"/>
          <w:lang w:val="en-US" w:eastAsia="zh-CN"/>
        </w:rPr>
      </w:pPr>
    </w:p>
    <w:sectPr>
      <w:footerReference w:type="default" r:id="rId9"/>
      <w:pgSz w:w="11906" w:h="16838"/>
      <w:pgMar w:top="1440" w:right="1800" w:bottom="1440" w:left="1800" w:header="851" w:footer="992" w:gutter="0"/>
      <w:pgNumType w:fmt="decimal" w:start="21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0" type="#_x0000_t202" style="width:2in;height:2in;margin-top:0;margin-left:0;mso-height-relative:page;mso-position-horizontal:center;mso-position-horizontal-relative:margin;mso-width-relative:page;mso-wrap-style:none;position:absolute;z-index:251662336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1" type="#_x0000_t202" style="width:2in;height:2in;margin-top:0;margin-left:0;mso-height-relative:page;mso-position-horizontal:center;mso-position-horizontal-relative:margin;mso-width-relative:page;mso-wrap-style:none;position:absolute;z-index:251660288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2" type="#_x0000_t202" style="width:2in;height:2in;margin-top:0;margin-left:0;mso-height-relative:page;mso-position-horizontal:center;mso-position-horizontal-relative:margin;mso-width-relative:page;mso-wrap-style:none;position:absolute;z-index:25166438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2049" type="#_x0000_t202" style="width:0;height:0;margin-top:0;margin-left:0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t>&lt;root&gt;&lt;sender&gt;nys@hnsxf.gov.cn&lt;/sender&gt;&lt;type&gt;2&lt;/type&gt;&lt;subject&gt;02审判机关.doc&lt;/subject&gt;&lt;attachmentName&gt;04公安机关.docx&lt;/attachmentName&gt;&lt;addressee&gt;nyfcx@hnsxf.gov.cn&lt;/addressee&gt;&lt;mailSec&gt;无密级&lt;/mailSec&gt;&lt;sendTime&gt;2023-11-08 15:43:08&lt;/sendTime&gt;&lt;loadTime&gt;2023-11-09 11:55:30&lt;/loadTime&gt;&lt;/root&gt;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qFormat/>
    <w:pPr>
      <w:spacing w:after="120"/>
    </w:p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NoSpacing">
    <w:name w:val="No Spacing"/>
    <w:uiPriority w:val="1"/>
    <w:qFormat/>
    <w:pPr>
      <w:jc w:val="both"/>
    </w:pPr>
    <w:rPr>
      <w:rFonts w:asciiTheme="minorHAnsi" w:eastAsiaTheme="minorEastAsia" w:hAnsiTheme="minorHAnsi" w:cstheme="minorBidi"/>
      <w:kern w:val="0"/>
      <w:sz w:val="21"/>
      <w:szCs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1.png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0</cp:revision>
  <cp:lastPrinted>2023-09-15T15:15:00Z</cp:lastPrinted>
  <dcterms:created xsi:type="dcterms:W3CDTF">2023-07-17T09:48:00Z</dcterms:created>
  <dcterms:modified xsi:type="dcterms:W3CDTF">2023-10-30T08:59:57Z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9C5690D5744B47309FA5D75522AA146D_13</vt:lpwstr>
  </property>
  <property fmtid="{D5CDD505-2E9C-101B-9397-08002B2CF9AE}" pid="3" name="KSOProductBuildVer">
    <vt:lpwstr>2052-12.1.0.15712</vt:lpwstr>
  </property>
</Properties>
</file>