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val="en-US" w:eastAsia="zh-CN"/>
        </w:rPr>
        <w:t>方城县2023年度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</w:rPr>
        <w:t>河长制工作</w:t>
      </w:r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  <w:t>开展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 w:val="0"/>
          <w:bCs w:val="0"/>
          <w:sz w:val="44"/>
          <w:szCs w:val="44"/>
          <w:lang w:eastAsia="zh-CN"/>
        </w:rPr>
        <w:t>情况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年以来，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政府坚强领导下，在市河长办的大力支持下，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我县坚持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聚焦河湖突出问题，强化河长履职尽责，夯实部门职责，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河长制工作从“有名有责”向“有能有效”扎实转变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河湖生态面貌得到明显提升。现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将2023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年度河长制工作开展情况报告如下：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一、年度工作开展情况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今年以来，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将河长制作为贯彻习近平生态文明思想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和视察南阳重要讲话指示批示精神的重要政治任务，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以落实党政负责制为核心，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严格按照南阳市第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4号总河长令、第5号总河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长令、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第1号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总湖长令和《南阳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市2023年河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湖长制工作要点》扎实推进各项工作，不断健全工作体系，创新管理机制，推进河湖治理，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以推进河长制六大任务为主线，以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“河长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”工作机制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重要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抓手，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坚持和完善“党政负责制、部门协作制、行业网格制、绩效评价制，治乱法制化、治理系统化、监管信息化、参与全民化”的“四制四化”工作模式，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统筹开展各项工作，河湖面貌和水生态环境实现较大改善和提升，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有力推动河长制从“全面建立”走向“全面见效”。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二、主要做法及成效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（一）坚持高点站位，确保治河护河常态化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落实党政负责制。</w:t>
      </w:r>
      <w:r>
        <w:rPr>
          <w:rFonts w:hint="eastAsia" w:ascii="仿宋_GB2312" w:hAnsi="仿宋" w:eastAsia="仿宋_GB2312" w:cs="仿宋"/>
          <w:b w:val="0"/>
          <w:bCs w:val="0"/>
          <w:color w:val="000000"/>
          <w:kern w:val="0"/>
          <w:sz w:val="32"/>
          <w:szCs w:val="32"/>
        </w:rPr>
        <w:t>建立健全以党政领导负责制为核心，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县、乡、村三级河长</w:t>
      </w:r>
      <w:r>
        <w:rPr>
          <w:rFonts w:hint="eastAsia" w:ascii="仿宋_GB2312" w:hAnsi="仿宋" w:eastAsia="仿宋_GB2312" w:cs="仿宋"/>
          <w:b w:val="0"/>
          <w:bCs w:val="0"/>
          <w:color w:val="000000"/>
          <w:kern w:val="0"/>
          <w:sz w:val="32"/>
          <w:szCs w:val="32"/>
        </w:rPr>
        <w:t>责任明晰的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工作体系，</w:t>
      </w:r>
      <w:r>
        <w:rPr>
          <w:rFonts w:hint="eastAsia" w:ascii="仿宋_GB2312" w:hAnsi="仿宋" w:eastAsia="仿宋_GB2312" w:cs="仿宋"/>
          <w:b w:val="0"/>
          <w:bCs w:val="0"/>
          <w:color w:val="000000"/>
          <w:kern w:val="0"/>
          <w:sz w:val="32"/>
          <w:szCs w:val="32"/>
        </w:rPr>
        <w:t>明确各级河长职责，强化工作措施，协调各方力量，形成一级抓一级、层层抓落实的工作格局。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目前全县共设立县乡村三级河长515名，其中县级河长33名，乡级河长138名，村级河长344名。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eastAsia="zh-CN"/>
        </w:rPr>
        <w:t>高位推动工作。</w:t>
      </w:r>
      <w:r>
        <w:rPr>
          <w:rFonts w:hint="eastAsia" w:ascii="仿宋_GB2312" w:hAnsi="仿宋" w:eastAsia="仿宋_GB2312" w:cs="仿宋"/>
          <w:b w:val="0"/>
          <w:bCs w:val="0"/>
          <w:color w:val="000000"/>
          <w:kern w:val="0"/>
          <w:sz w:val="32"/>
          <w:szCs w:val="32"/>
        </w:rPr>
        <w:t>县委、县政府主要负责人高度重视河长制工作，签发县总河长令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，安排部署河长制工作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6"/>
        </w:rPr>
        <w:t>带头深入分包河道，开展信息化巡河，协调解决工作难题，有力带动了县乡村巡河工作深入扎实开展，全县巡河率一直位居全市前列。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是强化联动协作。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建立“河长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检察长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警长”工作机制，河道检察长、警长积极配合河长履职尽责，与相关成员单位开展联合巡河，共同解决河湖突出问题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公安、水利、自然资源等部门在打击河湖非法采砂专项行动中，强力开展联合执法，主动介入涉河湖违法违规重点案件查处，助力河湖“清四乱”。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（二）坚持有解思维，确保水域岸线保护规范化</w:t>
      </w:r>
    </w:p>
    <w:p>
      <w:pPr>
        <w:pStyle w:val="2"/>
        <w:kinsoku w:val="0"/>
        <w:overflowPunct w:val="0"/>
        <w:spacing w:before="43" w:line="600" w:lineRule="exact"/>
        <w:ind w:left="120" w:right="117" w:firstLine="640"/>
        <w:jc w:val="both"/>
        <w:rPr>
          <w:rFonts w:hint="eastAsia" w:ascii="仿宋" w:hAnsi="仿宋" w:eastAsia="仿宋" w:cs="仿宋"/>
          <w:spacing w:val="-7"/>
          <w:sz w:val="32"/>
          <w:szCs w:val="24"/>
          <w:lang w:val="en-US" w:eastAsia="zh-CN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铁腕治砂</w:t>
      </w:r>
      <w:r>
        <w:rPr>
          <w:rFonts w:hint="eastAsia" w:ascii="仿宋_GB2312" w:hAnsi="楷体" w:eastAsia="仿宋_GB2312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持续开展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打击非法采砂专项行动，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对河道非法采砂“零容忍”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，发现一起、打击一起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，2023年累计办理非法采砂案件19起，行政罚款20余万元，非法采砂现象得到有效遏制。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二是规范采砂。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组织编制《方城县2023年下半年县域河道采砂实施方案》，发放采砂许可证7个，构建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国有化运营、规范化管理、标准化生产、常态化监管、生态化修复的“五化”工作体系，实现砂石资源可持续利用。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b/>
          <w:bCs/>
          <w:sz w:val="32"/>
          <w:szCs w:val="32"/>
        </w:rPr>
        <w:t>全面治乱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深入推进河湖“清四乱”常态化规范化，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坚决遏制增量、清除存量。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年全县累计清理各类垃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圾2600余立方米，渣土和砂堆22000余立方米，清理阻水林木1800余棵，拆除违建构筑物1200余平方米，全年未发生重大河湖“四乱”问题，河湖面貌持续向好。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四是安全度汛。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深刻汲取郑州“7·20”特大暴雨灾害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教训，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县第一总河长、总河长联合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签发总河长令《关于开展妨碍河道行洪突出问题清理整治的决定》，在全县开展妨碍河道行洪突出问题专项整治行动，纳入台账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的12个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问题全部完成整改，并通过省、市现场验收销号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全力保障了人民群众生命和财产安全。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五是幸福河湖建设。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县第一总河长、总河长联合签发总河长令《关于开展幸福河湖建设的决定》，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在潘河（城区段）幸建设市级幸福河湖长度为 7.1km。多次召开工作推进会，并委托河南德嵘水利工程设计有限公司编制了《方城县潘河（城区段）市级幸福河湖建设方案》，从水安全、水资源、水环境、水生态、水文 化及水管理六个方面对现状进行了评估分析并提出建设任务,科学指导方城县潘河（城区段）幸福河湖建设，稳步推进幸福河湖建设，提升河湖管理保护水平。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六是河湖健康评价。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根据</w:t>
      </w:r>
      <w:r>
        <w:rPr>
          <w:rFonts w:hint="eastAsia" w:ascii="仿宋" w:hAnsi="仿宋" w:eastAsia="仿宋" w:cs="仿宋"/>
          <w:w w:val="95"/>
          <w:sz w:val="32"/>
          <w:szCs w:val="24"/>
        </w:rPr>
        <w:t>《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南阳市</w:t>
      </w:r>
      <w:r>
        <w:rPr>
          <w:rFonts w:hint="eastAsia" w:ascii="仿宋" w:hAnsi="仿宋" w:eastAsia="仿宋" w:cs="仿宋"/>
          <w:w w:val="95"/>
          <w:sz w:val="32"/>
          <w:szCs w:val="24"/>
        </w:rPr>
        <w:t>河长制办公室关于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扎实做好</w:t>
      </w:r>
      <w:r>
        <w:rPr>
          <w:rFonts w:hint="eastAsia" w:ascii="仿宋" w:hAnsi="仿宋" w:eastAsia="仿宋" w:cs="仿宋"/>
          <w:w w:val="95"/>
          <w:sz w:val="32"/>
          <w:szCs w:val="24"/>
        </w:rPr>
        <w:t>河湖健康评价建立河湖健康档案工作的通知》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（宛河办</w:t>
      </w:r>
      <w:r>
        <w:rPr>
          <w:rFonts w:hint="eastAsia" w:ascii="仿宋" w:hAnsi="仿宋" w:eastAsia="仿宋" w:cs="仿宋"/>
          <w:w w:val="95"/>
          <w:sz w:val="32"/>
          <w:szCs w:val="24"/>
        </w:rPr>
        <w:t>〔2023〕</w:t>
      </w:r>
      <w:r>
        <w:rPr>
          <w:rFonts w:hint="eastAsia" w:ascii="仿宋" w:hAnsi="仿宋" w:eastAsia="仿宋" w:cs="仿宋"/>
          <w:w w:val="95"/>
          <w:sz w:val="32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w w:val="95"/>
          <w:sz w:val="32"/>
          <w:szCs w:val="24"/>
        </w:rPr>
        <w:t>号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）和</w:t>
      </w:r>
      <w:r>
        <w:rPr>
          <w:rFonts w:hint="eastAsia" w:ascii="仿宋" w:hAnsi="仿宋" w:eastAsia="仿宋" w:cs="仿宋"/>
          <w:w w:val="95"/>
          <w:sz w:val="32"/>
          <w:szCs w:val="24"/>
        </w:rPr>
        <w:t>《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南阳市</w:t>
      </w:r>
      <w:r>
        <w:rPr>
          <w:rFonts w:hint="eastAsia" w:ascii="仿宋" w:hAnsi="仿宋" w:eastAsia="仿宋" w:cs="仿宋"/>
          <w:w w:val="95"/>
          <w:sz w:val="32"/>
          <w:szCs w:val="24"/>
        </w:rPr>
        <w:t>河长制办公室关于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加快推进</w:t>
      </w:r>
      <w:r>
        <w:rPr>
          <w:rFonts w:hint="eastAsia" w:ascii="仿宋" w:hAnsi="仿宋" w:eastAsia="仿宋" w:cs="仿宋"/>
          <w:w w:val="95"/>
          <w:sz w:val="32"/>
          <w:szCs w:val="24"/>
        </w:rPr>
        <w:t>河湖健康评价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相关工作</w:t>
      </w:r>
      <w:r>
        <w:rPr>
          <w:rFonts w:hint="eastAsia" w:ascii="仿宋" w:hAnsi="仿宋" w:eastAsia="仿宋" w:cs="仿宋"/>
          <w:w w:val="95"/>
          <w:sz w:val="32"/>
          <w:szCs w:val="24"/>
        </w:rPr>
        <w:t>的通知》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（宛河办</w:t>
      </w:r>
      <w:r>
        <w:rPr>
          <w:rFonts w:hint="eastAsia" w:ascii="仿宋" w:hAnsi="仿宋" w:eastAsia="仿宋" w:cs="仿宋"/>
          <w:w w:val="95"/>
          <w:sz w:val="32"/>
          <w:szCs w:val="24"/>
        </w:rPr>
        <w:t>〔2023〕</w:t>
      </w:r>
      <w:r>
        <w:rPr>
          <w:rFonts w:hint="eastAsia" w:ascii="仿宋" w:hAnsi="仿宋" w:eastAsia="仿宋" w:cs="仿宋"/>
          <w:w w:val="95"/>
          <w:sz w:val="32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w w:val="95"/>
          <w:sz w:val="32"/>
          <w:szCs w:val="24"/>
        </w:rPr>
        <w:t>号</w:t>
      </w:r>
      <w:r>
        <w:rPr>
          <w:rFonts w:hint="eastAsia" w:ascii="仿宋" w:hAnsi="仿宋" w:eastAsia="仿宋" w:cs="仿宋"/>
          <w:w w:val="95"/>
          <w:sz w:val="32"/>
          <w:szCs w:val="24"/>
          <w:lang w:eastAsia="zh-CN"/>
        </w:rPr>
        <w:t>）要求，</w:t>
      </w:r>
      <w:r>
        <w:rPr>
          <w:rFonts w:hint="eastAsia" w:ascii="仿宋" w:hAnsi="仿宋" w:eastAsia="仿宋" w:cs="仿宋"/>
          <w:spacing w:val="-7"/>
          <w:sz w:val="32"/>
          <w:szCs w:val="24"/>
          <w:lang w:val="en-US" w:eastAsia="zh-CN"/>
        </w:rPr>
        <w:t>按照年初上报的2023年完成河湖健康评价6条河流，分别是</w:t>
      </w:r>
      <w:r>
        <w:rPr>
          <w:rFonts w:hint="eastAsia" w:ascii="仿宋" w:hAnsi="仿宋" w:eastAsia="仿宋" w:cs="仿宋"/>
          <w:w w:val="95"/>
          <w:sz w:val="32"/>
          <w:szCs w:val="24"/>
          <w:lang w:val="en-US" w:eastAsia="zh-CN"/>
        </w:rPr>
        <w:t>相公河、狼牙河、柳河、夏河、清河、老潘河</w:t>
      </w:r>
      <w:r>
        <w:rPr>
          <w:rFonts w:hint="eastAsia" w:ascii="仿宋" w:hAnsi="仿宋" w:eastAsia="仿宋" w:cs="仿宋"/>
          <w:spacing w:val="-7"/>
          <w:sz w:val="32"/>
          <w:szCs w:val="24"/>
          <w:lang w:val="en-US" w:eastAsia="zh-CN"/>
        </w:rPr>
        <w:t>。目前已按期完成河湖的健康评价和健康档案工作。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（三）坚持责任导向，确保河湖监管严谨化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仿宋_GB2312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一是从严履责。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河长负责、部门担责、河长办督责的责任体系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拧紧“守河有责、护河担责、治河尽责”链条，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压紧压实各级河长责任，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力促河长制从“有实”变“有为”。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二是全面考责。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印发《方城县大抓落实积分管理考核细则》，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将河长制工作纳入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月度积分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考核内容，科学运用考核结果，奖先惩后，追究责任，促进河长制工作深入开展。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跟踪问责。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力推行政执法与刑事司法有序衔接，实行生态环境损害责任终身追究制，对履职尽责不力、工作明显滞后或造成负面影响的河长、单位或个人，依法依规追责问责，以问责促尽责。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textAlignment w:val="auto"/>
        <w:rPr>
          <w:rFonts w:hint="default" w:ascii="黑体" w:hAnsi="黑体" w:eastAsia="黑体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  <w:lang w:val="en-US" w:eastAsia="zh-CN"/>
        </w:rPr>
        <w:t>三、2024年工作谋划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一是加强河长巡河力度。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zh-CN"/>
        </w:rPr>
        <w:t>坚持目标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导向、问题导向、结果导向，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把河长巡河作为落实河长制工作的有力抓手，加大各级河长巡河力度，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不断提高河湖治理保护水平。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zh-CN" w:eastAsia="zh-CN" w:bidi="ar-SA"/>
        </w:rPr>
        <w:t>二是组织开展专项行动。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瞄准河湖重点问题，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深入推进河湖“清四乱”常态化、规范化，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清存量、遏增量；通过多种有效途径，加大对河道“四乱”问题排查力度，建立台账、跟踪销号。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zh-CN" w:eastAsia="zh-CN" w:bidi="ar-SA"/>
        </w:rPr>
        <w:t>三是强化河道砂石管理。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持续深入开展打击非法采砂专项行动，坚决遏制问题反弹；不断加强和规范河道采砂管理，推行国有砂石公司规模化、规范化开采，坚决维护河道采砂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砂石市场秩序。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zh-CN" w:eastAsia="zh-CN" w:bidi="ar-SA"/>
        </w:rPr>
        <w:t>四是积极推进幸福河湖建设。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严格落实南阳市第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5号总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河长令《关于开展幸福河湖建设的决定》，根据《南阳市幸福河湖建设实施方案》的要求，推进潘河城区段幸福河湖建设，推动河湖管理保护全面提档升级。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五是全力实施河湖健康评价。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照省市要求，从2024年开始三年内完成我县第一次全国水利普查河湖名录内的25条河流健康评价及河湖健康档案建立工作。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六是加强宣传引导。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进一步拓宽宣传平台，创新利用宣传手段，积极引导社会力量、民间资本参与河湖治理保护，形成全民参与、部门联治、社会共治的河湖保护治理新格局。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2023年我县河长制工作稳步推进，虽然取得了一定的成绩，但距市委、市政府的要求和人民群众的期待还有一定差距和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不足。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2024年，我们将坚持以习近平生态文明思想为指导，以“四制四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化</w:t>
      </w:r>
      <w:r>
        <w:rPr>
          <w:rFonts w:hint="eastAsia" w:ascii="仿宋_GB2312" w:hAnsi="??_GB2312" w:eastAsia="仿宋_GB2312" w:cs="??_GB2312"/>
          <w:b w:val="0"/>
          <w:bCs w:val="0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新模式为统领，围绕河长制六大任务，聚焦河湖突出问题，不断完善工作机制，为建设水清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color w:val="000000"/>
          <w:sz w:val="32"/>
          <w:szCs w:val="32"/>
        </w:rPr>
        <w:t>岸绿大美南阳提供坚强保障，让人民群众享有更多地获得感、幸福感。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tabs>
          <w:tab w:val="left" w:pos="854"/>
          <w:tab w:val="left" w:pos="5963"/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right="-57" w:rightChars="-27"/>
        <w:jc w:val="center"/>
        <w:textAlignment w:val="auto"/>
        <w:rPr>
          <w:rFonts w:hint="eastAsia" w:ascii="仿宋_GB2312" w:hAnsi="仿宋" w:eastAsia="仿宋_GB2312" w:cs="仿宋"/>
          <w:spacing w:val="30"/>
          <w:sz w:val="32"/>
          <w:szCs w:val="32"/>
        </w:rPr>
      </w:pPr>
      <w:r>
        <w:rPr>
          <w:rFonts w:hint="eastAsia" w:ascii="仿宋_GB2312" w:hAnsi="仿宋" w:eastAsia="仿宋_GB2312" w:cs="仿宋"/>
          <w:spacing w:val="30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854"/>
          <w:tab w:val="left" w:pos="5963"/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right="-57" w:rightChars="-27"/>
        <w:jc w:val="center"/>
        <w:textAlignment w:val="auto"/>
        <w:rPr>
          <w:rFonts w:hint="eastAsia" w:ascii="仿宋_GB2312" w:hAnsi="仿宋" w:eastAsia="仿宋_GB2312" w:cs="仿宋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54"/>
          <w:tab w:val="left" w:pos="5963"/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right="-57" w:rightChars="-27"/>
        <w:jc w:val="center"/>
        <w:textAlignment w:val="auto"/>
        <w:rPr>
          <w:rFonts w:hint="eastAsia" w:ascii="仿宋_GB2312" w:hAnsi="仿宋" w:eastAsia="仿宋_GB2312" w:cs="仿宋"/>
          <w:spacing w:val="3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pacing w:val="3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pacing w:val="30"/>
          <w:sz w:val="32"/>
          <w:szCs w:val="32"/>
        </w:rPr>
        <w:t xml:space="preserve">    </w:t>
      </w:r>
    </w:p>
    <w:p>
      <w:pPr>
        <w:autoSpaceDE/>
        <w:autoSpaceDN/>
        <w:spacing w:before="0" w:after="0" w:line="240" w:lineRule="auto"/>
        <w:ind w:left="0" w:right="0" w:firstLine="210" w:firstLineChars="100"/>
        <w:jc w:val="left"/>
        <w:rPr>
          <w:rFonts w:hint="default"/>
          <w:b w:val="0"/>
          <w:bCs w:val="0"/>
          <w:lang w:val="en-US" w:eastAsia="zh-CN"/>
        </w:rPr>
      </w:pPr>
    </w:p>
    <w:p>
      <w:pPr>
        <w:pStyle w:val="2"/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b w:val="0"/>
          <w:bCs w:val="0"/>
          <w:lang w:val="en-US" w:eastAsia="zh-CN"/>
        </w:rPr>
      </w:pPr>
    </w:p>
    <w:p>
      <w:pPr>
        <w:pStyle w:val="2"/>
        <w:rPr>
          <w:rFonts w:hint="default"/>
          <w:b w:val="0"/>
          <w:bCs w:val="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17" w:bottom="1701" w:left="141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..嬀.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161925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2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b2J7dUAAAAHAQAADwAAAAAAAAABACAAAAAiAAAAZHJzL2Rvd25yZXYueG1sUEsB&#10;AhQAFAAAAAgAh07iQDCJEl4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jAxMDkxMjMwMzYyMTU5ZjVhOTRlZTBmMjNhMTcifQ=="/>
    <w:docVar w:name="KSO_WPS_MARK_KEY" w:val="29c9f471-3ad8-4829-a91a-07c1ed47a2f8"/>
  </w:docVars>
  <w:rsids>
    <w:rsidRoot w:val="3D1923CA"/>
    <w:rsid w:val="0008399B"/>
    <w:rsid w:val="000A5900"/>
    <w:rsid w:val="00220992"/>
    <w:rsid w:val="002C2833"/>
    <w:rsid w:val="003A09E5"/>
    <w:rsid w:val="003B0422"/>
    <w:rsid w:val="004F0F4E"/>
    <w:rsid w:val="00556BB7"/>
    <w:rsid w:val="008A5370"/>
    <w:rsid w:val="00946594"/>
    <w:rsid w:val="00AA3135"/>
    <w:rsid w:val="00BB730C"/>
    <w:rsid w:val="00BD78EA"/>
    <w:rsid w:val="00D50E4F"/>
    <w:rsid w:val="00E32D5A"/>
    <w:rsid w:val="00F00AF9"/>
    <w:rsid w:val="00F23E35"/>
    <w:rsid w:val="015C2B0C"/>
    <w:rsid w:val="02E01C47"/>
    <w:rsid w:val="02EB149D"/>
    <w:rsid w:val="02EB292B"/>
    <w:rsid w:val="041B68C4"/>
    <w:rsid w:val="042723D1"/>
    <w:rsid w:val="04912D27"/>
    <w:rsid w:val="0604717D"/>
    <w:rsid w:val="064D4A91"/>
    <w:rsid w:val="06781F50"/>
    <w:rsid w:val="068C54B9"/>
    <w:rsid w:val="073E53BF"/>
    <w:rsid w:val="08033CE1"/>
    <w:rsid w:val="0816483D"/>
    <w:rsid w:val="082779D0"/>
    <w:rsid w:val="09CA0F5B"/>
    <w:rsid w:val="0A36214C"/>
    <w:rsid w:val="0A8F226A"/>
    <w:rsid w:val="0BA61553"/>
    <w:rsid w:val="0C5114BF"/>
    <w:rsid w:val="0C572F92"/>
    <w:rsid w:val="0C6805B7"/>
    <w:rsid w:val="0C735804"/>
    <w:rsid w:val="0CB041D5"/>
    <w:rsid w:val="0CE40585"/>
    <w:rsid w:val="0DFA0187"/>
    <w:rsid w:val="0DFE5677"/>
    <w:rsid w:val="0E340CB9"/>
    <w:rsid w:val="0F334EAC"/>
    <w:rsid w:val="0FCF173A"/>
    <w:rsid w:val="101A606C"/>
    <w:rsid w:val="10675755"/>
    <w:rsid w:val="10923E54"/>
    <w:rsid w:val="11077419"/>
    <w:rsid w:val="111462EF"/>
    <w:rsid w:val="113B0990"/>
    <w:rsid w:val="11A77DD3"/>
    <w:rsid w:val="11E44B84"/>
    <w:rsid w:val="124D52FF"/>
    <w:rsid w:val="12AE2498"/>
    <w:rsid w:val="1303728B"/>
    <w:rsid w:val="14477AF7"/>
    <w:rsid w:val="145A112D"/>
    <w:rsid w:val="147527BF"/>
    <w:rsid w:val="14C50C9C"/>
    <w:rsid w:val="154431ED"/>
    <w:rsid w:val="17E551B2"/>
    <w:rsid w:val="184916A6"/>
    <w:rsid w:val="189C7F66"/>
    <w:rsid w:val="19D21766"/>
    <w:rsid w:val="1A226249"/>
    <w:rsid w:val="1B4331D3"/>
    <w:rsid w:val="1C224C26"/>
    <w:rsid w:val="1C330BE1"/>
    <w:rsid w:val="1C5D5C5E"/>
    <w:rsid w:val="1D8B2357"/>
    <w:rsid w:val="1DCD0813"/>
    <w:rsid w:val="1E0E3B95"/>
    <w:rsid w:val="1EBF050A"/>
    <w:rsid w:val="1EEE2B9E"/>
    <w:rsid w:val="206B1F7D"/>
    <w:rsid w:val="20A91472"/>
    <w:rsid w:val="219709C9"/>
    <w:rsid w:val="22E20C6B"/>
    <w:rsid w:val="23C27267"/>
    <w:rsid w:val="24F17D6C"/>
    <w:rsid w:val="259C77F7"/>
    <w:rsid w:val="26151358"/>
    <w:rsid w:val="276F38F7"/>
    <w:rsid w:val="28373F5D"/>
    <w:rsid w:val="286372BA"/>
    <w:rsid w:val="28EA2628"/>
    <w:rsid w:val="29123FDB"/>
    <w:rsid w:val="2A454BC0"/>
    <w:rsid w:val="2A587A65"/>
    <w:rsid w:val="2A636B36"/>
    <w:rsid w:val="2AF7727E"/>
    <w:rsid w:val="2BBC10D4"/>
    <w:rsid w:val="2C941A7D"/>
    <w:rsid w:val="2D1C121E"/>
    <w:rsid w:val="2D281D80"/>
    <w:rsid w:val="30D86739"/>
    <w:rsid w:val="313C1E8F"/>
    <w:rsid w:val="32075FF9"/>
    <w:rsid w:val="322C6888"/>
    <w:rsid w:val="323F1C36"/>
    <w:rsid w:val="326A2A2B"/>
    <w:rsid w:val="33803681"/>
    <w:rsid w:val="33ED121E"/>
    <w:rsid w:val="35CD6DD9"/>
    <w:rsid w:val="377C2FE5"/>
    <w:rsid w:val="383047CA"/>
    <w:rsid w:val="38915696"/>
    <w:rsid w:val="38D66725"/>
    <w:rsid w:val="39317DFF"/>
    <w:rsid w:val="39732F39"/>
    <w:rsid w:val="39BF540B"/>
    <w:rsid w:val="39D013C6"/>
    <w:rsid w:val="3A865F28"/>
    <w:rsid w:val="3AF37A62"/>
    <w:rsid w:val="3B720D7B"/>
    <w:rsid w:val="3C3E0812"/>
    <w:rsid w:val="3CBD4F57"/>
    <w:rsid w:val="3CCC056A"/>
    <w:rsid w:val="3D1923CA"/>
    <w:rsid w:val="3D4A148F"/>
    <w:rsid w:val="3EC86B10"/>
    <w:rsid w:val="40441FA7"/>
    <w:rsid w:val="40540B22"/>
    <w:rsid w:val="42A9532F"/>
    <w:rsid w:val="42E80618"/>
    <w:rsid w:val="43B92ECB"/>
    <w:rsid w:val="448B6123"/>
    <w:rsid w:val="449A00D4"/>
    <w:rsid w:val="45385BA0"/>
    <w:rsid w:val="45617CBE"/>
    <w:rsid w:val="45E05087"/>
    <w:rsid w:val="45EE1552"/>
    <w:rsid w:val="4764581D"/>
    <w:rsid w:val="476A1A82"/>
    <w:rsid w:val="48B9571B"/>
    <w:rsid w:val="496B4C67"/>
    <w:rsid w:val="4A495DD1"/>
    <w:rsid w:val="4A9F72BE"/>
    <w:rsid w:val="4AC24D5B"/>
    <w:rsid w:val="4AD14F9E"/>
    <w:rsid w:val="4C371778"/>
    <w:rsid w:val="4D551EB6"/>
    <w:rsid w:val="4FDD1AD8"/>
    <w:rsid w:val="517364CA"/>
    <w:rsid w:val="518A7661"/>
    <w:rsid w:val="52374280"/>
    <w:rsid w:val="52C143AB"/>
    <w:rsid w:val="535D6D55"/>
    <w:rsid w:val="53A771E4"/>
    <w:rsid w:val="54E577FA"/>
    <w:rsid w:val="5630160A"/>
    <w:rsid w:val="56C02A96"/>
    <w:rsid w:val="57892280"/>
    <w:rsid w:val="579D2DD8"/>
    <w:rsid w:val="5A650684"/>
    <w:rsid w:val="5A763514"/>
    <w:rsid w:val="5AFE3C1B"/>
    <w:rsid w:val="5BC07095"/>
    <w:rsid w:val="5BF62AB6"/>
    <w:rsid w:val="5F4A5B6F"/>
    <w:rsid w:val="5F4D50E3"/>
    <w:rsid w:val="5F88611B"/>
    <w:rsid w:val="601222BF"/>
    <w:rsid w:val="63A80957"/>
    <w:rsid w:val="64FF1DAD"/>
    <w:rsid w:val="65094097"/>
    <w:rsid w:val="675C3546"/>
    <w:rsid w:val="67FF7197"/>
    <w:rsid w:val="68442DFB"/>
    <w:rsid w:val="68AD09A1"/>
    <w:rsid w:val="69286279"/>
    <w:rsid w:val="695063DC"/>
    <w:rsid w:val="6A55309E"/>
    <w:rsid w:val="6A9A56E9"/>
    <w:rsid w:val="6AA54025"/>
    <w:rsid w:val="6AAD6A36"/>
    <w:rsid w:val="6C2D6CB2"/>
    <w:rsid w:val="6C95092E"/>
    <w:rsid w:val="6CAA3576"/>
    <w:rsid w:val="6CDB1F80"/>
    <w:rsid w:val="6CE81FA7"/>
    <w:rsid w:val="6D1E1E6D"/>
    <w:rsid w:val="6D260D22"/>
    <w:rsid w:val="6D9B526C"/>
    <w:rsid w:val="6E3B256F"/>
    <w:rsid w:val="6EE8132F"/>
    <w:rsid w:val="6F327E52"/>
    <w:rsid w:val="6FCC3E02"/>
    <w:rsid w:val="70057314"/>
    <w:rsid w:val="7148570A"/>
    <w:rsid w:val="71902C0D"/>
    <w:rsid w:val="731C29AB"/>
    <w:rsid w:val="736D76AA"/>
    <w:rsid w:val="739015EB"/>
    <w:rsid w:val="73B07CA1"/>
    <w:rsid w:val="73E75B8F"/>
    <w:rsid w:val="74AC7D5E"/>
    <w:rsid w:val="74AD0606"/>
    <w:rsid w:val="75736ACE"/>
    <w:rsid w:val="76946A82"/>
    <w:rsid w:val="77E43DF7"/>
    <w:rsid w:val="78AA0A59"/>
    <w:rsid w:val="78AF6D3C"/>
    <w:rsid w:val="78C741E1"/>
    <w:rsid w:val="790E2D96"/>
    <w:rsid w:val="794B7B21"/>
    <w:rsid w:val="79A454A8"/>
    <w:rsid w:val="7A1C5986"/>
    <w:rsid w:val="7ABB0CFB"/>
    <w:rsid w:val="7BFE17E7"/>
    <w:rsid w:val="7C09018C"/>
    <w:rsid w:val="7E5751DF"/>
    <w:rsid w:val="7EB24FEC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99"/>
    <w:pPr>
      <w:spacing w:line="600" w:lineRule="exact"/>
      <w:ind w:firstLine="724" w:firstLineChars="200"/>
    </w:pPr>
    <w:rPr>
      <w:rFonts w:ascii="仿宋_GB2312" w:hAnsi="仿宋_GB2312"/>
    </w:rPr>
  </w:style>
  <w:style w:type="paragraph" w:styleId="3">
    <w:name w:val="Normal Indent"/>
    <w:basedOn w:val="1"/>
    <w:autoRedefine/>
    <w:qFormat/>
    <w:uiPriority w:val="99"/>
    <w:pPr>
      <w:ind w:firstLine="420" w:firstLineChars="200"/>
    </w:pPr>
  </w:style>
  <w:style w:type="paragraph" w:styleId="4">
    <w:name w:val="Body Text Indent"/>
    <w:next w:val="5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envelope return"/>
    <w:autoRedefine/>
    <w:qFormat/>
    <w:uiPriority w:val="99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next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autoRedefine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12">
    <w:name w:val="page number"/>
    <w:basedOn w:val="11"/>
    <w:autoRedefine/>
    <w:qFormat/>
    <w:uiPriority w:val="99"/>
    <w:rPr>
      <w:rFonts w:cs="Times New Roman"/>
    </w:rPr>
  </w:style>
  <w:style w:type="character" w:styleId="13">
    <w:name w:val="Emphasis"/>
    <w:basedOn w:val="11"/>
    <w:autoRedefine/>
    <w:qFormat/>
    <w:uiPriority w:val="99"/>
    <w:rPr>
      <w:rFonts w:cs="Times New Roman"/>
      <w:i/>
    </w:rPr>
  </w:style>
  <w:style w:type="paragraph" w:customStyle="1" w:styleId="14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文星仿宋..嬀." w:hAnsi="文星仿宋..嬀." w:eastAsia="文星仿宋..嬀.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5">
    <w:name w:val="Body Text Char"/>
    <w:basedOn w:val="11"/>
    <w:link w:val="2"/>
    <w:autoRedefine/>
    <w:semiHidden/>
    <w:qFormat/>
    <w:uiPriority w:val="99"/>
    <w:rPr>
      <w:rFonts w:ascii="Calibri" w:hAnsi="Calibri"/>
      <w:szCs w:val="24"/>
    </w:rPr>
  </w:style>
  <w:style w:type="character" w:customStyle="1" w:styleId="16">
    <w:name w:val="Footer Char"/>
    <w:basedOn w:val="11"/>
    <w:link w:val="6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Header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无间隔1"/>
    <w:autoRedefine/>
    <w:qFormat/>
    <w:uiPriority w:val="99"/>
    <w:pPr>
      <w:jc w:val="both"/>
    </w:pPr>
    <w:rPr>
      <w:rFonts w:ascii="Calibri" w:hAnsi="Calibri" w:eastAsia="宋体" w:cs="黑体"/>
      <w:kern w:val="0"/>
      <w:sz w:val="28"/>
      <w:szCs w:val="28"/>
      <w:lang w:val="en-US" w:eastAsia="zh-CN" w:bidi="ar-SA"/>
    </w:rPr>
  </w:style>
  <w:style w:type="paragraph" w:customStyle="1" w:styleId="19">
    <w:name w:val="5正文"/>
    <w:autoRedefine/>
    <w:qFormat/>
    <w:uiPriority w:val="99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customStyle="1" w:styleId="20">
    <w:name w:val="UserStyle_0"/>
    <w:basedOn w:val="1"/>
    <w:autoRedefine/>
    <w:qFormat/>
    <w:uiPriority w:val="0"/>
    <w:pPr>
      <w:widowControl/>
      <w:jc w:val="left"/>
      <w:textAlignment w:val="baseline"/>
    </w:pPr>
    <w:rPr>
      <w:rFonts w:ascii="文星仿宋..嬀." w:hAnsi="文星仿宋..嬀." w:eastAsia="宋体" w:cs="宋体"/>
      <w:color w:val="000000"/>
      <w:kern w:val="0"/>
      <w:sz w:val="24"/>
      <w:szCs w:val="24"/>
    </w:rPr>
  </w:style>
  <w:style w:type="paragraph" w:customStyle="1" w:styleId="21">
    <w:name w:val="Char Char2 Char Char"/>
    <w:semiHidden/>
    <w:qFormat/>
    <w:uiPriority w:val="0"/>
    <w:pPr>
      <w:widowControl/>
      <w:spacing w:line="360" w:lineRule="auto"/>
      <w:jc w:val="left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2212</Words>
  <Characters>2276</Characters>
  <Lines>0</Lines>
  <Paragraphs>0</Paragraphs>
  <TotalTime>1</TotalTime>
  <ScaleCrop>false</ScaleCrop>
  <LinksUpToDate>false</LinksUpToDate>
  <CharactersWithSpaces>2418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2022-08-05T00:44:00Z</dcterms:created>
  <dc:creator>Administrator</dc:creator>
  <cp:lastModifiedBy>WPS_777271905</cp:lastModifiedBy>
  <cp:lastPrinted>2022-08-05T08:46:00Z</cp:lastPrinted>
  <dcterms:modified xsi:type="dcterms:W3CDTF">2024-01-14T01:42:00Z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31034339C7F04B48AA4826B0CC97BC0A</vt:lpwstr>
  </property>
</Properties>
</file>