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890" w:tblpY="2100"/>
        <w:tblOverlap w:val="never"/>
        <w:tblW w:w="8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677"/>
        <w:gridCol w:w="823"/>
        <w:gridCol w:w="1299"/>
        <w:gridCol w:w="1013"/>
        <w:gridCol w:w="1261"/>
        <w:gridCol w:w="1476"/>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政策</w:t>
            </w:r>
          </w:p>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类别</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政策内容</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政策措施</w:t>
            </w:r>
          </w:p>
        </w:tc>
        <w:tc>
          <w:tcPr>
            <w:tcW w:w="10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政策获取方式</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政策来源</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政策支持</w:t>
            </w:r>
          </w:p>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范围</w:t>
            </w: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政策目标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特困行业客户用电阶段性优惠政策</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特困行业客户用电阶段性优惠政策</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“对行业范围及用电场景为餐饮业、零售业、旅游业、 民航业、公路水路铁路运输业等五个特困行业，在2022年6月 1日-2022年8月31日用电量对应电度电费，按照电度电价的95%进行结算”</w:t>
            </w:r>
          </w:p>
        </w:tc>
        <w:tc>
          <w:tcPr>
            <w:tcW w:w="10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zh-CN" w:eastAsia="zh-CN" w:bidi="ar"/>
              </w:rPr>
              <w:t>网上国网、扫码申报、供电营业厅等3种渠道， 自2022年7月 1日起由用户进行自行申报。</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《关于对特困行业实行用电阶段性优惠的通知》（豫发改价管〔2022〕501号）</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“对行业范围及用电场景为餐饮业、零售业、旅游业、 民航业、公路水路铁路运输业等五个特困行业，在2022年6月 1日-2022年8月31日用电量对应电度电费，按照电度电价的95%进行结算”</w:t>
            </w: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“对行业范围及用电场景为餐饮业、零售业、旅游业、 民航业、公路水路铁路运输业等五个特困行业，在2022年6月 1日-2022年8月31日用电量对应电度电费，按照电度电价的95%进行结算”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支持企业春节前后稳岗稳产</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电价优惠政策</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“支持企业连续生产、错峰用电，对执行分时电价的工业企业实施阶段性用电优惠”。</w:t>
            </w:r>
          </w:p>
        </w:tc>
        <w:tc>
          <w:tcPr>
            <w:tcW w:w="10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《河南省人民政府办公厅关于印发支持企业春节前后稳岗稳产若干政策措施的通知》(豫政办明电(2023]2号)</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“支持企业连续生产、错峰用电，对执行分时电价的工业企业实施阶段性用电优惠”。</w:t>
            </w: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“支持企业连续生产、错峰用电，对执行分时电价的工业企业实施阶段性用电优惠”。</w:t>
            </w:r>
          </w:p>
        </w:tc>
      </w:tr>
    </w:tbl>
    <w:p>
      <w:pPr>
        <w:spacing w:beforeLines="0" w:afterLines="0"/>
        <w:ind w:left="150"/>
        <w:jc w:val="center"/>
        <w:rPr>
          <w:rFonts w:hint="eastAsia" w:ascii="宋体" w:hAnsi="宋体" w:eastAsia="宋体"/>
          <w:b/>
          <w:bCs/>
          <w:color w:val="000000"/>
          <w:sz w:val="32"/>
          <w:szCs w:val="22"/>
          <w:lang w:val="en-US" w:eastAsia="zh-CN"/>
        </w:rPr>
      </w:pPr>
      <w:r>
        <w:rPr>
          <w:rFonts w:hint="eastAsia" w:ascii="宋体" w:hAnsi="宋体"/>
          <w:b/>
          <w:bCs/>
          <w:color w:val="000000"/>
          <w:sz w:val="32"/>
          <w:szCs w:val="22"/>
          <w:lang w:val="en-US" w:eastAsia="zh-CN"/>
        </w:rPr>
        <w:t>国网方城县供电公司惠企政策清单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B2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2023-03-28T02:11:42Z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