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0" w:beforeAutospacing="0" w:after="300" w:afterAutospacing="0" w:line="570" w:lineRule="atLeast"/>
        <w:ind w:left="0" w:right="0" w:firstLine="0"/>
        <w:jc w:val="center"/>
        <w:rPr>
          <w:rFonts w:ascii="微软雅黑" w:hAnsi="微软雅黑" w:eastAsia="微软雅黑" w:cs="微软雅黑"/>
          <w:b/>
          <w:bCs/>
          <w:i w:val="0"/>
          <w:iCs w:val="0"/>
          <w:caps w:val="0"/>
          <w:color w:val="C31606"/>
          <w:spacing w:val="0"/>
          <w:sz w:val="45"/>
          <w:szCs w:val="45"/>
        </w:rPr>
      </w:pPr>
      <w:r>
        <w:rPr>
          <w:rFonts w:hint="eastAsia" w:ascii="微软雅黑" w:hAnsi="微软雅黑" w:eastAsia="微软雅黑" w:cs="微软雅黑"/>
          <w:b/>
          <w:bCs/>
          <w:i w:val="0"/>
          <w:iCs w:val="0"/>
          <w:caps w:val="0"/>
          <w:color w:val="C31606"/>
          <w:spacing w:val="0"/>
          <w:sz w:val="45"/>
          <w:szCs w:val="45"/>
          <w:shd w:val="clear" w:fill="FFFFFF"/>
          <w:lang w:val="en-US" w:eastAsia="zh-CN"/>
        </w:rPr>
        <w:t>关</w:t>
      </w:r>
      <w:r>
        <w:rPr>
          <w:rFonts w:hint="eastAsia" w:ascii="微软雅黑" w:hAnsi="微软雅黑" w:eastAsia="微软雅黑" w:cs="微软雅黑"/>
          <w:b/>
          <w:bCs/>
          <w:i w:val="0"/>
          <w:iCs w:val="0"/>
          <w:caps w:val="0"/>
          <w:color w:val="C31606"/>
          <w:spacing w:val="0"/>
          <w:sz w:val="45"/>
          <w:szCs w:val="45"/>
          <w:shd w:val="clear" w:fill="FFFFFF"/>
        </w:rPr>
        <w:t>于印发</w:t>
      </w:r>
      <w:r>
        <w:rPr>
          <w:rFonts w:hint="eastAsia" w:ascii="微软雅黑" w:hAnsi="微软雅黑" w:eastAsia="微软雅黑" w:cs="微软雅黑"/>
          <w:b/>
          <w:bCs/>
          <w:i w:val="0"/>
          <w:iCs w:val="0"/>
          <w:caps w:val="0"/>
          <w:color w:val="C31606"/>
          <w:spacing w:val="0"/>
          <w:sz w:val="45"/>
          <w:szCs w:val="45"/>
          <w:shd w:val="clear" w:fill="FFFFFF"/>
          <w:lang w:eastAsia="zh-CN"/>
        </w:rPr>
        <w:t>方城县</w:t>
      </w:r>
      <w:r>
        <w:rPr>
          <w:rFonts w:hint="eastAsia" w:ascii="微软雅黑" w:hAnsi="微软雅黑" w:eastAsia="微软雅黑" w:cs="微软雅黑"/>
          <w:b/>
          <w:bCs/>
          <w:i w:val="0"/>
          <w:iCs w:val="0"/>
          <w:caps w:val="0"/>
          <w:color w:val="C31606"/>
          <w:spacing w:val="0"/>
          <w:sz w:val="45"/>
          <w:szCs w:val="45"/>
          <w:shd w:val="clear" w:fill="FFFFFF"/>
        </w:rPr>
        <w:t>企业外线电力设施建设专项资金管理办法（试行）的通知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both"/>
        <w:rPr>
          <w:rFonts w:ascii="Calibri" w:hAnsi="Calibri" w:cs="Calibri"/>
          <w:sz w:val="32"/>
          <w:szCs w:val="32"/>
        </w:rPr>
      </w:pPr>
      <w:r>
        <w:rPr>
          <w:rFonts w:ascii="仿宋_GB2312" w:hAnsi="Calibri" w:eastAsia="仿宋_GB2312" w:cs="仿宋_GB2312"/>
          <w:i w:val="0"/>
          <w:iCs w:val="0"/>
          <w:caps w:val="0"/>
          <w:color w:val="333333"/>
          <w:spacing w:val="0"/>
          <w:kern w:val="0"/>
          <w:sz w:val="32"/>
          <w:szCs w:val="32"/>
          <w:shd w:val="clear" w:fill="FFFFFF"/>
          <w:lang w:val="en-US" w:eastAsia="zh-CN" w:bidi="ar"/>
        </w:rPr>
        <w:t>国网</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ascii="仿宋_GB2312" w:hAnsi="Calibri" w:eastAsia="仿宋_GB2312" w:cs="仿宋_GB2312"/>
          <w:i w:val="0"/>
          <w:iCs w:val="0"/>
          <w:caps w:val="0"/>
          <w:color w:val="333333"/>
          <w:spacing w:val="0"/>
          <w:kern w:val="0"/>
          <w:sz w:val="32"/>
          <w:szCs w:val="32"/>
          <w:shd w:val="clear" w:fill="FFFFFF"/>
          <w:lang w:val="en-US" w:eastAsia="zh-CN" w:bidi="ar"/>
        </w:rPr>
        <w:t>供电公司，各有关单位：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经</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政府同意，现将《</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企业外线电力设施建设专项资金管理办法》（试行）印发给你们，请遵照执行。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jc w:val="both"/>
        <w:rPr>
          <w:rFonts w:hint="default" w:ascii="Calibri" w:hAnsi="Calibri" w:cs="Calibri"/>
          <w:sz w:val="32"/>
          <w:szCs w:val="32"/>
        </w:rPr>
      </w:pP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财政局</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right="0"/>
        <w:jc w:val="both"/>
        <w:rPr>
          <w:rFonts w:hint="default" w:ascii="Calibri" w:hAnsi="Calibri" w:cs="Calibri"/>
          <w:sz w:val="32"/>
          <w:szCs w:val="32"/>
        </w:rPr>
      </w:pP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发展和改革委员会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2841"/>
        <w:jc w:val="both"/>
        <w:rPr>
          <w:rFonts w:hint="eastAsia" w:ascii="宋体" w:hAnsi="宋体" w:eastAsia="宋体" w:cs="宋体"/>
          <w:i w:val="0"/>
          <w:iCs w:val="0"/>
          <w:caps w:val="0"/>
          <w:color w:val="333333"/>
          <w:spacing w:val="0"/>
          <w:kern w:val="0"/>
          <w:sz w:val="32"/>
          <w:szCs w:val="32"/>
          <w:shd w:val="clear" w:fill="FFFFFF"/>
          <w:lang w:val="en-US" w:eastAsia="zh-CN" w:bidi="ar"/>
        </w:rPr>
      </w:pPr>
      <w:r>
        <w:rPr>
          <w:rFonts w:hint="eastAsia" w:ascii="宋体" w:hAnsi="宋体" w:eastAsia="宋体" w:cs="宋体"/>
          <w:i w:val="0"/>
          <w:iCs w:val="0"/>
          <w:caps w:val="0"/>
          <w:color w:val="333333"/>
          <w:spacing w:val="0"/>
          <w:kern w:val="0"/>
          <w:sz w:val="32"/>
          <w:szCs w:val="32"/>
          <w:shd w:val="clear" w:fill="FFFFFF"/>
          <w:lang w:val="en-US" w:eastAsia="zh-CN" w:bidi="ar"/>
        </w:rPr>
        <w:t>          </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　</w:t>
      </w:r>
      <w:r>
        <w:rPr>
          <w:rFonts w:hint="eastAsia" w:ascii="宋体" w:hAnsi="宋体" w:eastAsia="宋体" w:cs="宋体"/>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2841"/>
        <w:jc w:val="both"/>
        <w:rPr>
          <w:rFonts w:hint="default" w:ascii="Calibri" w:hAnsi="Calibri" w:cs="Calibri"/>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 2022</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年</w:t>
      </w:r>
      <w:r>
        <w:rPr>
          <w:rFonts w:hint="eastAsia" w:ascii="宋体" w:hAnsi="宋体" w:eastAsia="宋体" w:cs="宋体"/>
          <w:i w:val="0"/>
          <w:iCs w:val="0"/>
          <w:caps w:val="0"/>
          <w:color w:val="333333"/>
          <w:spacing w:val="0"/>
          <w:kern w:val="0"/>
          <w:sz w:val="32"/>
          <w:szCs w:val="32"/>
          <w:shd w:val="clear" w:fill="FFFFFF"/>
          <w:lang w:val="en-US" w:eastAsia="zh-CN" w:bidi="ar"/>
        </w:rPr>
        <w:t>8</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月</w:t>
      </w:r>
      <w:r>
        <w:rPr>
          <w:rFonts w:hint="eastAsia" w:ascii="宋体" w:hAnsi="宋体" w:eastAsia="宋体" w:cs="宋体"/>
          <w:i w:val="0"/>
          <w:iCs w:val="0"/>
          <w:caps w:val="0"/>
          <w:color w:val="333333"/>
          <w:spacing w:val="0"/>
          <w:kern w:val="0"/>
          <w:sz w:val="32"/>
          <w:szCs w:val="32"/>
          <w:shd w:val="clear" w:fill="FFFFFF"/>
          <w:lang w:val="en-US" w:eastAsia="zh-CN" w:bidi="ar"/>
        </w:rPr>
        <w:t>1</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　　（此件主动公开）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654" w:beforeAutospacing="0" w:after="0" w:afterAutospacing="0" w:line="480" w:lineRule="atLeast"/>
        <w:ind w:left="0" w:right="0"/>
        <w:jc w:val="both"/>
        <w:rPr>
          <w:rFonts w:hint="eastAsia" w:ascii="宋体" w:hAnsi="宋体" w:eastAsia="宋体" w:cs="宋体"/>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654" w:beforeAutospacing="0" w:after="0" w:afterAutospacing="0" w:line="480" w:lineRule="atLeast"/>
        <w:ind w:left="0" w:right="0"/>
        <w:jc w:val="both"/>
        <w:rPr>
          <w:rFonts w:hint="eastAsia" w:ascii="宋体" w:hAnsi="宋体" w:eastAsia="宋体" w:cs="宋体"/>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Calibri" w:hAnsi="Calibri" w:cs="Calibri"/>
          <w:sz w:val="32"/>
          <w:szCs w:val="32"/>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方城县</w:t>
      </w:r>
      <w:r>
        <w:rPr>
          <w:rFonts w:hint="default"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企业外线电力设施建设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Calibri" w:hAnsi="Calibri" w:cs="Calibri"/>
          <w:sz w:val="32"/>
          <w:szCs w:val="32"/>
        </w:rPr>
      </w:pPr>
      <w:r>
        <w:rPr>
          <w:rFonts w:hint="default"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专项资金管理办法（试行）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jc w:val="center"/>
        <w:rPr>
          <w:rFonts w:hint="default" w:ascii="Calibri" w:hAnsi="Calibri" w:cs="Calibri"/>
          <w:sz w:val="32"/>
          <w:szCs w:val="32"/>
        </w:rPr>
      </w:pPr>
      <w:r>
        <w:rPr>
          <w:rFonts w:hint="default"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center"/>
        <w:rPr>
          <w:rFonts w:hint="default" w:ascii="Calibri" w:hAnsi="Calibri" w:cs="Calibri"/>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第一章 </w:t>
      </w:r>
      <w:r>
        <w:rPr>
          <w:rFonts w:ascii="黑体" w:hAnsi="宋体" w:eastAsia="黑体" w:cs="黑体"/>
          <w:i w:val="0"/>
          <w:iCs w:val="0"/>
          <w:caps w:val="0"/>
          <w:color w:val="333333"/>
          <w:spacing w:val="0"/>
          <w:kern w:val="0"/>
          <w:sz w:val="32"/>
          <w:szCs w:val="32"/>
          <w:shd w:val="clear" w:fill="FFFFFF"/>
          <w:lang w:val="en-US" w:eastAsia="zh-CN" w:bidi="ar"/>
        </w:rPr>
        <w:t>总则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14" w:right="0" w:firstLine="640"/>
        <w:jc w:val="both"/>
        <w:rPr>
          <w:rFonts w:hint="default" w:ascii="Calibri" w:hAnsi="Calibri" w:cs="Calibri"/>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第一条 </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为持续优化提升营商环境，扶持</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新增用电容量</w:t>
      </w:r>
      <w:r>
        <w:rPr>
          <w:rFonts w:hint="eastAsia" w:ascii="宋体" w:hAnsi="宋体" w:eastAsia="宋体" w:cs="宋体"/>
          <w:i w:val="0"/>
          <w:iCs w:val="0"/>
          <w:caps w:val="0"/>
          <w:color w:val="333333"/>
          <w:spacing w:val="0"/>
          <w:kern w:val="0"/>
          <w:sz w:val="32"/>
          <w:szCs w:val="32"/>
          <w:shd w:val="clear" w:fill="FFFFFF"/>
          <w:lang w:val="en-US" w:eastAsia="zh-CN" w:bidi="ar"/>
        </w:rPr>
        <w:t>630</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千伏</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安及以下企业外线电力设施建设，根据</w:t>
      </w:r>
      <w:r>
        <w:rPr>
          <w:rFonts w:hint="eastAsia" w:ascii="仿宋_GB2312" w:hAnsi="Calibri" w:eastAsia="仿宋_GB2312" w:cs="仿宋_GB2312"/>
          <w:i w:val="0"/>
          <w:iCs w:val="0"/>
          <w:caps w:val="0"/>
          <w:color w:val="333333"/>
          <w:spacing w:val="0"/>
          <w:kern w:val="0"/>
          <w:sz w:val="32"/>
          <w:szCs w:val="32"/>
          <w:shd w:val="clear" w:fill="FFFFFF"/>
          <w:lang w:val="zh-CN" w:eastAsia="zh-CN" w:bidi="ar"/>
        </w:rPr>
        <w:t>《方城县电力接入工程费用分担机制实施办法（试行）的通知》（方发改〔2022〕70号）</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文件精神，制定本办法。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14" w:right="0" w:firstLine="640"/>
        <w:jc w:val="both"/>
        <w:rPr>
          <w:rFonts w:hint="default" w:ascii="Calibri" w:hAnsi="Calibri" w:cs="Calibri"/>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第二条 </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本专项资金由</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财政安排，用于补助国网</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供电公司为我</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企业（不含</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负面清单企业、行政事业单位、国有企业、集团分公司）办理新装</w:t>
      </w:r>
      <w:r>
        <w:rPr>
          <w:rFonts w:hint="eastAsia" w:ascii="宋体" w:hAnsi="宋体" w:eastAsia="宋体" w:cs="宋体"/>
          <w:i w:val="0"/>
          <w:iCs w:val="0"/>
          <w:caps w:val="0"/>
          <w:color w:val="333333"/>
          <w:spacing w:val="0"/>
          <w:kern w:val="0"/>
          <w:sz w:val="32"/>
          <w:szCs w:val="32"/>
          <w:shd w:val="clear" w:fill="FFFFFF"/>
          <w:lang w:val="en-US" w:eastAsia="zh-CN" w:bidi="ar"/>
        </w:rPr>
        <w:t>10</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千伏用电容量</w:t>
      </w:r>
      <w:r>
        <w:rPr>
          <w:rFonts w:hint="eastAsia" w:ascii="宋体" w:hAnsi="宋体" w:eastAsia="宋体" w:cs="宋体"/>
          <w:i w:val="0"/>
          <w:iCs w:val="0"/>
          <w:caps w:val="0"/>
          <w:color w:val="333333"/>
          <w:spacing w:val="0"/>
          <w:kern w:val="0"/>
          <w:sz w:val="32"/>
          <w:szCs w:val="32"/>
          <w:shd w:val="clear" w:fill="FFFFFF"/>
          <w:lang w:val="en-US" w:eastAsia="zh-CN" w:bidi="ar"/>
        </w:rPr>
        <w:t>630</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千伏安及以下非高耗能永久性用电（不含基建用电、增容用电、小区配套项目）的外接电力设施建设，以及因项目管理需要发生的招投标、审计监督、绩效评价等费用支出。省级及以上工业园区、电能替代、电动汽车充换电设施、</w:t>
      </w:r>
      <w:r>
        <w:rPr>
          <w:rFonts w:hint="eastAsia" w:ascii="宋体" w:hAnsi="宋体" w:eastAsia="宋体" w:cs="宋体"/>
          <w:i w:val="0"/>
          <w:iCs w:val="0"/>
          <w:caps w:val="0"/>
          <w:color w:val="333333"/>
          <w:spacing w:val="0"/>
          <w:kern w:val="0"/>
          <w:sz w:val="32"/>
          <w:szCs w:val="32"/>
          <w:shd w:val="clear" w:fill="FFFFFF"/>
          <w:lang w:val="en-US" w:eastAsia="zh-CN" w:bidi="ar"/>
        </w:rPr>
        <w:t>160kW</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及以下小微企业等由国网</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供电公司出资建设到用户红线。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(备注：国有企业指国有独资以及国有绝对控股企业；集团企业分公司指集团企业在</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设立的不具有独立法人资格的分支机构。</w:t>
      </w:r>
      <w:r>
        <w:rPr>
          <w:rFonts w:hint="eastAsia" w:ascii="宋体" w:hAnsi="宋体" w:eastAsia="宋体" w:cs="宋体"/>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14" w:right="0" w:firstLine="640"/>
        <w:jc w:val="both"/>
        <w:rPr>
          <w:rFonts w:hint="default" w:ascii="Calibri" w:hAnsi="Calibri" w:cs="Calibri"/>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第三条 </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专项资金使用应当符合国家、省、市产业政策、产业规划和市场准入条件，符合财政预算管理的有关规定。遵循公开透明、突出重点、科学安排、注重实效、专款专用、依法监督的原则，促进中小微企业发展，营造良好的营商环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center"/>
        <w:rPr>
          <w:rFonts w:hint="default" w:ascii="Calibri" w:hAnsi="Calibri" w:cs="Calibri"/>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第二章 </w:t>
      </w:r>
      <w:r>
        <w:rPr>
          <w:rFonts w:hint="eastAsia" w:ascii="黑体" w:hAnsi="宋体" w:eastAsia="黑体" w:cs="黑体"/>
          <w:i w:val="0"/>
          <w:iCs w:val="0"/>
          <w:caps w:val="0"/>
          <w:color w:val="333333"/>
          <w:spacing w:val="0"/>
          <w:kern w:val="0"/>
          <w:sz w:val="32"/>
          <w:szCs w:val="32"/>
          <w:shd w:val="clear" w:fill="FFFFFF"/>
          <w:lang w:val="en-US" w:eastAsia="zh-CN" w:bidi="ar"/>
        </w:rPr>
        <w:t>补助范围与标准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14" w:right="0" w:firstLine="640"/>
        <w:jc w:val="both"/>
        <w:rPr>
          <w:rFonts w:hint="default" w:ascii="Calibri" w:hAnsi="Calibri" w:cs="Calibri"/>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第四条 </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本办法所述的外线电力设施建设包括电源接入点至用户建筑区划红线处所涉及的土建建设费用和电气部分（含电缆、电杆等电力设施设备）费用。其余用电报装接入引起的分界开关、开闭所（站）、环网柜、变电站间隔扩建等公共电网新建或改造项目所产生的费用仍由国网</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供电公司出资建设。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14" w:right="0" w:firstLine="640"/>
        <w:jc w:val="both"/>
        <w:rPr>
          <w:rFonts w:hint="default" w:ascii="Calibri" w:hAnsi="Calibri" w:cs="Calibri"/>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第五条 </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自本办法印发之日起，由国网</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供电公司正式受理的符合本文规定的新装永久用电项目，其外线电力设施建设资金经审核后给予补助</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不足部分根据实际情况由国网</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供电公司与所在</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街道（办事处）</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、业主会商协调解决。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center"/>
        <w:rPr>
          <w:rFonts w:hint="default" w:ascii="Calibri" w:hAnsi="Calibri" w:cs="Calibri"/>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第三章 </w:t>
      </w:r>
      <w:r>
        <w:rPr>
          <w:rFonts w:hint="eastAsia" w:ascii="黑体" w:hAnsi="宋体" w:eastAsia="黑体" w:cs="黑体"/>
          <w:i w:val="0"/>
          <w:iCs w:val="0"/>
          <w:caps w:val="0"/>
          <w:color w:val="333333"/>
          <w:spacing w:val="0"/>
          <w:kern w:val="0"/>
          <w:sz w:val="32"/>
          <w:szCs w:val="32"/>
          <w:shd w:val="clear" w:fill="FFFFFF"/>
          <w:lang w:val="en-US" w:eastAsia="zh-CN" w:bidi="ar"/>
        </w:rPr>
        <w:t>资金办理流程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14" w:right="0" w:firstLine="643"/>
        <w:jc w:val="both"/>
        <w:rPr>
          <w:rFonts w:hint="default" w:ascii="Calibri" w:hAnsi="Calibri" w:cs="Calibri"/>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第六条 </w:t>
      </w:r>
      <w:r>
        <w:rPr>
          <w:rFonts w:hint="default" w:ascii="仿宋_GB2312" w:hAnsi="Calibri" w:eastAsia="仿宋_GB2312" w:cs="仿宋_GB2312"/>
          <w:b/>
          <w:bCs/>
          <w:i w:val="0"/>
          <w:iCs w:val="0"/>
          <w:caps w:val="0"/>
          <w:color w:val="333333"/>
          <w:spacing w:val="0"/>
          <w:kern w:val="0"/>
          <w:sz w:val="32"/>
          <w:szCs w:val="32"/>
          <w:shd w:val="clear" w:fill="FFFFFF"/>
          <w:lang w:val="en-US" w:eastAsia="zh-CN" w:bidi="ar"/>
        </w:rPr>
        <w:t>资金预算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（一）国网</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供电公司于每年九月底前提出下一年度资金需求，报</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县发改委</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（二）</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县发改委</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财政局按程序报批后，将所需资金列入年度预算，并下达至国网</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供电公司。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14" w:right="0" w:firstLine="643"/>
        <w:jc w:val="both"/>
        <w:rPr>
          <w:rFonts w:hint="default" w:ascii="Calibri" w:hAnsi="Calibri" w:cs="Calibri"/>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第七条 </w:t>
      </w:r>
      <w:r>
        <w:rPr>
          <w:rFonts w:hint="default" w:ascii="仿宋_GB2312" w:hAnsi="Calibri" w:eastAsia="仿宋_GB2312" w:cs="仿宋_GB2312"/>
          <w:b/>
          <w:bCs/>
          <w:i w:val="0"/>
          <w:iCs w:val="0"/>
          <w:caps w:val="0"/>
          <w:color w:val="333333"/>
          <w:spacing w:val="0"/>
          <w:kern w:val="0"/>
          <w:sz w:val="32"/>
          <w:szCs w:val="32"/>
          <w:shd w:val="clear" w:fill="FFFFFF"/>
          <w:lang w:val="en-US" w:eastAsia="zh-CN" w:bidi="ar"/>
        </w:rPr>
        <w:t>项目实施</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（一）国网</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供电公司受理企业用电项目报装申请后，根据城市管理、电力规划、企业需求等，对符合条件的企业开展外线电力设施建设；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（二）外线电力设施建设项目设计、施工单位由国网</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供电公司根据国家、省、市招投标相关规定确定。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14" w:right="0" w:firstLine="643"/>
        <w:jc w:val="both"/>
        <w:rPr>
          <w:rFonts w:hint="default" w:ascii="Calibri" w:hAnsi="Calibri" w:cs="Calibri"/>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第八条 </w:t>
      </w:r>
      <w:r>
        <w:rPr>
          <w:rFonts w:hint="default" w:ascii="仿宋_GB2312" w:hAnsi="Calibri" w:eastAsia="仿宋_GB2312" w:cs="仿宋_GB2312"/>
          <w:b/>
          <w:bCs/>
          <w:i w:val="0"/>
          <w:iCs w:val="0"/>
          <w:caps w:val="0"/>
          <w:color w:val="333333"/>
          <w:spacing w:val="0"/>
          <w:kern w:val="0"/>
          <w:sz w:val="32"/>
          <w:szCs w:val="32"/>
          <w:shd w:val="clear" w:fill="FFFFFF"/>
          <w:lang w:val="en-US" w:eastAsia="zh-CN" w:bidi="ar"/>
        </w:rPr>
        <w:t>资金结算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国网</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供电公司根据外接电力设施项目实施情况，资金使用情况适时报</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县发改委</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进行资金结算，并于次年</w:t>
      </w:r>
      <w:r>
        <w:rPr>
          <w:rFonts w:hint="eastAsia" w:ascii="宋体" w:hAnsi="宋体" w:eastAsia="宋体" w:cs="宋体"/>
          <w:i w:val="0"/>
          <w:iCs w:val="0"/>
          <w:caps w:val="0"/>
          <w:color w:val="333333"/>
          <w:spacing w:val="0"/>
          <w:kern w:val="0"/>
          <w:sz w:val="32"/>
          <w:szCs w:val="32"/>
          <w:shd w:val="clear" w:fill="FFFFFF"/>
          <w:lang w:val="en-US" w:eastAsia="zh-CN" w:bidi="ar"/>
        </w:rPr>
        <w:t>1</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月，将上一年度项目建设情况、资金使用情况及第三方审计报告报</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县发改委</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财政局。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center"/>
        <w:rPr>
          <w:rFonts w:hint="default" w:ascii="Calibri" w:hAnsi="Calibri" w:cs="Calibri"/>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第四章 </w:t>
      </w:r>
      <w:r>
        <w:rPr>
          <w:rFonts w:hint="eastAsia" w:ascii="黑体" w:hAnsi="宋体" w:eastAsia="黑体" w:cs="黑体"/>
          <w:i w:val="0"/>
          <w:iCs w:val="0"/>
          <w:caps w:val="0"/>
          <w:color w:val="333333"/>
          <w:spacing w:val="0"/>
          <w:kern w:val="0"/>
          <w:sz w:val="32"/>
          <w:szCs w:val="32"/>
          <w:shd w:val="clear" w:fill="FFFFFF"/>
          <w:lang w:val="en-US" w:eastAsia="zh-CN" w:bidi="ar"/>
        </w:rPr>
        <w:t>职责分工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14" w:right="0" w:firstLine="643"/>
        <w:jc w:val="both"/>
        <w:rPr>
          <w:rFonts w:hint="default" w:ascii="Calibri" w:hAnsi="Calibri" w:cs="Calibri"/>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第九条 </w:t>
      </w:r>
      <w:r>
        <w:rPr>
          <w:rFonts w:hint="eastAsia" w:ascii="仿宋_GB2312" w:hAnsi="Calibri" w:eastAsia="仿宋_GB2312" w:cs="仿宋_GB2312"/>
          <w:b/>
          <w:bCs/>
          <w:i w:val="0"/>
          <w:iCs w:val="0"/>
          <w:caps w:val="0"/>
          <w:color w:val="333333"/>
          <w:spacing w:val="0"/>
          <w:kern w:val="0"/>
          <w:sz w:val="32"/>
          <w:szCs w:val="32"/>
          <w:shd w:val="clear" w:fill="FFFFFF"/>
          <w:lang w:val="en-US" w:eastAsia="zh-CN" w:bidi="ar"/>
        </w:rPr>
        <w:t>县发改委</w:t>
      </w:r>
      <w:r>
        <w:rPr>
          <w:rFonts w:hint="default" w:ascii="仿宋_GB2312" w:hAnsi="Calibri" w:eastAsia="仿宋_GB2312" w:cs="仿宋_GB2312"/>
          <w:b/>
          <w:bCs/>
          <w:i w:val="0"/>
          <w:iCs w:val="0"/>
          <w:caps w:val="0"/>
          <w:color w:val="333333"/>
          <w:spacing w:val="0"/>
          <w:kern w:val="0"/>
          <w:sz w:val="32"/>
          <w:szCs w:val="32"/>
          <w:shd w:val="clear" w:fill="FFFFFF"/>
          <w:lang w:val="en-US" w:eastAsia="zh-CN" w:bidi="ar"/>
        </w:rPr>
        <w:t>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（一）负责专项资金预算建议的编制，下达专项资金；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（二）牵头做好专项资金绩效管理工作。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14" w:right="0" w:firstLine="643"/>
        <w:jc w:val="both"/>
        <w:rPr>
          <w:rFonts w:hint="default" w:ascii="Calibri" w:hAnsi="Calibri" w:cs="Calibri"/>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第十条 </w:t>
      </w:r>
      <w:r>
        <w:rPr>
          <w:rFonts w:hint="eastAsia" w:ascii="仿宋_GB2312" w:hAnsi="Calibri" w:eastAsia="仿宋_GB2312" w:cs="仿宋_GB2312"/>
          <w:b/>
          <w:bCs/>
          <w:i w:val="0"/>
          <w:iCs w:val="0"/>
          <w:caps w:val="0"/>
          <w:color w:val="333333"/>
          <w:spacing w:val="0"/>
          <w:kern w:val="0"/>
          <w:sz w:val="32"/>
          <w:szCs w:val="32"/>
          <w:shd w:val="clear" w:fill="FFFFFF"/>
          <w:lang w:val="en-US" w:eastAsia="zh-CN" w:bidi="ar"/>
        </w:rPr>
        <w:t>县</w:t>
      </w:r>
      <w:r>
        <w:rPr>
          <w:rFonts w:hint="default" w:ascii="仿宋_GB2312" w:hAnsi="Calibri" w:eastAsia="仿宋_GB2312" w:cs="仿宋_GB2312"/>
          <w:b/>
          <w:bCs/>
          <w:i w:val="0"/>
          <w:iCs w:val="0"/>
          <w:caps w:val="0"/>
          <w:color w:val="333333"/>
          <w:spacing w:val="0"/>
          <w:kern w:val="0"/>
          <w:sz w:val="32"/>
          <w:szCs w:val="32"/>
          <w:shd w:val="clear" w:fill="FFFFFF"/>
          <w:lang w:val="en-US" w:eastAsia="zh-CN" w:bidi="ar"/>
        </w:rPr>
        <w:t>财政局职责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（一）根据财政预算编制要求，负责审核并安排资金年度预算，及时拨付建设资金；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仿宋_GB2312" w:hAnsi="Calibri" w:eastAsia="仿宋_GB2312" w:cs="仿宋_GB2312"/>
          <w:i w:val="0"/>
          <w:iCs w:val="0"/>
          <w:caps w:val="0"/>
          <w:color w:val="333333"/>
          <w:spacing w:val="0"/>
          <w:kern w:val="0"/>
          <w:sz w:val="32"/>
          <w:szCs w:val="32"/>
          <w:shd w:val="clear" w:fill="FFFFFF"/>
          <w:lang w:val="en-US" w:eastAsia="zh-CN" w:bidi="ar"/>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（二）对专项资金的绩效管理情况进行指导和监督检查。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仿宋_GB2312" w:hAnsi="Calibri" w:eastAsia="仿宋_GB2312" w:cs="仿宋_GB2312"/>
          <w:i w:val="0"/>
          <w:iCs w:val="0"/>
          <w:caps w:val="0"/>
          <w:color w:val="333333"/>
          <w:spacing w:val="0"/>
          <w:kern w:val="0"/>
          <w:sz w:val="32"/>
          <w:szCs w:val="32"/>
          <w:shd w:val="clear" w:fill="FFFFFF"/>
          <w:lang w:val="en-US" w:eastAsia="zh-CN" w:bidi="ar"/>
        </w:rPr>
      </w:pPr>
      <w:r>
        <w:rPr>
          <w:rFonts w:hint="eastAsia" w:ascii="仿宋_GB2312" w:hAnsi="Calibri" w:eastAsia="仿宋_GB2312" w:cs="仿宋_GB2312"/>
          <w:i w:val="0"/>
          <w:iCs w:val="0"/>
          <w:caps w:val="0"/>
          <w:color w:val="333333"/>
          <w:spacing w:val="0"/>
          <w:kern w:val="0"/>
          <w:sz w:val="32"/>
          <w:szCs w:val="32"/>
          <w:shd w:val="clear" w:fill="FFFFFF"/>
          <w:lang w:val="en-US" w:eastAsia="zh-CN" w:bidi="ar"/>
        </w:rPr>
        <w:t>（三）</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对用电工程外接电力设施建设情况、用户满意度等营商环境指标进行监督抽查，对营商环境指标中由国网</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供电公司承担的“获得电力”落实情况进行监督、检查。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14" w:right="0" w:firstLine="643"/>
        <w:jc w:val="both"/>
        <w:rPr>
          <w:rFonts w:hint="default" w:ascii="Calibri" w:hAnsi="Calibri" w:cs="Calibri"/>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第十二条 </w:t>
      </w:r>
      <w:r>
        <w:rPr>
          <w:rFonts w:hint="default" w:ascii="仿宋_GB2312" w:hAnsi="Calibri" w:eastAsia="仿宋_GB2312" w:cs="仿宋_GB2312"/>
          <w:b/>
          <w:bCs/>
          <w:i w:val="0"/>
          <w:iCs w:val="0"/>
          <w:caps w:val="0"/>
          <w:color w:val="333333"/>
          <w:spacing w:val="0"/>
          <w:kern w:val="0"/>
          <w:sz w:val="32"/>
          <w:szCs w:val="32"/>
          <w:shd w:val="clear" w:fill="FFFFFF"/>
          <w:lang w:val="en-US" w:eastAsia="zh-CN" w:bidi="ar"/>
        </w:rPr>
        <w:t>国网</w:t>
      </w:r>
      <w:r>
        <w:rPr>
          <w:rFonts w:hint="eastAsia" w:ascii="仿宋_GB2312" w:hAnsi="Calibri" w:eastAsia="仿宋_GB2312" w:cs="仿宋_GB2312"/>
          <w:b/>
          <w:bCs/>
          <w:i w:val="0"/>
          <w:iCs w:val="0"/>
          <w:caps w:val="0"/>
          <w:color w:val="333333"/>
          <w:spacing w:val="0"/>
          <w:kern w:val="0"/>
          <w:sz w:val="32"/>
          <w:szCs w:val="32"/>
          <w:shd w:val="clear" w:fill="FFFFFF"/>
          <w:lang w:val="en-US" w:eastAsia="zh-CN" w:bidi="ar"/>
        </w:rPr>
        <w:t>方城县</w:t>
      </w:r>
      <w:r>
        <w:rPr>
          <w:rFonts w:hint="default" w:ascii="仿宋_GB2312" w:hAnsi="Calibri" w:eastAsia="仿宋_GB2312" w:cs="仿宋_GB2312"/>
          <w:b/>
          <w:bCs/>
          <w:i w:val="0"/>
          <w:iCs w:val="0"/>
          <w:caps w:val="0"/>
          <w:color w:val="333333"/>
          <w:spacing w:val="0"/>
          <w:kern w:val="0"/>
          <w:sz w:val="32"/>
          <w:szCs w:val="32"/>
          <w:shd w:val="clear" w:fill="FFFFFF"/>
          <w:lang w:val="en-US" w:eastAsia="zh-CN" w:bidi="ar"/>
        </w:rPr>
        <w:t>供电公司职责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（一）负责外线电力设施建设项目申报指南发布、申请受理、施工招投标、建设实施、工程质量验收、建设费用审核等项目建设全流程建立管控制度并严格落实；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（二）根据年度项目建设提出专项资金预算需求</w:t>
      </w:r>
      <w:r>
        <w:rPr>
          <w:rFonts w:hint="eastAsia" w:ascii="宋体" w:hAnsi="宋体" w:eastAsia="宋体" w:cs="宋体"/>
          <w:i w:val="0"/>
          <w:iCs w:val="0"/>
          <w:caps w:val="0"/>
          <w:color w:val="000000"/>
          <w:spacing w:val="0"/>
          <w:kern w:val="0"/>
          <w:sz w:val="32"/>
          <w:szCs w:val="32"/>
          <w:shd w:val="clear" w:fill="FFFFFF"/>
          <w:lang w:val="en-US" w:eastAsia="zh-CN" w:bidi="ar"/>
        </w:rPr>
        <w:t>，</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并根据年度资金支出情况进行年度资金结算；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（三）设立专项资金管理账户，对专项资金专户管理、专款专用。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（四）加强资金管理，保存项目原始资料及凭证，按规定接受</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县发改委</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财政局、项目所属</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街道(办事处)</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等有关部门的监督检查；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（五）根据合理节约原则，科学提出电源接入点至企业用电项目红线的走向距离，提高财政资金使用效率；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（六）承担外线电力设施建设、运营的安全责任，负责建成后的运行维护，履行业主职责。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default" w:ascii="仿宋_GB2312" w:hAnsi="Calibri" w:eastAsia="仿宋_GB2312" w:cs="仿宋_GB2312"/>
          <w:i w:val="0"/>
          <w:iCs w:val="0"/>
          <w:caps w:val="0"/>
          <w:color w:val="333333"/>
          <w:spacing w:val="0"/>
          <w:kern w:val="0"/>
          <w:sz w:val="32"/>
          <w:szCs w:val="32"/>
          <w:shd w:val="clear" w:fill="FFFFFF"/>
          <w:lang w:val="en-US" w:eastAsia="zh-CN" w:bidi="ar"/>
        </w:rPr>
        <w:t>（七）加强</w:t>
      </w:r>
      <w:r>
        <w:rPr>
          <w:rFonts w:hint="eastAsia" w:ascii="宋体" w:hAnsi="宋体" w:eastAsia="宋体" w:cs="宋体"/>
          <w:i w:val="0"/>
          <w:iCs w:val="0"/>
          <w:caps w:val="0"/>
          <w:color w:val="333333"/>
          <w:spacing w:val="0"/>
          <w:kern w:val="0"/>
          <w:sz w:val="32"/>
          <w:szCs w:val="32"/>
          <w:shd w:val="clear" w:fill="FFFFFF"/>
          <w:lang w:val="en-US" w:eastAsia="zh-CN" w:bidi="ar"/>
        </w:rPr>
        <w:t>10</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千伏电力网架优化，通过建设电力公共开关站等方式合理增加电力公共接入点数量，减少企业电力外线接入距离。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center"/>
        <w:rPr>
          <w:rFonts w:hint="eastAsia" w:ascii="宋体" w:hAnsi="宋体" w:eastAsia="宋体" w:cs="宋体"/>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center"/>
        <w:rPr>
          <w:rFonts w:hint="default" w:ascii="Calibri" w:hAnsi="Calibri" w:cs="Calibri"/>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第五章 </w:t>
      </w:r>
      <w:r>
        <w:rPr>
          <w:rFonts w:hint="eastAsia" w:ascii="黑体" w:hAnsi="宋体" w:eastAsia="黑体" w:cs="黑体"/>
          <w:i w:val="0"/>
          <w:iCs w:val="0"/>
          <w:caps w:val="0"/>
          <w:color w:val="333333"/>
          <w:spacing w:val="0"/>
          <w:kern w:val="0"/>
          <w:sz w:val="32"/>
          <w:szCs w:val="32"/>
          <w:shd w:val="clear" w:fill="FFFFFF"/>
          <w:lang w:val="en-US" w:eastAsia="zh-CN" w:bidi="ar"/>
        </w:rPr>
        <w:t>监督与责任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14" w:right="0" w:firstLine="643"/>
        <w:jc w:val="both"/>
        <w:rPr>
          <w:rFonts w:hint="default" w:ascii="Calibri" w:hAnsi="Calibri" w:cs="Calibri"/>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第十三条 </w:t>
      </w:r>
      <w:r>
        <w:rPr>
          <w:rFonts w:hint="default" w:ascii="仿宋_GB2312" w:hAnsi="Calibri" w:eastAsia="仿宋_GB2312" w:cs="仿宋_GB2312"/>
          <w:b/>
          <w:bCs/>
          <w:i w:val="0"/>
          <w:iCs w:val="0"/>
          <w:caps w:val="0"/>
          <w:color w:val="333333"/>
          <w:spacing w:val="0"/>
          <w:kern w:val="0"/>
          <w:sz w:val="32"/>
          <w:szCs w:val="32"/>
          <w:shd w:val="clear" w:fill="FFFFFF"/>
          <w:lang w:val="en-US" w:eastAsia="zh-CN" w:bidi="ar"/>
        </w:rPr>
        <w:t>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县发改委</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财政局共同对专项资金的使用进行监督检查和绩效管理，必要时可委托有资质的第三方机构实施。在项目执行过程中做好绩效监控，在项目完成后对资金使用情况进行抽查、检查，开展绩效评价。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14" w:right="0" w:firstLine="643"/>
        <w:jc w:val="both"/>
        <w:rPr>
          <w:rFonts w:hint="default" w:ascii="Calibri" w:hAnsi="Calibri" w:cs="Calibri"/>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第十四条 </w:t>
      </w:r>
      <w:r>
        <w:rPr>
          <w:rFonts w:hint="default" w:ascii="仿宋_GB2312" w:hAnsi="Calibri" w:eastAsia="仿宋_GB2312" w:cs="仿宋_GB2312"/>
          <w:b/>
          <w:bCs/>
          <w:i w:val="0"/>
          <w:iCs w:val="0"/>
          <w:caps w:val="0"/>
          <w:color w:val="333333"/>
          <w:spacing w:val="0"/>
          <w:kern w:val="0"/>
          <w:sz w:val="32"/>
          <w:szCs w:val="32"/>
          <w:shd w:val="clear" w:fill="FFFFFF"/>
          <w:lang w:val="en-US" w:eastAsia="zh-CN" w:bidi="ar"/>
        </w:rPr>
        <w:t>违法违规处理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（一）</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施工单位对申报材料的真实性和合法性负责，对以虚报、冒领、伪造等手段骗取专项资金的，将取消已取得的项目建设资格并追回已补助资金，按规定列入</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财政专项资金信用负面清单实施联合惩戒；情节严重涉嫌犯罪的，依法移送司法机关处理；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（二）</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经审计、巡察、监督检查、绩效评价发现，未按规定受理企业用电项目申请，发生违规分配资金以及其他滥用职权、徇私舞弊等违法违纪行为的，按规定追究相应责任，情节严重涉嫌犯罪的，依法移送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center"/>
        <w:rPr>
          <w:rFonts w:hint="default" w:ascii="Calibri" w:hAnsi="Calibri" w:cs="Calibri"/>
          <w:sz w:val="32"/>
          <w:szCs w:val="32"/>
        </w:rPr>
      </w:pPr>
      <w:r>
        <w:rPr>
          <w:rFonts w:hint="eastAsia" w:ascii="宋体" w:hAnsi="宋体" w:eastAsia="宋体" w:cs="宋体"/>
          <w:i w:val="0"/>
          <w:iCs w:val="0"/>
          <w:caps w:val="0"/>
          <w:color w:val="333333"/>
          <w:spacing w:val="0"/>
          <w:kern w:val="0"/>
          <w:sz w:val="32"/>
          <w:szCs w:val="32"/>
          <w:shd w:val="clear" w:fill="FFFFFF"/>
          <w:lang w:val="en-US" w:eastAsia="zh-CN" w:bidi="ar"/>
        </w:rPr>
        <w:t>第六章 </w:t>
      </w:r>
      <w:r>
        <w:rPr>
          <w:rFonts w:hint="eastAsia" w:ascii="黑体" w:hAnsi="宋体" w:eastAsia="黑体" w:cs="黑体"/>
          <w:i w:val="0"/>
          <w:iCs w:val="0"/>
          <w:caps w:val="0"/>
          <w:color w:val="333333"/>
          <w:spacing w:val="0"/>
          <w:kern w:val="0"/>
          <w:sz w:val="32"/>
          <w:szCs w:val="32"/>
          <w:shd w:val="clear" w:fill="FFFFFF"/>
          <w:lang w:val="en-US" w:eastAsia="zh-CN" w:bidi="ar"/>
        </w:rPr>
        <w:t>附则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Calibri" w:hAnsi="Calibri" w:cs="Calibri"/>
          <w:sz w:val="32"/>
          <w:szCs w:val="32"/>
        </w:rPr>
      </w:pPr>
      <w:r>
        <w:rPr>
          <w:rFonts w:hint="eastAsia" w:ascii="宋体" w:hAnsi="宋体" w:eastAsia="宋体" w:cs="宋体"/>
          <w:b/>
          <w:bCs/>
          <w:i w:val="0"/>
          <w:iCs w:val="0"/>
          <w:caps w:val="0"/>
          <w:color w:val="333333"/>
          <w:spacing w:val="0"/>
          <w:kern w:val="0"/>
          <w:sz w:val="32"/>
          <w:szCs w:val="32"/>
          <w:shd w:val="clear" w:fill="FFFFFF"/>
          <w:lang w:val="en-US" w:eastAsia="zh-CN" w:bidi="ar"/>
        </w:rPr>
        <w:t>第十五条 </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本办法由</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县发改委</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县</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财政局负责解释。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default" w:ascii="宋体" w:hAnsi="宋体" w:eastAsia="宋体" w:cs="宋体"/>
          <w:b/>
          <w:bCs/>
          <w:i w:val="0"/>
          <w:iCs w:val="0"/>
          <w:caps w:val="0"/>
          <w:color w:val="333333"/>
          <w:spacing w:val="0"/>
          <w:kern w:val="0"/>
          <w:sz w:val="32"/>
          <w:szCs w:val="32"/>
          <w:shd w:val="clear" w:fill="FFFFFF"/>
          <w:lang w:val="en-US" w:eastAsia="zh-CN" w:bidi="ar"/>
        </w:rPr>
      </w:pPr>
      <w:r>
        <w:rPr>
          <w:rFonts w:hint="default" w:ascii="宋体" w:hAnsi="宋体" w:eastAsia="宋体" w:cs="宋体"/>
          <w:b/>
          <w:bCs/>
          <w:i w:val="0"/>
          <w:iCs w:val="0"/>
          <w:caps w:val="0"/>
          <w:color w:val="333333"/>
          <w:spacing w:val="0"/>
          <w:kern w:val="0"/>
          <w:sz w:val="32"/>
          <w:szCs w:val="32"/>
          <w:shd w:val="clear" w:fill="FFFFFF"/>
          <w:lang w:val="en-US" w:eastAsia="zh-CN" w:bidi="ar"/>
        </w:rPr>
        <w:t>第十</w:t>
      </w:r>
      <w:r>
        <w:rPr>
          <w:rFonts w:hint="eastAsia" w:ascii="宋体" w:hAnsi="宋体" w:eastAsia="宋体" w:cs="宋体"/>
          <w:b/>
          <w:bCs/>
          <w:i w:val="0"/>
          <w:iCs w:val="0"/>
          <w:caps w:val="0"/>
          <w:color w:val="333333"/>
          <w:spacing w:val="0"/>
          <w:kern w:val="0"/>
          <w:sz w:val="32"/>
          <w:szCs w:val="32"/>
          <w:shd w:val="clear" w:fill="FFFFFF"/>
          <w:lang w:val="en-US" w:eastAsia="zh-CN" w:bidi="ar"/>
        </w:rPr>
        <w:t>六</w:t>
      </w:r>
      <w:r>
        <w:rPr>
          <w:rFonts w:hint="default" w:ascii="宋体" w:hAnsi="宋体" w:eastAsia="宋体" w:cs="宋体"/>
          <w:b/>
          <w:bCs/>
          <w:i w:val="0"/>
          <w:iCs w:val="0"/>
          <w:caps w:val="0"/>
          <w:color w:val="333333"/>
          <w:spacing w:val="0"/>
          <w:kern w:val="0"/>
          <w:sz w:val="32"/>
          <w:szCs w:val="32"/>
          <w:shd w:val="clear" w:fill="FFFFFF"/>
          <w:lang w:val="en-US" w:eastAsia="zh-CN" w:bidi="ar"/>
        </w:rPr>
        <w:t>条 </w:t>
      </w:r>
      <w:r>
        <w:rPr>
          <w:rFonts w:hint="default" w:ascii="仿宋_GB2312" w:hAnsi="Calibri" w:eastAsia="仿宋_GB2312" w:cs="仿宋_GB2312"/>
          <w:i w:val="0"/>
          <w:iCs w:val="0"/>
          <w:caps w:val="0"/>
          <w:color w:val="333333"/>
          <w:spacing w:val="0"/>
          <w:kern w:val="0"/>
          <w:sz w:val="32"/>
          <w:szCs w:val="32"/>
          <w:shd w:val="clear" w:fill="FFFFFF"/>
          <w:lang w:val="en-US" w:eastAsia="zh-CN" w:bidi="ar"/>
        </w:rPr>
        <w:t>本办法自印发之日起实施，有效期一年。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firstLineChars="200"/>
        <w:jc w:val="left"/>
        <w:textAlignment w:val="baseline"/>
        <w:rPr>
          <w:rFonts w:hint="default" w:ascii="Calibri" w:hAnsi="Calibri" w:cs="Calibri"/>
          <w:sz w:val="32"/>
          <w:szCs w:val="32"/>
        </w:rPr>
      </w:pPr>
      <w:r>
        <w:rPr>
          <w:rFonts w:hint="default" w:ascii="宋体" w:hAnsi="宋体" w:eastAsia="宋体" w:cs="宋体"/>
          <w:b/>
          <w:bCs/>
          <w:i w:val="0"/>
          <w:iCs w:val="0"/>
          <w:caps w:val="0"/>
          <w:color w:val="333333"/>
          <w:spacing w:val="0"/>
          <w:kern w:val="0"/>
          <w:sz w:val="32"/>
          <w:szCs w:val="32"/>
          <w:shd w:val="clear" w:fill="FFFFFF"/>
          <w:lang w:val="en-US" w:eastAsia="zh-CN" w:bidi="ar"/>
        </w:rPr>
        <w:t>第十</w:t>
      </w:r>
      <w:r>
        <w:rPr>
          <w:rFonts w:hint="eastAsia" w:ascii="宋体" w:hAnsi="宋体" w:eastAsia="宋体" w:cs="宋体"/>
          <w:b/>
          <w:bCs/>
          <w:i w:val="0"/>
          <w:iCs w:val="0"/>
          <w:caps w:val="0"/>
          <w:color w:val="333333"/>
          <w:spacing w:val="0"/>
          <w:kern w:val="0"/>
          <w:sz w:val="32"/>
          <w:szCs w:val="32"/>
          <w:shd w:val="clear" w:fill="FFFFFF"/>
          <w:lang w:val="en-US" w:eastAsia="zh-CN" w:bidi="ar"/>
        </w:rPr>
        <w:t>七</w:t>
      </w:r>
      <w:r>
        <w:rPr>
          <w:rFonts w:hint="default" w:ascii="宋体" w:hAnsi="宋体" w:eastAsia="宋体" w:cs="宋体"/>
          <w:b/>
          <w:bCs/>
          <w:i w:val="0"/>
          <w:iCs w:val="0"/>
          <w:caps w:val="0"/>
          <w:color w:val="333333"/>
          <w:spacing w:val="0"/>
          <w:kern w:val="0"/>
          <w:sz w:val="32"/>
          <w:szCs w:val="32"/>
          <w:shd w:val="clear" w:fill="FFFFFF"/>
          <w:lang w:val="en-US" w:eastAsia="zh-CN" w:bidi="ar"/>
        </w:rPr>
        <w:t>条</w:t>
      </w:r>
      <w:r>
        <w:rPr>
          <w:rFonts w:hint="default" w:ascii="仿宋_GB2312" w:hAnsi="Calibri" w:eastAsia="仿宋_GB2312" w:cs="仿宋_GB2312"/>
          <w:i w:val="0"/>
          <w:iCs w:val="0"/>
          <w:caps w:val="0"/>
          <w:color w:val="333333"/>
          <w:spacing w:val="0"/>
          <w:kern w:val="0"/>
          <w:sz w:val="32"/>
          <w:szCs w:val="32"/>
          <w:shd w:val="clear" w:fill="FFFFFF"/>
          <w:vertAlign w:val="baseline"/>
          <w:lang w:val="en-US" w:eastAsia="zh-CN" w:bidi="ar"/>
        </w:rPr>
        <w:t> </w:t>
      </w:r>
      <w:r>
        <w:rPr>
          <w:rFonts w:hint="eastAsia" w:ascii="仿宋_GB2312" w:hAnsi="Calibri" w:eastAsia="仿宋_GB2312" w:cs="仿宋_GB2312"/>
          <w:i w:val="0"/>
          <w:iCs w:val="0"/>
          <w:caps w:val="0"/>
          <w:color w:val="333333"/>
          <w:spacing w:val="0"/>
          <w:kern w:val="0"/>
          <w:sz w:val="32"/>
          <w:szCs w:val="32"/>
          <w:shd w:val="clear" w:fill="FFFFFF"/>
          <w:vertAlign w:val="baseline"/>
          <w:lang w:val="en-US" w:eastAsia="zh-CN" w:bidi="ar"/>
        </w:rPr>
        <w:t xml:space="preserve">  </w:t>
      </w:r>
      <w:r>
        <w:rPr>
          <w:rFonts w:hint="default" w:ascii="仿宋_GB2312" w:hAnsi="Calibri" w:eastAsia="仿宋_GB2312" w:cs="仿宋_GB2312"/>
          <w:i w:val="0"/>
          <w:iCs w:val="0"/>
          <w:caps w:val="0"/>
          <w:color w:val="333333"/>
          <w:spacing w:val="0"/>
          <w:kern w:val="0"/>
          <w:sz w:val="32"/>
          <w:szCs w:val="32"/>
          <w:shd w:val="clear" w:fill="FFFFFF"/>
          <w:vertAlign w:val="baseline"/>
          <w:lang w:val="en-US" w:eastAsia="zh-CN" w:bidi="ar"/>
        </w:rPr>
        <w:t>本办法职责分工是依据各单位职能而定，职能发生变化，职责也相应调整。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方正舒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jY2E5ZWI2ZGUxMWRiNzE4ZDA5YjUwNTFmY2IzYzEifQ=="/>
  </w:docVars>
  <w:rsids>
    <w:rsidRoot w:val="00000000"/>
    <w:rsid w:val="0D4F08E3"/>
    <w:rsid w:val="49BC2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2160</Words>
  <Characters>2178</Characters>
  <Lines>0</Lines>
  <Paragraphs>0</Paragraphs>
  <TotalTime>9</TotalTime>
  <ScaleCrop>false</ScaleCrop>
  <LinksUpToDate>false</LinksUpToDate>
  <CharactersWithSpaces>2224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张亦驰</dc:creator>
  <cp:lastModifiedBy>两个人的江湖</cp:lastModifiedBy>
  <dcterms:modified xsi:type="dcterms:W3CDTF">2023-03-22T08:02:29Z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8A9E259B0E1048EF8D74B8E979DC538A</vt:lpwstr>
  </property>
</Properties>
</file>